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0D3690" w14:textId="77777777" w:rsidR="001E14C5" w:rsidRDefault="001E14C5" w:rsidP="001E14C5">
      <w:pPr>
        <w:spacing w:line="480" w:lineRule="auto"/>
        <w:jc w:val="center"/>
        <w:rPr>
          <w:rFonts w:ascii="Arial" w:hAnsi="Arial" w:cs="Arial"/>
          <w:b/>
          <w:color w:val="000000" w:themeColor="text1"/>
          <w:sz w:val="18"/>
          <w:szCs w:val="18"/>
        </w:rPr>
      </w:pPr>
      <w:r>
        <w:rPr>
          <w:rFonts w:ascii="Arial" w:hAnsi="Arial" w:cs="Arial"/>
          <w:b/>
          <w:noProof/>
          <w:color w:val="000000" w:themeColor="text1"/>
          <w:sz w:val="18"/>
          <w:szCs w:val="18"/>
        </w:rPr>
        <w:drawing>
          <wp:inline distT="0" distB="0" distL="0" distR="0" wp14:anchorId="0F187215" wp14:editId="03BFE8A6">
            <wp:extent cx="4853042" cy="5543400"/>
            <wp:effectExtent l="0" t="0" r="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380" cy="55483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D6C8D33" w14:textId="4A93C1C1" w:rsidR="000314FD" w:rsidRDefault="001E14C5" w:rsidP="001E14C5">
      <w:pPr>
        <w:spacing w:line="480" w:lineRule="auto"/>
      </w:pPr>
      <w:r w:rsidRPr="00775213">
        <w:rPr>
          <w:rFonts w:ascii="Arial" w:hAnsi="Arial" w:cs="Arial"/>
          <w:b/>
          <w:color w:val="000000" w:themeColor="text1"/>
          <w:sz w:val="18"/>
          <w:szCs w:val="18"/>
        </w:rPr>
        <w:t>Supplement Fig</w:t>
      </w:r>
      <w:r>
        <w:rPr>
          <w:rFonts w:ascii="Arial" w:hAnsi="Arial" w:cs="Arial"/>
          <w:b/>
          <w:color w:val="000000" w:themeColor="text1"/>
          <w:sz w:val="18"/>
          <w:szCs w:val="18"/>
        </w:rPr>
        <w:t>.</w:t>
      </w:r>
      <w:r w:rsidRPr="00775213">
        <w:rPr>
          <w:rFonts w:ascii="Arial" w:hAnsi="Arial" w:cs="Arial"/>
          <w:b/>
          <w:color w:val="000000" w:themeColor="text1"/>
          <w:sz w:val="18"/>
          <w:szCs w:val="18"/>
        </w:rPr>
        <w:t xml:space="preserve"> 1.</w:t>
      </w:r>
      <w:r w:rsidRPr="00775213">
        <w:rPr>
          <w:rFonts w:ascii="Arial" w:hAnsi="Arial" w:cs="Arial"/>
          <w:bCs/>
          <w:color w:val="000000" w:themeColor="text1"/>
          <w:sz w:val="18"/>
          <w:szCs w:val="18"/>
        </w:rPr>
        <w:t xml:space="preserve"> </w:t>
      </w:r>
      <w:r w:rsidRPr="00FF6041">
        <w:rPr>
          <w:rFonts w:ascii="Arial" w:hAnsi="Arial" w:cs="Arial"/>
          <w:bCs/>
          <w:color w:val="000000" w:themeColor="text1"/>
          <w:sz w:val="18"/>
          <w:szCs w:val="18"/>
          <w:highlight w:val="yellow"/>
        </w:rPr>
        <w:t>Epidermal growth factor</w:t>
      </w:r>
      <w:r w:rsidRPr="00775213">
        <w:rPr>
          <w:rFonts w:ascii="Arial" w:hAnsi="Arial" w:cs="Arial"/>
          <w:bCs/>
          <w:color w:val="000000" w:themeColor="text1"/>
          <w:sz w:val="18"/>
          <w:szCs w:val="18"/>
        </w:rPr>
        <w:t xml:space="preserve"> does not influence repair of radiation-induced endothelial cell damage. (</w:t>
      </w:r>
      <w:r w:rsidRPr="000E4BE4">
        <w:rPr>
          <w:rFonts w:ascii="Arial" w:hAnsi="Arial" w:cs="Arial"/>
          <w:b/>
          <w:color w:val="000000" w:themeColor="text1"/>
          <w:sz w:val="18"/>
          <w:szCs w:val="18"/>
        </w:rPr>
        <w:t>A</w:t>
      </w:r>
      <w:r w:rsidRPr="00775213">
        <w:rPr>
          <w:rFonts w:ascii="Arial" w:hAnsi="Arial" w:cs="Arial"/>
          <w:bCs/>
          <w:color w:val="000000" w:themeColor="text1"/>
          <w:sz w:val="18"/>
          <w:szCs w:val="18"/>
        </w:rPr>
        <w:t xml:space="preserve">) Determination of proliferation of HUVECs after treatment with or </w:t>
      </w:r>
      <w:r w:rsidRPr="00FF6041">
        <w:rPr>
          <w:rFonts w:ascii="Arial" w:hAnsi="Arial" w:cs="Arial"/>
          <w:bCs/>
          <w:color w:val="000000" w:themeColor="text1"/>
          <w:sz w:val="18"/>
          <w:szCs w:val="18"/>
          <w:highlight w:val="yellow"/>
        </w:rPr>
        <w:t>without</w:t>
      </w:r>
      <w:r w:rsidR="00FF6041" w:rsidRPr="00FF6041">
        <w:rPr>
          <w:rFonts w:ascii="Arial" w:hAnsi="Arial" w:cs="Arial"/>
          <w:bCs/>
          <w:color w:val="000000" w:themeColor="text1"/>
          <w:sz w:val="18"/>
          <w:szCs w:val="18"/>
          <w:highlight w:val="yellow"/>
        </w:rPr>
        <w:t xml:space="preserve"> recombinant </w:t>
      </w:r>
      <w:r w:rsidR="00746AC4">
        <w:rPr>
          <w:rFonts w:ascii="Arial" w:hAnsi="Arial" w:cs="Arial"/>
          <w:bCs/>
          <w:color w:val="000000" w:themeColor="text1"/>
          <w:sz w:val="18"/>
          <w:szCs w:val="18"/>
          <w:highlight w:val="yellow"/>
        </w:rPr>
        <w:t>e</w:t>
      </w:r>
      <w:r w:rsidR="00FF6041" w:rsidRPr="00FF6041">
        <w:rPr>
          <w:rFonts w:ascii="Arial" w:hAnsi="Arial" w:cs="Arial"/>
          <w:bCs/>
          <w:color w:val="000000" w:themeColor="text1"/>
          <w:sz w:val="18"/>
          <w:szCs w:val="18"/>
          <w:highlight w:val="yellow"/>
        </w:rPr>
        <w:t>pidermal growth factor</w:t>
      </w:r>
      <w:r w:rsidRPr="00FF6041">
        <w:rPr>
          <w:rFonts w:ascii="Arial" w:hAnsi="Arial" w:cs="Arial"/>
          <w:bCs/>
          <w:color w:val="000000" w:themeColor="text1"/>
          <w:sz w:val="18"/>
          <w:szCs w:val="18"/>
          <w:highlight w:val="yellow"/>
        </w:rPr>
        <w:t xml:space="preserve"> </w:t>
      </w:r>
      <w:r w:rsidR="00FF6041" w:rsidRPr="00FF6041">
        <w:rPr>
          <w:rFonts w:ascii="Arial" w:hAnsi="Arial" w:cs="Arial"/>
          <w:bCs/>
          <w:color w:val="000000" w:themeColor="text1"/>
          <w:sz w:val="18"/>
          <w:szCs w:val="18"/>
          <w:highlight w:val="yellow"/>
        </w:rPr>
        <w:t>(</w:t>
      </w:r>
      <w:proofErr w:type="spellStart"/>
      <w:r w:rsidRPr="00FF6041">
        <w:rPr>
          <w:rFonts w:ascii="Arial" w:hAnsi="Arial" w:cs="Arial"/>
          <w:bCs/>
          <w:color w:val="000000" w:themeColor="text1"/>
          <w:sz w:val="18"/>
          <w:szCs w:val="18"/>
          <w:highlight w:val="yellow"/>
        </w:rPr>
        <w:t>rEGF</w:t>
      </w:r>
      <w:proofErr w:type="spellEnd"/>
      <w:r w:rsidR="00FF6041" w:rsidRPr="00FF6041">
        <w:rPr>
          <w:rFonts w:ascii="Arial" w:hAnsi="Arial" w:cs="Arial"/>
          <w:bCs/>
          <w:color w:val="000000" w:themeColor="text1"/>
          <w:sz w:val="18"/>
          <w:szCs w:val="18"/>
          <w:highlight w:val="yellow"/>
        </w:rPr>
        <w:t xml:space="preserve">; </w:t>
      </w:r>
      <w:r w:rsidRPr="00FF6041">
        <w:rPr>
          <w:rFonts w:ascii="Arial" w:hAnsi="Arial" w:cs="Arial"/>
          <w:bCs/>
          <w:color w:val="000000" w:themeColor="text1"/>
          <w:sz w:val="18"/>
          <w:szCs w:val="18"/>
          <w:highlight w:val="yellow"/>
        </w:rPr>
        <w:t xml:space="preserve">100 </w:t>
      </w:r>
      <w:proofErr w:type="spellStart"/>
      <w:r w:rsidRPr="00FF6041">
        <w:rPr>
          <w:rFonts w:ascii="Arial" w:hAnsi="Arial" w:cs="Arial"/>
          <w:bCs/>
          <w:color w:val="000000" w:themeColor="text1"/>
          <w:sz w:val="18"/>
          <w:szCs w:val="18"/>
          <w:highlight w:val="yellow"/>
        </w:rPr>
        <w:t>nM</w:t>
      </w:r>
      <w:proofErr w:type="spellEnd"/>
      <w:r w:rsidRPr="00FF6041">
        <w:rPr>
          <w:rFonts w:ascii="Arial" w:hAnsi="Arial" w:cs="Arial"/>
          <w:bCs/>
          <w:color w:val="000000" w:themeColor="text1"/>
          <w:sz w:val="18"/>
          <w:szCs w:val="18"/>
          <w:highlight w:val="yellow"/>
        </w:rPr>
        <w:t>).</w:t>
      </w:r>
      <w:r w:rsidRPr="00775213">
        <w:rPr>
          <w:rFonts w:ascii="Arial" w:hAnsi="Arial" w:cs="Arial"/>
          <w:bCs/>
          <w:color w:val="000000" w:themeColor="text1"/>
          <w:sz w:val="18"/>
          <w:szCs w:val="18"/>
        </w:rPr>
        <w:t xml:space="preserve"> The effect of </w:t>
      </w:r>
      <w:proofErr w:type="spellStart"/>
      <w:r w:rsidRPr="00FF6041">
        <w:rPr>
          <w:rFonts w:ascii="Arial" w:hAnsi="Arial" w:cs="Arial"/>
          <w:bCs/>
          <w:color w:val="000000" w:themeColor="text1"/>
          <w:sz w:val="18"/>
          <w:szCs w:val="18"/>
          <w:highlight w:val="yellow"/>
        </w:rPr>
        <w:t>rEGF</w:t>
      </w:r>
      <w:proofErr w:type="spellEnd"/>
      <w:r w:rsidRPr="00775213">
        <w:rPr>
          <w:rFonts w:ascii="Arial" w:hAnsi="Arial" w:cs="Arial"/>
          <w:bCs/>
          <w:color w:val="000000" w:themeColor="text1"/>
          <w:sz w:val="18"/>
          <w:szCs w:val="18"/>
        </w:rPr>
        <w:t xml:space="preserve"> on HUVEC proliferation was assessed by CCK-8 assay. Bars represent the percentage of proliferated cells normalized to that of the corresponding control. (</w:t>
      </w:r>
      <w:r w:rsidRPr="000E4BE4">
        <w:rPr>
          <w:rFonts w:ascii="Arial" w:hAnsi="Arial" w:cs="Arial"/>
          <w:b/>
          <w:color w:val="000000" w:themeColor="text1"/>
          <w:sz w:val="18"/>
          <w:szCs w:val="18"/>
        </w:rPr>
        <w:t>B</w:t>
      </w:r>
      <w:r w:rsidRPr="00775213">
        <w:rPr>
          <w:rFonts w:ascii="Arial" w:hAnsi="Arial" w:cs="Arial"/>
          <w:bCs/>
          <w:color w:val="000000" w:themeColor="text1"/>
          <w:sz w:val="18"/>
          <w:szCs w:val="18"/>
        </w:rPr>
        <w:t xml:space="preserve">) Determination of senescent activity by </w:t>
      </w:r>
      <w:proofErr w:type="spellStart"/>
      <w:r w:rsidRPr="00775213">
        <w:rPr>
          <w:rFonts w:ascii="Arial" w:hAnsi="Arial" w:cs="Arial"/>
          <w:bCs/>
          <w:color w:val="000000" w:themeColor="text1"/>
          <w:sz w:val="18"/>
          <w:szCs w:val="18"/>
        </w:rPr>
        <w:t>rEGF</w:t>
      </w:r>
      <w:proofErr w:type="spellEnd"/>
      <w:r w:rsidRPr="00775213">
        <w:rPr>
          <w:rFonts w:ascii="Arial" w:hAnsi="Arial" w:cs="Arial"/>
          <w:bCs/>
          <w:color w:val="000000" w:themeColor="text1"/>
          <w:sz w:val="18"/>
          <w:szCs w:val="18"/>
        </w:rPr>
        <w:t xml:space="preserve">. HUVECs were irradiated and treated with or without </w:t>
      </w:r>
      <w:proofErr w:type="spellStart"/>
      <w:r w:rsidRPr="00775213">
        <w:rPr>
          <w:rFonts w:ascii="Arial" w:hAnsi="Arial" w:cs="Arial"/>
          <w:bCs/>
          <w:color w:val="000000" w:themeColor="text1"/>
          <w:sz w:val="18"/>
          <w:szCs w:val="18"/>
        </w:rPr>
        <w:t>rEGF</w:t>
      </w:r>
      <w:proofErr w:type="spellEnd"/>
      <w:r w:rsidRPr="00775213">
        <w:rPr>
          <w:rFonts w:ascii="Arial" w:hAnsi="Arial" w:cs="Arial"/>
          <w:bCs/>
          <w:color w:val="000000" w:themeColor="text1"/>
          <w:sz w:val="18"/>
          <w:szCs w:val="18"/>
        </w:rPr>
        <w:t>. Senescent HUVECs were quantified by performing a</w:t>
      </w:r>
      <w:r w:rsidRPr="00775213">
        <w:rPr>
          <w:rFonts w:ascii="Symbol" w:hAnsi="Symbol" w:cs="Arial"/>
          <w:bCs/>
          <w:color w:val="000000" w:themeColor="text1"/>
          <w:sz w:val="18"/>
          <w:szCs w:val="18"/>
        </w:rPr>
        <w:t xml:space="preserve"> </w:t>
      </w:r>
      <w:r w:rsidRPr="00775213">
        <w:rPr>
          <w:rFonts w:ascii="Symbol" w:hAnsi="Symbol" w:cs="Arial"/>
          <w:bCs/>
          <w:color w:val="000000" w:themeColor="text1"/>
          <w:sz w:val="18"/>
          <w:szCs w:val="18"/>
        </w:rPr>
        <w:t></w:t>
      </w:r>
      <w:r w:rsidRPr="00775213">
        <w:rPr>
          <w:rFonts w:ascii="Arial" w:hAnsi="Arial" w:cs="Arial"/>
          <w:bCs/>
          <w:color w:val="000000" w:themeColor="text1"/>
          <w:sz w:val="18"/>
          <w:szCs w:val="18"/>
        </w:rPr>
        <w:t>-galactosidase assay. Quantified senescent HUVECs were plotted as a bar graph (right). (</w:t>
      </w:r>
      <w:r w:rsidRPr="000E4BE4">
        <w:rPr>
          <w:rFonts w:ascii="Arial" w:hAnsi="Arial" w:cs="Arial"/>
          <w:b/>
          <w:color w:val="000000" w:themeColor="text1"/>
          <w:sz w:val="18"/>
          <w:szCs w:val="18"/>
        </w:rPr>
        <w:t>C</w:t>
      </w:r>
      <w:r w:rsidRPr="00775213">
        <w:rPr>
          <w:rFonts w:ascii="Arial" w:hAnsi="Arial" w:cs="Arial"/>
          <w:bCs/>
          <w:color w:val="000000" w:themeColor="text1"/>
          <w:sz w:val="18"/>
          <w:szCs w:val="18"/>
        </w:rPr>
        <w:t xml:space="preserve">) Determination of angiogenic activity. HUVECs were re-seeded onto Matrigel-coated wells in the presence or absence of </w:t>
      </w:r>
      <w:proofErr w:type="spellStart"/>
      <w:r w:rsidRPr="00775213">
        <w:rPr>
          <w:rFonts w:ascii="Arial" w:hAnsi="Arial" w:cs="Arial"/>
          <w:bCs/>
          <w:color w:val="000000" w:themeColor="text1"/>
          <w:sz w:val="18"/>
          <w:szCs w:val="18"/>
        </w:rPr>
        <w:t>rEGF</w:t>
      </w:r>
      <w:proofErr w:type="spellEnd"/>
      <w:r w:rsidRPr="00775213">
        <w:rPr>
          <w:rFonts w:ascii="Arial" w:hAnsi="Arial" w:cs="Arial"/>
          <w:bCs/>
          <w:color w:val="000000" w:themeColor="text1"/>
          <w:sz w:val="18"/>
          <w:szCs w:val="18"/>
        </w:rPr>
        <w:t xml:space="preserve">. Total segments length per five fields were quantified and plotted as a bar graph (right). Data are presented as the means ± standard deviation of the mean. Images are representative of 3 independent experiments. *p &lt;0.05 vs. negative control (Con). #p &lt; 0.05 vs. irradiated control (IR). Scale bar = </w:t>
      </w:r>
      <w:r>
        <w:rPr>
          <w:rFonts w:ascii="Arial" w:hAnsi="Arial" w:cs="Arial"/>
          <w:bCs/>
          <w:color w:val="000000" w:themeColor="text1"/>
          <w:sz w:val="18"/>
          <w:szCs w:val="18"/>
        </w:rPr>
        <w:t>100</w:t>
      </w:r>
      <w:r w:rsidRPr="00D50C8E">
        <w:rPr>
          <w:rFonts w:ascii="Arial" w:hAnsi="Arial" w:cs="Arial"/>
          <w:bCs/>
          <w:color w:val="000000" w:themeColor="text1"/>
          <w:sz w:val="18"/>
          <w:szCs w:val="18"/>
        </w:rPr>
        <w:t xml:space="preserve"> </w:t>
      </w:r>
      <w:r w:rsidRPr="00D50C8E">
        <w:rPr>
          <w:rFonts w:ascii="Symbol" w:hAnsi="Symbol" w:cs="Arial"/>
          <w:color w:val="000000" w:themeColor="text1"/>
          <w:sz w:val="18"/>
          <w:szCs w:val="18"/>
        </w:rPr>
        <w:t></w:t>
      </w:r>
      <w:r w:rsidRPr="00775213">
        <w:rPr>
          <w:rFonts w:ascii="Arial" w:hAnsi="Arial" w:cs="Arial"/>
          <w:bCs/>
          <w:color w:val="000000" w:themeColor="text1"/>
          <w:sz w:val="18"/>
          <w:szCs w:val="18"/>
        </w:rPr>
        <w:t>m.</w:t>
      </w:r>
    </w:p>
    <w:sectPr w:rsidR="000314FD" w:rsidSect="00C13604">
      <w:pgSz w:w="11906" w:h="16838"/>
      <w:pgMar w:top="1701" w:right="1440" w:bottom="1440" w:left="1440" w:header="851" w:footer="992" w:gutter="0"/>
      <w:lnNumType w:countBy="1" w:restart="continuous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A5D781" w14:textId="77777777" w:rsidR="00B83347" w:rsidRDefault="00B83347" w:rsidP="00F755EB">
      <w:pPr>
        <w:spacing w:after="0" w:line="240" w:lineRule="auto"/>
      </w:pPr>
      <w:r>
        <w:separator/>
      </w:r>
    </w:p>
  </w:endnote>
  <w:endnote w:type="continuationSeparator" w:id="0">
    <w:p w14:paraId="3224EC84" w14:textId="77777777" w:rsidR="00B83347" w:rsidRDefault="00B83347" w:rsidP="00F755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27AAE9" w14:textId="77777777" w:rsidR="00B83347" w:rsidRDefault="00B83347" w:rsidP="00F755EB">
      <w:pPr>
        <w:spacing w:after="0" w:line="240" w:lineRule="auto"/>
      </w:pPr>
      <w:r>
        <w:separator/>
      </w:r>
    </w:p>
  </w:footnote>
  <w:footnote w:type="continuationSeparator" w:id="0">
    <w:p w14:paraId="44CBC713" w14:textId="77777777" w:rsidR="00B83347" w:rsidRDefault="00B83347" w:rsidP="00F755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14C5"/>
    <w:rsid w:val="000314FD"/>
    <w:rsid w:val="001E14C5"/>
    <w:rsid w:val="006A544D"/>
    <w:rsid w:val="00746AC4"/>
    <w:rsid w:val="007F2E89"/>
    <w:rsid w:val="00B83347"/>
    <w:rsid w:val="00F755EB"/>
    <w:rsid w:val="00FF6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5A0BDB"/>
  <w15:chartTrackingRefBased/>
  <w15:docId w15:val="{35E2600F-194B-43E7-9802-9C4DE9DFF3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E14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1E14C5"/>
  </w:style>
  <w:style w:type="paragraph" w:styleId="a4">
    <w:name w:val="header"/>
    <w:basedOn w:val="a"/>
    <w:link w:val="Char"/>
    <w:uiPriority w:val="99"/>
    <w:unhideWhenUsed/>
    <w:rsid w:val="00F755E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F755EB"/>
  </w:style>
  <w:style w:type="paragraph" w:styleId="a5">
    <w:name w:val="footer"/>
    <w:basedOn w:val="a"/>
    <w:link w:val="Char0"/>
    <w:uiPriority w:val="99"/>
    <w:unhideWhenUsed/>
    <w:rsid w:val="00F755E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F755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163</Words>
  <Characters>933</Characters>
  <Application>Microsoft Office Word</Application>
  <DocSecurity>0</DocSecurity>
  <Lines>7</Lines>
  <Paragraphs>2</Paragraphs>
  <ScaleCrop>false</ScaleCrop>
  <Company/>
  <LinksUpToDate>false</LinksUpToDate>
  <CharactersWithSpaces>1094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kwak jeongwoo</dc:creator>
  <cp:keywords/>
  <dc:description/>
  <cp:lastModifiedBy>kwak jeongwoo</cp:lastModifiedBy>
  <cp:revision>4</cp:revision>
  <dcterms:created xsi:type="dcterms:W3CDTF">2021-09-17T15:43:00Z</dcterms:created>
  <dcterms:modified xsi:type="dcterms:W3CDTF">2021-09-21T13:57:00Z</dcterms:modified>
</cp:coreProperties>
</file>