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10067" w14:textId="494F848A" w:rsidR="00BE4CA2" w:rsidRPr="00277B42" w:rsidRDefault="00277B42" w:rsidP="00BE4CA2">
      <w:pPr>
        <w:rPr>
          <w:rFonts w:ascii="Arial" w:hAnsi="Arial" w:cs="Arial"/>
          <w:b/>
          <w:bCs/>
          <w:color w:val="EE0000"/>
        </w:rPr>
      </w:pPr>
      <w:r w:rsidRPr="00277B42">
        <w:rPr>
          <w:rFonts w:ascii="Arial" w:hAnsi="Arial" w:cs="Arial"/>
          <w:b/>
          <w:bCs/>
          <w:color w:val="EE0000"/>
        </w:rPr>
        <w:t xml:space="preserve">Supplemental </w:t>
      </w:r>
      <w:r w:rsidR="00AB727D">
        <w:rPr>
          <w:rFonts w:ascii="Arial" w:hAnsi="Arial" w:cs="Arial"/>
          <w:b/>
          <w:bCs/>
          <w:color w:val="EE0000"/>
        </w:rPr>
        <w:t>Fig</w:t>
      </w:r>
      <w:r w:rsidR="00605853">
        <w:rPr>
          <w:rFonts w:ascii="Arial" w:hAnsi="Arial" w:cs="Arial"/>
          <w:b/>
          <w:bCs/>
          <w:color w:val="EE0000"/>
        </w:rPr>
        <w:t>ure</w:t>
      </w:r>
      <w:r w:rsidRPr="00277B42">
        <w:rPr>
          <w:rFonts w:ascii="Arial" w:hAnsi="Arial" w:cs="Arial"/>
          <w:b/>
          <w:bCs/>
          <w:color w:val="EE0000"/>
        </w:rPr>
        <w:t>s and Legends</w:t>
      </w:r>
    </w:p>
    <w:p w14:paraId="3B770495" w14:textId="540C9795" w:rsidR="00786430" w:rsidRDefault="00605853" w:rsidP="00BE4CA2">
      <w:pPr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C00000"/>
          <w:sz w:val="20"/>
          <w:szCs w:val="20"/>
        </w:rPr>
        <w:drawing>
          <wp:inline distT="0" distB="0" distL="0" distR="0" wp14:anchorId="021FFEEF" wp14:editId="17DF512B">
            <wp:extent cx="5943600" cy="7905115"/>
            <wp:effectExtent l="0" t="0" r="0" b="0"/>
            <wp:docPr id="1382835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835541" name="Picture 13828355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93D46" w14:textId="05F9CDAA" w:rsidR="00BE4CA2" w:rsidRPr="00663E24" w:rsidRDefault="00AB727D" w:rsidP="00BE4CA2">
      <w:pPr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lastRenderedPageBreak/>
        <w:t>Fig.</w:t>
      </w:r>
      <w:r w:rsidR="00BE4CA2" w:rsidRPr="00663E24">
        <w:rPr>
          <w:rFonts w:ascii="Arial" w:hAnsi="Arial" w:cs="Arial"/>
          <w:b/>
          <w:bCs/>
          <w:color w:val="C00000"/>
          <w:sz w:val="20"/>
          <w:szCs w:val="20"/>
        </w:rPr>
        <w:t xml:space="preserve"> S1. </w:t>
      </w:r>
      <w:r w:rsidR="00BE4CA2">
        <w:rPr>
          <w:rFonts w:ascii="Arial" w:hAnsi="Arial" w:cs="Arial"/>
          <w:b/>
          <w:bCs/>
          <w:color w:val="C00000"/>
          <w:sz w:val="20"/>
          <w:szCs w:val="20"/>
        </w:rPr>
        <w:t>Concentration-, time- and drug-dependent chromatin recruitment of SLFN11 by DUB inhibitors</w:t>
      </w:r>
    </w:p>
    <w:p w14:paraId="7D404F56" w14:textId="77777777" w:rsidR="00BE4CA2" w:rsidRPr="00E95B3A" w:rsidRDefault="00BE4CA2" w:rsidP="00BE4CA2">
      <w:pPr>
        <w:rPr>
          <w:rFonts w:ascii="Arial" w:hAnsi="Arial" w:cs="Arial"/>
          <w:sz w:val="20"/>
          <w:szCs w:val="20"/>
        </w:rPr>
      </w:pPr>
      <w:r w:rsidRPr="00E95B3A">
        <w:rPr>
          <w:rFonts w:ascii="Arial" w:hAnsi="Arial" w:cs="Arial"/>
          <w:sz w:val="20"/>
          <w:szCs w:val="20"/>
        </w:rPr>
        <w:t>(A) Representative immunofluorescence images of</w:t>
      </w:r>
      <w:r>
        <w:rPr>
          <w:rFonts w:ascii="Arial" w:hAnsi="Arial" w:cs="Arial"/>
          <w:sz w:val="20"/>
          <w:szCs w:val="20"/>
        </w:rPr>
        <w:t xml:space="preserve"> the</w:t>
      </w:r>
      <w:r w:rsidRPr="00E95B3A">
        <w:rPr>
          <w:rFonts w:ascii="Arial" w:hAnsi="Arial" w:cs="Arial"/>
          <w:sz w:val="20"/>
          <w:szCs w:val="20"/>
        </w:rPr>
        <w:t xml:space="preserve"> VLX-1570 treat</w:t>
      </w:r>
      <w:r>
        <w:rPr>
          <w:rFonts w:ascii="Arial" w:hAnsi="Arial" w:cs="Arial"/>
          <w:sz w:val="20"/>
          <w:szCs w:val="20"/>
        </w:rPr>
        <w:t>ed cells</w:t>
      </w:r>
      <w:r w:rsidRPr="00E95B3A">
        <w:rPr>
          <w:rFonts w:ascii="Arial" w:hAnsi="Arial" w:cs="Arial"/>
          <w:sz w:val="20"/>
          <w:szCs w:val="20"/>
        </w:rPr>
        <w:t xml:space="preserve"> in the drug screen.</w:t>
      </w:r>
      <w:r>
        <w:rPr>
          <w:rFonts w:ascii="Arial" w:hAnsi="Arial" w:cs="Arial"/>
          <w:sz w:val="20"/>
          <w:szCs w:val="20"/>
        </w:rPr>
        <w:t xml:space="preserve"> </w:t>
      </w:r>
      <w:r w:rsidRPr="00E95B3A">
        <w:rPr>
          <w:rFonts w:ascii="Arial" w:hAnsi="Arial" w:cs="Arial"/>
          <w:sz w:val="20"/>
          <w:szCs w:val="20"/>
        </w:rPr>
        <w:t xml:space="preserve">Scale bar: </w:t>
      </w:r>
      <w:r>
        <w:rPr>
          <w:rFonts w:ascii="Arial" w:hAnsi="Arial" w:cs="Arial"/>
          <w:sz w:val="20"/>
          <w:szCs w:val="20"/>
        </w:rPr>
        <w:t>10</w:t>
      </w:r>
      <w:r w:rsidRPr="00E95B3A">
        <w:rPr>
          <w:rFonts w:ascii="Arial" w:hAnsi="Arial" w:cs="Arial"/>
          <w:sz w:val="20"/>
          <w:szCs w:val="20"/>
        </w:rPr>
        <w:t> µm</w:t>
      </w:r>
      <w:r>
        <w:rPr>
          <w:rFonts w:ascii="Arial" w:hAnsi="Arial" w:cs="Arial"/>
          <w:sz w:val="20"/>
          <w:szCs w:val="20"/>
        </w:rPr>
        <w:t>.</w:t>
      </w:r>
    </w:p>
    <w:p w14:paraId="27309D31" w14:textId="43E385C8" w:rsidR="00BE4CA2" w:rsidRDefault="00BE4CA2" w:rsidP="00BE4C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(B)</w:t>
      </w:r>
      <w:r w:rsidRPr="00E95B3A">
        <w:rPr>
          <w:rFonts w:ascii="Arial" w:hAnsi="Arial" w:cs="Arial"/>
          <w:sz w:val="20"/>
          <w:szCs w:val="20"/>
        </w:rPr>
        <w:t xml:space="preserve"> </w:t>
      </w:r>
      <w:r w:rsidRPr="001B69B7">
        <w:rPr>
          <w:rFonts w:ascii="Arial" w:hAnsi="Arial" w:cs="Arial"/>
          <w:sz w:val="20"/>
          <w:szCs w:val="20"/>
        </w:rPr>
        <w:t>Representative immunofluorescence images</w:t>
      </w:r>
      <w:r w:rsidRPr="00E95B3A">
        <w:rPr>
          <w:rFonts w:ascii="Arial" w:hAnsi="Arial" w:cs="Arial"/>
          <w:sz w:val="20"/>
          <w:szCs w:val="20"/>
        </w:rPr>
        <w:t xml:space="preserve"> of chromatin-bound SLFN11 with </w:t>
      </w:r>
      <w:r>
        <w:rPr>
          <w:rFonts w:ascii="Arial" w:hAnsi="Arial" w:cs="Arial"/>
          <w:sz w:val="20"/>
          <w:szCs w:val="20"/>
        </w:rPr>
        <w:t>a panel of</w:t>
      </w:r>
      <w:r w:rsidRPr="00E95B3A">
        <w:rPr>
          <w:rFonts w:ascii="Arial" w:hAnsi="Arial" w:cs="Arial"/>
          <w:sz w:val="20"/>
          <w:szCs w:val="20"/>
        </w:rPr>
        <w:t xml:space="preserve"> DUB inhibitors (10 µM, 2 </w:t>
      </w:r>
      <w:r>
        <w:rPr>
          <w:rFonts w:ascii="Arial" w:hAnsi="Arial" w:cs="Arial"/>
          <w:sz w:val="20"/>
          <w:szCs w:val="20"/>
        </w:rPr>
        <w:t>hrs</w:t>
      </w:r>
      <w:r w:rsidRPr="00E95B3A">
        <w:rPr>
          <w:rFonts w:ascii="Arial" w:hAnsi="Arial" w:cs="Arial"/>
          <w:sz w:val="20"/>
          <w:szCs w:val="20"/>
        </w:rPr>
        <w:t>).</w:t>
      </w:r>
      <w:r>
        <w:rPr>
          <w:rFonts w:ascii="Arial" w:hAnsi="Arial" w:cs="Arial"/>
          <w:sz w:val="20"/>
          <w:szCs w:val="20"/>
        </w:rPr>
        <w:t xml:space="preserve"> C</w:t>
      </w:r>
      <w:r w:rsidRPr="00E95B3A">
        <w:rPr>
          <w:rFonts w:ascii="Arial" w:hAnsi="Arial" w:cs="Arial"/>
          <w:sz w:val="20"/>
          <w:szCs w:val="20"/>
        </w:rPr>
        <w:t xml:space="preserve">hromatin-bound SLFN11 </w:t>
      </w:r>
      <w:r>
        <w:rPr>
          <w:rFonts w:ascii="Arial" w:hAnsi="Arial" w:cs="Arial"/>
          <w:sz w:val="20"/>
          <w:szCs w:val="20"/>
        </w:rPr>
        <w:t xml:space="preserve">is in </w:t>
      </w:r>
      <w:r w:rsidRPr="00E95B3A">
        <w:rPr>
          <w:rFonts w:ascii="Arial" w:hAnsi="Arial" w:cs="Arial"/>
          <w:sz w:val="20"/>
          <w:szCs w:val="20"/>
        </w:rPr>
        <w:t xml:space="preserve">green and DAPI </w:t>
      </w:r>
      <w:r>
        <w:rPr>
          <w:rFonts w:ascii="Arial" w:hAnsi="Arial" w:cs="Arial"/>
          <w:sz w:val="20"/>
          <w:szCs w:val="20"/>
        </w:rPr>
        <w:t xml:space="preserve">in </w:t>
      </w:r>
      <w:r w:rsidRPr="00E95B3A">
        <w:rPr>
          <w:rFonts w:ascii="Arial" w:hAnsi="Arial" w:cs="Arial"/>
          <w:sz w:val="20"/>
          <w:szCs w:val="20"/>
        </w:rPr>
        <w:t>blue. Scale bar: 20 µm.</w:t>
      </w:r>
      <w:r>
        <w:rPr>
          <w:rFonts w:ascii="Arial" w:hAnsi="Arial" w:cs="Arial"/>
          <w:sz w:val="20"/>
          <w:szCs w:val="20"/>
        </w:rPr>
        <w:t xml:space="preserve"> </w:t>
      </w:r>
      <w:r w:rsidR="00C35643">
        <w:rPr>
          <w:rFonts w:ascii="Arial" w:hAnsi="Arial" w:cs="Arial"/>
          <w:sz w:val="20"/>
          <w:szCs w:val="20"/>
        </w:rPr>
        <w:t>Known t</w:t>
      </w:r>
      <w:r>
        <w:rPr>
          <w:rFonts w:ascii="Arial" w:hAnsi="Arial" w:cs="Arial"/>
          <w:sz w:val="20"/>
          <w:szCs w:val="20"/>
        </w:rPr>
        <w:t xml:space="preserve">argets of each DUB inhibitor </w:t>
      </w:r>
      <w:r w:rsidR="00C35643">
        <w:rPr>
          <w:rFonts w:ascii="Arial" w:hAnsi="Arial" w:cs="Arial"/>
          <w:sz w:val="20"/>
          <w:szCs w:val="20"/>
        </w:rPr>
        <w:t>are</w:t>
      </w:r>
      <w:r>
        <w:rPr>
          <w:rFonts w:ascii="Arial" w:hAnsi="Arial" w:cs="Arial"/>
          <w:sz w:val="20"/>
          <w:szCs w:val="20"/>
        </w:rPr>
        <w:t xml:space="preserve"> shown.</w:t>
      </w:r>
    </w:p>
    <w:p w14:paraId="0F0B3074" w14:textId="429ACA90" w:rsidR="00BE4CA2" w:rsidRDefault="00BE4CA2" w:rsidP="00BE4C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(C)</w:t>
      </w:r>
      <w:r w:rsidRPr="00E95B3A">
        <w:rPr>
          <w:rFonts w:ascii="Arial" w:hAnsi="Arial" w:cs="Arial"/>
          <w:sz w:val="20"/>
          <w:szCs w:val="20"/>
        </w:rPr>
        <w:t xml:space="preserve"> Quantification of chromatin-bound SLFN11 in individual cells </w:t>
      </w:r>
      <w:r>
        <w:rPr>
          <w:rFonts w:ascii="Arial" w:hAnsi="Arial" w:cs="Arial"/>
          <w:sz w:val="20"/>
          <w:szCs w:val="20"/>
        </w:rPr>
        <w:t>treated with</w:t>
      </w:r>
      <w:r w:rsidRPr="00E95B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different</w:t>
      </w:r>
      <w:r w:rsidRPr="00E95B3A">
        <w:rPr>
          <w:rFonts w:ascii="Arial" w:hAnsi="Arial" w:cs="Arial"/>
          <w:sz w:val="20"/>
          <w:szCs w:val="20"/>
        </w:rPr>
        <w:t xml:space="preserve"> DUB inhibitors </w:t>
      </w:r>
      <w:r>
        <w:rPr>
          <w:rFonts w:ascii="Arial" w:hAnsi="Arial" w:cs="Arial"/>
          <w:sz w:val="20"/>
          <w:szCs w:val="20"/>
        </w:rPr>
        <w:t xml:space="preserve">as </w:t>
      </w:r>
      <w:r w:rsidRPr="00E95B3A">
        <w:rPr>
          <w:rFonts w:ascii="Arial" w:hAnsi="Arial" w:cs="Arial"/>
          <w:sz w:val="20"/>
          <w:szCs w:val="20"/>
        </w:rPr>
        <w:t xml:space="preserve">in panel </w:t>
      </w:r>
      <w:r w:rsidR="00CC7ADD">
        <w:rPr>
          <w:rFonts w:ascii="Arial" w:hAnsi="Arial" w:cs="Arial"/>
          <w:sz w:val="20"/>
          <w:szCs w:val="20"/>
        </w:rPr>
        <w:t>B</w:t>
      </w:r>
      <w:r w:rsidRPr="00E95B3A">
        <w:rPr>
          <w:rFonts w:ascii="Arial" w:hAnsi="Arial" w:cs="Arial"/>
          <w:sz w:val="20"/>
          <w:szCs w:val="20"/>
        </w:rPr>
        <w:t xml:space="preserve"> (n = 117-202</w:t>
      </w:r>
      <w:r>
        <w:rPr>
          <w:rFonts w:ascii="Arial" w:hAnsi="Arial" w:cs="Arial"/>
          <w:sz w:val="20"/>
          <w:szCs w:val="20"/>
        </w:rPr>
        <w:t xml:space="preserve"> cells per condition</w:t>
      </w:r>
      <w:r w:rsidRPr="00E95B3A">
        <w:rPr>
          <w:rFonts w:ascii="Arial" w:hAnsi="Arial" w:cs="Arial"/>
          <w:sz w:val="20"/>
          <w:szCs w:val="20"/>
        </w:rPr>
        <w:t>). ****p &lt; 0.0001</w:t>
      </w:r>
      <w:r>
        <w:rPr>
          <w:rFonts w:ascii="Arial" w:hAnsi="Arial" w:cs="Arial"/>
          <w:sz w:val="20"/>
          <w:szCs w:val="20"/>
        </w:rPr>
        <w:t xml:space="preserve"> (</w:t>
      </w:r>
      <w:r w:rsidRPr="00EB4B42">
        <w:rPr>
          <w:rFonts w:ascii="Arial" w:hAnsi="Arial" w:cs="Arial"/>
          <w:sz w:val="20"/>
          <w:szCs w:val="20"/>
        </w:rPr>
        <w:t>one-way ANOVA</w:t>
      </w:r>
      <w:r>
        <w:rPr>
          <w:rFonts w:ascii="Arial" w:hAnsi="Arial" w:cs="Arial"/>
          <w:sz w:val="20"/>
          <w:szCs w:val="20"/>
        </w:rPr>
        <w:t xml:space="preserve">). </w:t>
      </w:r>
      <w:proofErr w:type="spellStart"/>
      <w:r>
        <w:rPr>
          <w:rFonts w:ascii="Arial" w:hAnsi="Arial" w:cs="Arial"/>
          <w:sz w:val="20"/>
          <w:szCs w:val="20"/>
        </w:rPr>
        <w:t>a.</w:t>
      </w:r>
      <w:r w:rsidRPr="00E95B3A">
        <w:rPr>
          <w:rFonts w:ascii="Arial" w:hAnsi="Arial" w:cs="Arial"/>
          <w:sz w:val="20"/>
          <w:szCs w:val="20"/>
        </w:rPr>
        <w:t>u</w:t>
      </w:r>
      <w:proofErr w:type="spellEnd"/>
      <w:r w:rsidRPr="00E95B3A">
        <w:rPr>
          <w:rFonts w:ascii="Arial" w:hAnsi="Arial" w:cs="Arial"/>
          <w:sz w:val="20"/>
          <w:szCs w:val="20"/>
        </w:rPr>
        <w:t>., arbitrary units.</w:t>
      </w:r>
    </w:p>
    <w:p w14:paraId="3B4E88D7" w14:textId="6B2CDADC" w:rsidR="00BE4CA2" w:rsidRPr="00584305" w:rsidRDefault="00BE4CA2" w:rsidP="00BE4CA2">
      <w:pPr>
        <w:rPr>
          <w:rFonts w:ascii="Arial" w:hAnsi="Arial" w:cs="Arial"/>
          <w:sz w:val="20"/>
          <w:szCs w:val="20"/>
        </w:rPr>
      </w:pPr>
      <w:r w:rsidRPr="00E95B3A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D</w:t>
      </w:r>
      <w:r w:rsidRPr="00E95B3A">
        <w:rPr>
          <w:rFonts w:ascii="Arial" w:hAnsi="Arial" w:cs="Arial"/>
          <w:sz w:val="20"/>
          <w:szCs w:val="20"/>
        </w:rPr>
        <w:t xml:space="preserve">) </w:t>
      </w:r>
      <w:r w:rsidRPr="00663E24">
        <w:rPr>
          <w:rFonts w:ascii="Arial" w:hAnsi="Arial" w:cs="Arial"/>
          <w:sz w:val="20"/>
          <w:szCs w:val="20"/>
        </w:rPr>
        <w:t xml:space="preserve">SLFN11 and </w:t>
      </w:r>
      <w:r>
        <w:rPr>
          <w:rFonts w:ascii="Arial" w:hAnsi="Arial" w:cs="Arial"/>
          <w:sz w:val="20"/>
          <w:szCs w:val="20"/>
        </w:rPr>
        <w:t>Ub</w:t>
      </w:r>
      <w:r w:rsidR="00C35643">
        <w:rPr>
          <w:rFonts w:ascii="Arial" w:hAnsi="Arial" w:cs="Arial"/>
          <w:sz w:val="20"/>
          <w:szCs w:val="20"/>
        </w:rPr>
        <w:t>iquitin</w:t>
      </w:r>
      <w:r w:rsidRPr="00663E24">
        <w:rPr>
          <w:rFonts w:ascii="Arial" w:hAnsi="Arial" w:cs="Arial"/>
          <w:sz w:val="20"/>
          <w:szCs w:val="20"/>
        </w:rPr>
        <w:t xml:space="preserve"> immunoblots of </w:t>
      </w:r>
      <w:r w:rsidRPr="00584305">
        <w:rPr>
          <w:rFonts w:ascii="Arial" w:hAnsi="Arial" w:cs="Arial"/>
          <w:sz w:val="20"/>
          <w:szCs w:val="20"/>
        </w:rPr>
        <w:t>whole-cell lysate (WCL)</w:t>
      </w:r>
      <w:r>
        <w:rPr>
          <w:rFonts w:ascii="Arial" w:hAnsi="Arial" w:cs="Arial"/>
          <w:sz w:val="20"/>
          <w:szCs w:val="20"/>
        </w:rPr>
        <w:t xml:space="preserve"> and </w:t>
      </w:r>
      <w:r w:rsidRPr="00584305">
        <w:rPr>
          <w:rFonts w:ascii="Arial" w:hAnsi="Arial" w:cs="Arial"/>
          <w:sz w:val="20"/>
          <w:szCs w:val="20"/>
        </w:rPr>
        <w:t>chromatin</w:t>
      </w:r>
      <w:r>
        <w:rPr>
          <w:rFonts w:ascii="Arial" w:hAnsi="Arial" w:cs="Arial"/>
          <w:sz w:val="20"/>
          <w:szCs w:val="20"/>
        </w:rPr>
        <w:t xml:space="preserve"> (CHR) fractions</w:t>
      </w:r>
      <w:r w:rsidRPr="00663E24">
        <w:rPr>
          <w:rFonts w:ascii="Arial" w:hAnsi="Arial" w:cs="Arial"/>
          <w:sz w:val="20"/>
          <w:szCs w:val="20"/>
        </w:rPr>
        <w:t xml:space="preserve">. DOX-inducible SLFN11-expressing U2OS cells were </w:t>
      </w:r>
      <w:r>
        <w:rPr>
          <w:rFonts w:ascii="Arial" w:hAnsi="Arial" w:cs="Arial"/>
          <w:sz w:val="20"/>
          <w:szCs w:val="20"/>
        </w:rPr>
        <w:t xml:space="preserve">treated with indicated </w:t>
      </w:r>
      <w:r w:rsidRPr="00E95B3A">
        <w:rPr>
          <w:rFonts w:ascii="Arial" w:hAnsi="Arial" w:cs="Arial"/>
          <w:sz w:val="20"/>
          <w:szCs w:val="20"/>
        </w:rPr>
        <w:t xml:space="preserve">DUB inhibitors (10 µM, 2 </w:t>
      </w:r>
      <w:r>
        <w:rPr>
          <w:rFonts w:ascii="Arial" w:hAnsi="Arial" w:cs="Arial"/>
          <w:sz w:val="20"/>
          <w:szCs w:val="20"/>
        </w:rPr>
        <w:t>hrs</w:t>
      </w:r>
      <w:r w:rsidRPr="00E95B3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, </w:t>
      </w:r>
      <w:r w:rsidRPr="00584305">
        <w:rPr>
          <w:rFonts w:ascii="Arial" w:hAnsi="Arial" w:cs="Arial"/>
          <w:sz w:val="20"/>
          <w:szCs w:val="20"/>
        </w:rPr>
        <w:t>lysed</w:t>
      </w:r>
      <w:r>
        <w:rPr>
          <w:rFonts w:ascii="Arial" w:hAnsi="Arial" w:cs="Arial"/>
          <w:sz w:val="20"/>
          <w:szCs w:val="20"/>
        </w:rPr>
        <w:t>,</w:t>
      </w:r>
      <w:r w:rsidRPr="00584305">
        <w:rPr>
          <w:rFonts w:ascii="Arial" w:hAnsi="Arial" w:cs="Arial"/>
          <w:sz w:val="20"/>
          <w:szCs w:val="20"/>
        </w:rPr>
        <w:t xml:space="preserve"> and fractionated.</w:t>
      </w:r>
      <w:r>
        <w:rPr>
          <w:rFonts w:ascii="Arial" w:hAnsi="Arial" w:cs="Arial"/>
          <w:sz w:val="20"/>
          <w:szCs w:val="20"/>
        </w:rPr>
        <w:t xml:space="preserve"> GAPDH and </w:t>
      </w:r>
      <w:r w:rsidRPr="0041016A">
        <w:rPr>
          <w:rFonts w:ascii="Arial" w:hAnsi="Arial" w:cs="Arial"/>
          <w:sz w:val="20"/>
          <w:szCs w:val="20"/>
        </w:rPr>
        <w:t>Histone H3 were used as control.</w:t>
      </w:r>
    </w:p>
    <w:p w14:paraId="12F6238F" w14:textId="7A227508" w:rsidR="00BE4CA2" w:rsidRPr="00663E24" w:rsidRDefault="00BE4CA2" w:rsidP="00BE4CA2">
      <w:pPr>
        <w:rPr>
          <w:rFonts w:ascii="Arial" w:hAnsi="Arial" w:cs="Arial"/>
          <w:sz w:val="20"/>
          <w:szCs w:val="20"/>
        </w:rPr>
      </w:pPr>
      <w:r w:rsidRPr="00663E24">
        <w:rPr>
          <w:rFonts w:ascii="Arial" w:hAnsi="Arial" w:cs="Arial"/>
          <w:sz w:val="20"/>
          <w:szCs w:val="20"/>
        </w:rPr>
        <w:t>(</w:t>
      </w:r>
      <w:r w:rsidR="008932F3">
        <w:rPr>
          <w:rFonts w:ascii="Arial" w:hAnsi="Arial" w:cs="Arial"/>
          <w:sz w:val="20"/>
          <w:szCs w:val="20"/>
        </w:rPr>
        <w:t>E</w:t>
      </w:r>
      <w:r w:rsidRPr="00663E24">
        <w:rPr>
          <w:rFonts w:ascii="Arial" w:hAnsi="Arial" w:cs="Arial"/>
          <w:sz w:val="20"/>
          <w:szCs w:val="20"/>
        </w:rPr>
        <w:t>) Treatment protocol. DOX-inducible SLFN11-expressing U2OS cells were treated with VLX-1570 (1 µM, 4 hrs) and washed with PBS. Cells were incubated with drug-free media at the indicated time points before collection.</w:t>
      </w:r>
    </w:p>
    <w:p w14:paraId="07BEED69" w14:textId="2C2BDD0F" w:rsidR="00BE4CA2" w:rsidRDefault="00BE4CA2" w:rsidP="00BE4CA2">
      <w:pPr>
        <w:rPr>
          <w:rFonts w:ascii="Arial" w:hAnsi="Arial" w:cs="Arial"/>
          <w:sz w:val="20"/>
          <w:szCs w:val="20"/>
        </w:rPr>
      </w:pPr>
      <w:r w:rsidRPr="00663E24">
        <w:rPr>
          <w:rFonts w:ascii="Arial" w:hAnsi="Arial" w:cs="Arial"/>
          <w:sz w:val="20"/>
          <w:szCs w:val="20"/>
        </w:rPr>
        <w:t>(</w:t>
      </w:r>
      <w:r w:rsidR="008932F3">
        <w:rPr>
          <w:rFonts w:ascii="Arial" w:hAnsi="Arial" w:cs="Arial"/>
          <w:sz w:val="20"/>
          <w:szCs w:val="20"/>
        </w:rPr>
        <w:t>F</w:t>
      </w:r>
      <w:r w:rsidRPr="00663E24">
        <w:rPr>
          <w:rFonts w:ascii="Arial" w:hAnsi="Arial" w:cs="Arial"/>
          <w:sz w:val="20"/>
          <w:szCs w:val="20"/>
        </w:rPr>
        <w:t xml:space="preserve">) Representative immunofluorescence images showing chromatin-bound SLFN11 (green) and DAPI (blue). Scale bar: 5 µm. </w:t>
      </w:r>
    </w:p>
    <w:p w14:paraId="42A67B0F" w14:textId="1BFB5B13" w:rsidR="00BE4CA2" w:rsidRDefault="00BE4CA2" w:rsidP="00BE4C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8932F3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 xml:space="preserve">) </w:t>
      </w:r>
      <w:r w:rsidRPr="00663E24">
        <w:rPr>
          <w:rFonts w:ascii="Arial" w:hAnsi="Arial" w:cs="Arial"/>
          <w:sz w:val="20"/>
          <w:szCs w:val="20"/>
        </w:rPr>
        <w:t xml:space="preserve">Quantification of chromatin-bound SLFN11 signals in individual cells for the indicated treatments (n = 59 – 95 cells per condition). ****p &lt; 0.0001 (one-way ANOVA). </w:t>
      </w:r>
      <w:proofErr w:type="spellStart"/>
      <w:r w:rsidRPr="00663E24">
        <w:rPr>
          <w:rFonts w:ascii="Arial" w:hAnsi="Arial" w:cs="Arial"/>
          <w:sz w:val="20"/>
          <w:szCs w:val="20"/>
        </w:rPr>
        <w:t>a.u</w:t>
      </w:r>
      <w:proofErr w:type="spellEnd"/>
      <w:r w:rsidRPr="00663E24">
        <w:rPr>
          <w:rFonts w:ascii="Arial" w:hAnsi="Arial" w:cs="Arial"/>
          <w:sz w:val="20"/>
          <w:szCs w:val="20"/>
        </w:rPr>
        <w:t>., arbitrary units.</w:t>
      </w:r>
    </w:p>
    <w:p w14:paraId="2DAE0E70" w14:textId="77777777" w:rsidR="008932F3" w:rsidRDefault="008932F3" w:rsidP="00BE4CA2">
      <w:pPr>
        <w:spacing w:before="120"/>
        <w:rPr>
          <w:rFonts w:ascii="Arial" w:hAnsi="Arial" w:cs="Arial"/>
          <w:b/>
          <w:bCs/>
          <w:color w:val="C00000"/>
          <w:sz w:val="20"/>
          <w:szCs w:val="20"/>
        </w:rPr>
      </w:pPr>
    </w:p>
    <w:p w14:paraId="297D1566" w14:textId="3EAABDFA" w:rsidR="008932F3" w:rsidRDefault="008932F3">
      <w:pPr>
        <w:spacing w:after="0" w:line="240" w:lineRule="auto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br w:type="page"/>
      </w:r>
    </w:p>
    <w:p w14:paraId="3746E415" w14:textId="788DADF9" w:rsidR="008932F3" w:rsidRDefault="00605853" w:rsidP="00BE4CA2">
      <w:pPr>
        <w:spacing w:before="120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C00000"/>
          <w:sz w:val="20"/>
          <w:szCs w:val="20"/>
        </w:rPr>
        <w:lastRenderedPageBreak/>
        <w:drawing>
          <wp:inline distT="0" distB="0" distL="0" distR="0" wp14:anchorId="6E582649" wp14:editId="5E7A60C5">
            <wp:extent cx="5943600" cy="4050030"/>
            <wp:effectExtent l="0" t="0" r="0" b="1270"/>
            <wp:docPr id="19406356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35689" name="Picture 19406356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A064" w14:textId="77777777" w:rsidR="00605853" w:rsidRDefault="00605853" w:rsidP="00BE4CA2">
      <w:pPr>
        <w:spacing w:before="120"/>
        <w:rPr>
          <w:rFonts w:ascii="Arial" w:hAnsi="Arial" w:cs="Arial"/>
          <w:b/>
          <w:bCs/>
          <w:color w:val="C00000"/>
          <w:sz w:val="20"/>
          <w:szCs w:val="20"/>
        </w:rPr>
      </w:pPr>
    </w:p>
    <w:p w14:paraId="2124378A" w14:textId="77777777" w:rsidR="00605853" w:rsidRDefault="00605853" w:rsidP="00BE4CA2">
      <w:pPr>
        <w:spacing w:before="120"/>
        <w:rPr>
          <w:rFonts w:ascii="Arial" w:hAnsi="Arial" w:cs="Arial"/>
          <w:b/>
          <w:bCs/>
          <w:color w:val="C00000"/>
          <w:sz w:val="20"/>
          <w:szCs w:val="20"/>
        </w:rPr>
      </w:pPr>
    </w:p>
    <w:p w14:paraId="07CBC4D8" w14:textId="78D8E3CD" w:rsidR="00BE4CA2" w:rsidRPr="00663E24" w:rsidRDefault="00AB727D" w:rsidP="00BE4CA2">
      <w:pPr>
        <w:spacing w:before="120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Fig.</w:t>
      </w:r>
      <w:r w:rsidR="00BE4CA2" w:rsidRPr="00663E24">
        <w:rPr>
          <w:rFonts w:ascii="Arial" w:hAnsi="Arial" w:cs="Arial"/>
          <w:b/>
          <w:bCs/>
          <w:color w:val="C00000"/>
          <w:sz w:val="20"/>
          <w:szCs w:val="20"/>
        </w:rPr>
        <w:t xml:space="preserve"> S</w:t>
      </w:r>
      <w:r w:rsidR="00102448">
        <w:rPr>
          <w:rFonts w:ascii="Arial" w:hAnsi="Arial" w:cs="Arial"/>
          <w:b/>
          <w:bCs/>
          <w:color w:val="C00000"/>
          <w:sz w:val="20"/>
          <w:szCs w:val="20"/>
        </w:rPr>
        <w:t>2</w:t>
      </w:r>
      <w:r w:rsidR="00BE4CA2" w:rsidRPr="00663E24">
        <w:rPr>
          <w:rFonts w:ascii="Arial" w:hAnsi="Arial" w:cs="Arial"/>
          <w:b/>
          <w:bCs/>
          <w:color w:val="C00000"/>
          <w:sz w:val="20"/>
          <w:szCs w:val="20"/>
        </w:rPr>
        <w:t xml:space="preserve">. </w:t>
      </w:r>
      <w:r w:rsidR="00BE4CA2">
        <w:rPr>
          <w:rFonts w:ascii="Arial" w:hAnsi="Arial" w:cs="Arial"/>
          <w:b/>
          <w:bCs/>
          <w:color w:val="C00000"/>
          <w:sz w:val="20"/>
          <w:szCs w:val="20"/>
        </w:rPr>
        <w:t xml:space="preserve">Chromatin recruitment of </w:t>
      </w:r>
      <w:r w:rsidR="00BE4CA2" w:rsidRPr="00663E24">
        <w:rPr>
          <w:rFonts w:ascii="Arial" w:hAnsi="Arial" w:cs="Arial"/>
          <w:b/>
          <w:bCs/>
          <w:color w:val="C00000"/>
          <w:sz w:val="20"/>
          <w:szCs w:val="20"/>
        </w:rPr>
        <w:t xml:space="preserve">SLFN11 by VLX-1570 </w:t>
      </w:r>
      <w:r w:rsidR="00B81185">
        <w:rPr>
          <w:rFonts w:ascii="Arial" w:hAnsi="Arial" w:cs="Arial"/>
          <w:b/>
          <w:bCs/>
          <w:color w:val="C00000"/>
          <w:sz w:val="20"/>
          <w:szCs w:val="20"/>
        </w:rPr>
        <w:t>is less dependent on RPA2</w:t>
      </w:r>
    </w:p>
    <w:p w14:paraId="2F4B5681" w14:textId="56175325" w:rsidR="00BE4CA2" w:rsidRDefault="00BE4CA2" w:rsidP="00BE4C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(A) </w:t>
      </w:r>
      <w:r w:rsidR="00C35643">
        <w:rPr>
          <w:rFonts w:ascii="Arial" w:hAnsi="Arial" w:cs="Arial"/>
          <w:sz w:val="20"/>
          <w:szCs w:val="20"/>
        </w:rPr>
        <w:t>Representative w</w:t>
      </w:r>
      <w:r>
        <w:rPr>
          <w:rFonts w:ascii="Arial" w:hAnsi="Arial" w:cs="Arial"/>
          <w:sz w:val="20"/>
          <w:szCs w:val="20"/>
        </w:rPr>
        <w:t>ide</w:t>
      </w:r>
      <w:r w:rsidR="00C35643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field view </w:t>
      </w:r>
      <w:r w:rsidRPr="00663E24">
        <w:rPr>
          <w:rFonts w:ascii="Arial" w:hAnsi="Arial" w:cs="Arial"/>
          <w:sz w:val="20"/>
          <w:szCs w:val="20"/>
        </w:rPr>
        <w:t>immunofluorescence images</w:t>
      </w:r>
      <w:r w:rsidR="00BB7ADE">
        <w:rPr>
          <w:rFonts w:ascii="Arial" w:hAnsi="Arial" w:cs="Arial"/>
          <w:sz w:val="20"/>
          <w:szCs w:val="20"/>
        </w:rPr>
        <w:t xml:space="preserve"> </w:t>
      </w:r>
      <w:r w:rsidR="008932F3">
        <w:rPr>
          <w:rFonts w:ascii="Arial" w:hAnsi="Arial" w:cs="Arial"/>
          <w:sz w:val="20"/>
          <w:szCs w:val="20"/>
        </w:rPr>
        <w:t>with</w:t>
      </w:r>
      <w:r w:rsidR="00DB25B2">
        <w:rPr>
          <w:rFonts w:ascii="Arial" w:hAnsi="Arial" w:cs="Arial"/>
          <w:sz w:val="20"/>
          <w:szCs w:val="20"/>
        </w:rPr>
        <w:t xml:space="preserve"> </w:t>
      </w:r>
      <w:r w:rsidRPr="00663E24">
        <w:rPr>
          <w:rFonts w:ascii="Arial" w:hAnsi="Arial" w:cs="Arial"/>
          <w:sz w:val="20"/>
          <w:szCs w:val="20"/>
        </w:rPr>
        <w:t>chromatin-bound SLFN11 (green)</w:t>
      </w:r>
      <w:r w:rsidR="00C35643">
        <w:rPr>
          <w:rFonts w:ascii="Arial" w:hAnsi="Arial" w:cs="Arial"/>
          <w:sz w:val="20"/>
          <w:szCs w:val="20"/>
        </w:rPr>
        <w:t xml:space="preserve"> and</w:t>
      </w:r>
      <w:r w:rsidRPr="00663E24">
        <w:rPr>
          <w:rFonts w:ascii="Arial" w:hAnsi="Arial" w:cs="Arial"/>
          <w:sz w:val="20"/>
          <w:szCs w:val="20"/>
        </w:rPr>
        <w:t xml:space="preserve"> RPA2 (red)</w:t>
      </w:r>
      <w:r w:rsidR="00CC7ADD">
        <w:rPr>
          <w:rFonts w:ascii="Arial" w:hAnsi="Arial" w:cs="Arial"/>
          <w:sz w:val="20"/>
          <w:szCs w:val="20"/>
        </w:rPr>
        <w:t xml:space="preserve"> in </w:t>
      </w:r>
      <w:r w:rsidR="00AB727D">
        <w:rPr>
          <w:rFonts w:ascii="Arial" w:hAnsi="Arial" w:cs="Arial"/>
          <w:sz w:val="20"/>
          <w:szCs w:val="20"/>
        </w:rPr>
        <w:t>Fig.</w:t>
      </w:r>
      <w:r w:rsidR="00CC7ADD">
        <w:rPr>
          <w:rFonts w:ascii="Arial" w:hAnsi="Arial" w:cs="Arial"/>
          <w:sz w:val="20"/>
          <w:szCs w:val="20"/>
        </w:rPr>
        <w:t xml:space="preserve"> 2B</w:t>
      </w:r>
      <w:r w:rsidR="00C35643">
        <w:rPr>
          <w:rFonts w:ascii="Arial" w:hAnsi="Arial" w:cs="Arial"/>
          <w:sz w:val="20"/>
          <w:szCs w:val="20"/>
        </w:rPr>
        <w:t>. Nuclei are stained with</w:t>
      </w:r>
      <w:r w:rsidRPr="00663E24">
        <w:rPr>
          <w:rFonts w:ascii="Arial" w:hAnsi="Arial" w:cs="Arial"/>
          <w:sz w:val="20"/>
          <w:szCs w:val="20"/>
        </w:rPr>
        <w:t xml:space="preserve"> DAPI (blue).</w:t>
      </w:r>
      <w:r>
        <w:rPr>
          <w:rFonts w:ascii="Arial" w:hAnsi="Arial" w:cs="Arial"/>
          <w:sz w:val="20"/>
          <w:szCs w:val="20"/>
        </w:rPr>
        <w:t xml:space="preserve"> </w:t>
      </w:r>
      <w:r w:rsidRPr="00663E24">
        <w:rPr>
          <w:rFonts w:ascii="Arial" w:hAnsi="Arial" w:cs="Arial"/>
          <w:sz w:val="20"/>
          <w:szCs w:val="20"/>
        </w:rPr>
        <w:t>Scale bar: 20 µm.</w:t>
      </w:r>
    </w:p>
    <w:p w14:paraId="78426A00" w14:textId="05E91E8A" w:rsidR="00BE4CA2" w:rsidRDefault="00BE4CA2" w:rsidP="00BE4C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(B) Correlation between </w:t>
      </w:r>
      <w:r w:rsidRPr="00663E24">
        <w:rPr>
          <w:rFonts w:ascii="Arial" w:hAnsi="Arial" w:cs="Arial"/>
          <w:sz w:val="20"/>
          <w:szCs w:val="20"/>
        </w:rPr>
        <w:t xml:space="preserve">chromatin-bound SLFN11 and </w:t>
      </w:r>
      <w:r>
        <w:rPr>
          <w:rFonts w:ascii="Arial" w:hAnsi="Arial" w:cs="Arial"/>
          <w:sz w:val="20"/>
          <w:szCs w:val="20"/>
        </w:rPr>
        <w:t>RPA2</w:t>
      </w:r>
      <w:r w:rsidRPr="00663E24">
        <w:rPr>
          <w:rFonts w:ascii="Arial" w:hAnsi="Arial" w:cs="Arial"/>
          <w:sz w:val="20"/>
          <w:szCs w:val="20"/>
        </w:rPr>
        <w:t xml:space="preserve"> signals in individual cells for the indicated treatments </w:t>
      </w:r>
      <w:r w:rsidR="00DB25B2">
        <w:rPr>
          <w:rFonts w:ascii="Arial" w:hAnsi="Arial" w:cs="Arial"/>
          <w:sz w:val="20"/>
          <w:szCs w:val="20"/>
        </w:rPr>
        <w:t xml:space="preserve">shown </w:t>
      </w:r>
      <w:r>
        <w:rPr>
          <w:rFonts w:ascii="Arial" w:hAnsi="Arial" w:cs="Arial"/>
          <w:sz w:val="20"/>
          <w:szCs w:val="20"/>
        </w:rPr>
        <w:t xml:space="preserve">in panel A. </w:t>
      </w:r>
      <w:r w:rsidRPr="008D641B">
        <w:rPr>
          <w:rFonts w:ascii="Arial" w:hAnsi="Arial" w:cs="Arial"/>
          <w:sz w:val="20"/>
          <w:szCs w:val="20"/>
        </w:rPr>
        <w:t xml:space="preserve">Thresholds for </w:t>
      </w:r>
      <w:r>
        <w:rPr>
          <w:rFonts w:ascii="Arial" w:hAnsi="Arial" w:cs="Arial"/>
          <w:sz w:val="20"/>
          <w:szCs w:val="20"/>
        </w:rPr>
        <w:t>RPA2</w:t>
      </w:r>
      <w:r w:rsidRPr="008D641B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10</w:t>
      </w:r>
      <w:r w:rsidRPr="008D641B">
        <w:rPr>
          <w:rFonts w:ascii="Arial" w:hAnsi="Arial" w:cs="Arial"/>
          <w:sz w:val="20"/>
          <w:szCs w:val="20"/>
        </w:rPr>
        <w:t>) and</w:t>
      </w:r>
      <w:r>
        <w:rPr>
          <w:rFonts w:ascii="Arial" w:hAnsi="Arial" w:cs="Arial"/>
          <w:sz w:val="20"/>
          <w:szCs w:val="20"/>
        </w:rPr>
        <w:t xml:space="preserve"> </w:t>
      </w:r>
      <w:r w:rsidRPr="008D641B">
        <w:rPr>
          <w:rFonts w:ascii="Arial" w:hAnsi="Arial" w:cs="Arial"/>
          <w:sz w:val="20"/>
          <w:szCs w:val="20"/>
        </w:rPr>
        <w:t>SLFN11 (5) were set from distributions in the control experiment.</w:t>
      </w:r>
      <w:r>
        <w:rPr>
          <w:rFonts w:ascii="Arial" w:hAnsi="Arial" w:cs="Arial"/>
          <w:sz w:val="20"/>
          <w:szCs w:val="20"/>
        </w:rPr>
        <w:t xml:space="preserve"> </w:t>
      </w:r>
      <w:bookmarkStart w:id="0" w:name="OLE_LINK55"/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 w:hint="eastAsia"/>
          <w:sz w:val="20"/>
          <w:szCs w:val="20"/>
        </w:rPr>
        <w:t xml:space="preserve"> value was calculated using</w:t>
      </w:r>
      <w:r>
        <w:rPr>
          <w:rFonts w:ascii="Arial" w:hAnsi="Arial" w:cs="Arial"/>
          <w:sz w:val="20"/>
          <w:szCs w:val="20"/>
        </w:rPr>
        <w:t xml:space="preserve"> P</w:t>
      </w:r>
      <w:r>
        <w:rPr>
          <w:rFonts w:ascii="Arial" w:hAnsi="Arial" w:cs="Arial" w:hint="eastAsia"/>
          <w:sz w:val="20"/>
          <w:szCs w:val="20"/>
        </w:rPr>
        <w:t>earson</w:t>
      </w:r>
      <w:r>
        <w:rPr>
          <w:rFonts w:ascii="Arial" w:hAnsi="Arial" w:cs="Arial"/>
          <w:sz w:val="20"/>
          <w:szCs w:val="20"/>
        </w:rPr>
        <w:t>’</w:t>
      </w:r>
      <w:r>
        <w:rPr>
          <w:rFonts w:ascii="Arial" w:hAnsi="Arial" w:cs="Arial" w:hint="eastAsia"/>
          <w:sz w:val="20"/>
          <w:szCs w:val="20"/>
        </w:rPr>
        <w:t>s chi-</w:t>
      </w:r>
      <w:r>
        <w:rPr>
          <w:rFonts w:ascii="Arial" w:hAnsi="Arial" w:cs="Arial"/>
          <w:sz w:val="20"/>
          <w:szCs w:val="20"/>
        </w:rPr>
        <w:t>square</w:t>
      </w:r>
      <w:r>
        <w:rPr>
          <w:rFonts w:ascii="Arial" w:hAnsi="Arial" w:cs="Arial" w:hint="eastAsia"/>
          <w:sz w:val="20"/>
          <w:szCs w:val="20"/>
        </w:rPr>
        <w:t xml:space="preserve"> test.</w:t>
      </w:r>
      <w:r w:rsidRPr="00663E24">
        <w:rPr>
          <w:rFonts w:ascii="Arial" w:hAnsi="Arial" w:cs="Arial" w:hint="eastAsia"/>
          <w:sz w:val="20"/>
          <w:szCs w:val="20"/>
        </w:rPr>
        <w:t xml:space="preserve"> </w:t>
      </w:r>
      <w:bookmarkEnd w:id="0"/>
      <w:proofErr w:type="spellStart"/>
      <w:r w:rsidRPr="00663E24">
        <w:rPr>
          <w:rFonts w:ascii="Arial" w:hAnsi="Arial" w:cs="Arial"/>
          <w:sz w:val="20"/>
          <w:szCs w:val="20"/>
        </w:rPr>
        <w:t>a.u</w:t>
      </w:r>
      <w:proofErr w:type="spellEnd"/>
      <w:r w:rsidRPr="00663E24">
        <w:rPr>
          <w:rFonts w:ascii="Arial" w:hAnsi="Arial" w:cs="Arial"/>
          <w:sz w:val="20"/>
          <w:szCs w:val="20"/>
        </w:rPr>
        <w:t>., arbitrary units.</w:t>
      </w:r>
    </w:p>
    <w:p w14:paraId="3EB4515A" w14:textId="0724A9DD" w:rsidR="00102448" w:rsidRDefault="00102448">
      <w:pPr>
        <w:spacing w:after="0" w:line="240" w:lineRule="auto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br w:type="page"/>
      </w:r>
    </w:p>
    <w:p w14:paraId="24952621" w14:textId="79087E0F" w:rsidR="00102448" w:rsidRDefault="00605853" w:rsidP="00BE4CA2">
      <w:pPr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C00000"/>
          <w:sz w:val="20"/>
          <w:szCs w:val="20"/>
        </w:rPr>
        <w:lastRenderedPageBreak/>
        <w:drawing>
          <wp:inline distT="0" distB="0" distL="0" distR="0" wp14:anchorId="55D90F2B" wp14:editId="5D2B3AC4">
            <wp:extent cx="5943600" cy="2912110"/>
            <wp:effectExtent l="0" t="0" r="0" b="0"/>
            <wp:docPr id="5692559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55927" name="Picture 5692559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7A2B" w14:textId="77777777" w:rsidR="00605853" w:rsidRDefault="00605853" w:rsidP="00BE4CA2">
      <w:pPr>
        <w:rPr>
          <w:rFonts w:ascii="Arial" w:hAnsi="Arial" w:cs="Arial"/>
          <w:b/>
          <w:bCs/>
          <w:color w:val="C00000"/>
          <w:sz w:val="20"/>
          <w:szCs w:val="20"/>
        </w:rPr>
      </w:pPr>
    </w:p>
    <w:p w14:paraId="5C24EAF6" w14:textId="77777777" w:rsidR="00605853" w:rsidRDefault="00605853" w:rsidP="00BE4CA2">
      <w:pPr>
        <w:rPr>
          <w:rFonts w:ascii="Arial" w:hAnsi="Arial" w:cs="Arial"/>
          <w:b/>
          <w:bCs/>
          <w:color w:val="C00000"/>
          <w:sz w:val="20"/>
          <w:szCs w:val="20"/>
        </w:rPr>
      </w:pPr>
    </w:p>
    <w:p w14:paraId="46BA0426" w14:textId="6BFEF96F" w:rsidR="00BE4CA2" w:rsidRPr="00926CCD" w:rsidRDefault="00AB727D" w:rsidP="00BE4CA2">
      <w:pPr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Fig.</w:t>
      </w:r>
      <w:r w:rsidR="00BE4CA2" w:rsidRPr="00926CCD">
        <w:rPr>
          <w:rFonts w:ascii="Arial" w:hAnsi="Arial" w:cs="Arial"/>
          <w:b/>
          <w:bCs/>
          <w:color w:val="C00000"/>
          <w:sz w:val="20"/>
          <w:szCs w:val="20"/>
        </w:rPr>
        <w:t xml:space="preserve"> S</w:t>
      </w:r>
      <w:r w:rsidR="00102448">
        <w:rPr>
          <w:rFonts w:ascii="Arial" w:hAnsi="Arial" w:cs="Arial"/>
          <w:b/>
          <w:bCs/>
          <w:color w:val="C00000"/>
          <w:sz w:val="20"/>
          <w:szCs w:val="20"/>
        </w:rPr>
        <w:t>3</w:t>
      </w:r>
      <w:r w:rsidR="00BE4CA2" w:rsidRPr="00926CCD">
        <w:rPr>
          <w:rFonts w:ascii="Arial" w:hAnsi="Arial" w:cs="Arial"/>
          <w:b/>
          <w:bCs/>
          <w:color w:val="C00000"/>
          <w:sz w:val="20"/>
          <w:szCs w:val="20"/>
        </w:rPr>
        <w:t>. Chromatin-bound SLFN11 does not localizes in heterochromatin regions</w:t>
      </w:r>
      <w:r w:rsidR="00BE4CA2">
        <w:rPr>
          <w:rFonts w:ascii="Arial" w:hAnsi="Arial" w:cs="Arial"/>
          <w:b/>
          <w:bCs/>
          <w:color w:val="C00000"/>
          <w:sz w:val="20"/>
          <w:szCs w:val="20"/>
        </w:rPr>
        <w:t xml:space="preserve"> and SLFN11 sensitize cells to VLX-1570 treatment.</w:t>
      </w:r>
    </w:p>
    <w:p w14:paraId="693DFF6B" w14:textId="5FED0E29" w:rsidR="00BE4CA2" w:rsidRPr="00E95B3A" w:rsidRDefault="00BE4CA2" w:rsidP="00BE4C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(A)</w:t>
      </w:r>
      <w:r w:rsidRPr="00E95B3A">
        <w:rPr>
          <w:rFonts w:ascii="Arial" w:hAnsi="Arial" w:cs="Arial"/>
          <w:sz w:val="20"/>
          <w:szCs w:val="20"/>
        </w:rPr>
        <w:t xml:space="preserve"> Representative immunofluorescence images</w:t>
      </w:r>
      <w:r>
        <w:rPr>
          <w:rFonts w:ascii="Arial" w:hAnsi="Arial" w:cs="Arial"/>
          <w:sz w:val="20"/>
          <w:szCs w:val="20"/>
        </w:rPr>
        <w:t xml:space="preserve"> showing</w:t>
      </w:r>
      <w:r w:rsidRPr="00E95B3A">
        <w:rPr>
          <w:rFonts w:ascii="Arial" w:hAnsi="Arial" w:cs="Arial"/>
          <w:sz w:val="20"/>
          <w:szCs w:val="20"/>
        </w:rPr>
        <w:t xml:space="preserve"> chromatin-bound SLFN11 (green), </w:t>
      </w:r>
      <w:r>
        <w:rPr>
          <w:rFonts w:ascii="Arial" w:hAnsi="Arial" w:cs="Arial"/>
          <w:sz w:val="20"/>
          <w:szCs w:val="20"/>
        </w:rPr>
        <w:t>H3K27me3</w:t>
      </w:r>
      <w:r w:rsidRPr="00E95B3A">
        <w:rPr>
          <w:rFonts w:ascii="Arial" w:hAnsi="Arial" w:cs="Arial"/>
          <w:sz w:val="20"/>
          <w:szCs w:val="20"/>
        </w:rPr>
        <w:t xml:space="preserve"> (red) and DAPI (blue). Scale bar: </w:t>
      </w:r>
      <w:r>
        <w:rPr>
          <w:rFonts w:ascii="Arial" w:hAnsi="Arial" w:cs="Arial"/>
          <w:sz w:val="20"/>
          <w:szCs w:val="20"/>
        </w:rPr>
        <w:t>5</w:t>
      </w:r>
      <w:r w:rsidRPr="00E95B3A">
        <w:rPr>
          <w:rFonts w:ascii="Arial" w:hAnsi="Arial" w:cs="Arial"/>
          <w:sz w:val="20"/>
          <w:szCs w:val="20"/>
        </w:rPr>
        <w:t> µm.</w:t>
      </w:r>
      <w:r>
        <w:rPr>
          <w:rFonts w:ascii="Arial" w:hAnsi="Arial" w:cs="Arial"/>
          <w:sz w:val="20"/>
          <w:szCs w:val="20"/>
        </w:rPr>
        <w:t xml:space="preserve"> </w:t>
      </w:r>
      <w:r w:rsidRPr="001B69B7">
        <w:rPr>
          <w:rFonts w:ascii="Arial" w:hAnsi="Arial" w:cs="Arial"/>
          <w:sz w:val="20"/>
          <w:szCs w:val="20"/>
        </w:rPr>
        <w:t>DOX-inducible SLFN11-expressing U2OS cells were treated with VLX-1570 (1 µM</w:t>
      </w:r>
      <w:r w:rsidR="00FB2564">
        <w:rPr>
          <w:rFonts w:ascii="Arial" w:hAnsi="Arial" w:cs="Arial"/>
          <w:sz w:val="20"/>
          <w:szCs w:val="20"/>
        </w:rPr>
        <w:t>, 4 hrs</w:t>
      </w:r>
      <w:r>
        <w:rPr>
          <w:rFonts w:ascii="Arial" w:hAnsi="Arial" w:cs="Arial"/>
          <w:sz w:val="20"/>
          <w:szCs w:val="20"/>
        </w:rPr>
        <w:t xml:space="preserve">) followed by pre-extraction and staining. </w:t>
      </w:r>
    </w:p>
    <w:p w14:paraId="0A7C8F01" w14:textId="77777777" w:rsidR="00BE4CA2" w:rsidRDefault="00BE4CA2" w:rsidP="00BE4C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(B)</w:t>
      </w:r>
      <w:r w:rsidRPr="00E95B3A">
        <w:rPr>
          <w:rFonts w:ascii="Arial" w:hAnsi="Arial" w:cs="Arial"/>
          <w:sz w:val="20"/>
          <w:szCs w:val="20"/>
        </w:rPr>
        <w:t xml:space="preserve"> Quantification of chromatin-bound SLFN11</w:t>
      </w:r>
      <w:r>
        <w:rPr>
          <w:rFonts w:ascii="Arial" w:hAnsi="Arial" w:cs="Arial"/>
          <w:sz w:val="20"/>
          <w:szCs w:val="20"/>
        </w:rPr>
        <w:t xml:space="preserve"> and H3K27me3</w:t>
      </w:r>
      <w:r w:rsidRPr="00E95B3A">
        <w:rPr>
          <w:rFonts w:ascii="Arial" w:hAnsi="Arial" w:cs="Arial"/>
          <w:sz w:val="20"/>
          <w:szCs w:val="20"/>
        </w:rPr>
        <w:t xml:space="preserve"> signals in individual cells for the indicated treatment</w:t>
      </w:r>
      <w:r>
        <w:rPr>
          <w:rFonts w:ascii="Arial" w:hAnsi="Arial" w:cs="Arial"/>
          <w:sz w:val="20"/>
          <w:szCs w:val="20"/>
        </w:rPr>
        <w:t>s</w:t>
      </w:r>
      <w:r w:rsidRPr="00E95B3A">
        <w:rPr>
          <w:rFonts w:ascii="Arial" w:hAnsi="Arial" w:cs="Arial"/>
          <w:sz w:val="20"/>
          <w:szCs w:val="20"/>
        </w:rPr>
        <w:t xml:space="preserve"> depicted in panel </w:t>
      </w:r>
      <w:r>
        <w:rPr>
          <w:rFonts w:ascii="Arial" w:hAnsi="Arial" w:cs="Arial"/>
          <w:sz w:val="20"/>
          <w:szCs w:val="20"/>
        </w:rPr>
        <w:t xml:space="preserve">A (n = 69 – 92 cells per condition). ns, non-significant. </w:t>
      </w:r>
      <w:r w:rsidRPr="00E95B3A">
        <w:rPr>
          <w:rFonts w:ascii="Arial" w:hAnsi="Arial" w:cs="Arial"/>
          <w:sz w:val="20"/>
          <w:szCs w:val="20"/>
        </w:rPr>
        <w:t>****p &lt; 0.0001</w:t>
      </w:r>
      <w:r>
        <w:rPr>
          <w:rFonts w:ascii="Arial" w:hAnsi="Arial" w:cs="Arial"/>
          <w:sz w:val="20"/>
          <w:szCs w:val="20"/>
        </w:rPr>
        <w:t xml:space="preserve"> (</w:t>
      </w:r>
      <w:r w:rsidRPr="00EB4B42">
        <w:rPr>
          <w:rFonts w:ascii="Arial" w:hAnsi="Arial" w:cs="Arial"/>
          <w:sz w:val="20"/>
          <w:szCs w:val="20"/>
        </w:rPr>
        <w:t>one-way ANOVA</w:t>
      </w:r>
      <w:r>
        <w:rPr>
          <w:rFonts w:ascii="Arial" w:hAnsi="Arial" w:cs="Arial"/>
          <w:sz w:val="20"/>
          <w:szCs w:val="20"/>
        </w:rPr>
        <w:t xml:space="preserve">). </w:t>
      </w:r>
      <w:proofErr w:type="spellStart"/>
      <w:r>
        <w:rPr>
          <w:rFonts w:ascii="Arial" w:hAnsi="Arial" w:cs="Arial"/>
          <w:sz w:val="20"/>
          <w:szCs w:val="20"/>
        </w:rPr>
        <w:t>a.</w:t>
      </w:r>
      <w:r w:rsidRPr="00E95B3A">
        <w:rPr>
          <w:rFonts w:ascii="Arial" w:hAnsi="Arial" w:cs="Arial"/>
          <w:sz w:val="20"/>
          <w:szCs w:val="20"/>
        </w:rPr>
        <w:t>u</w:t>
      </w:r>
      <w:proofErr w:type="spellEnd"/>
      <w:r w:rsidRPr="00E95B3A">
        <w:rPr>
          <w:rFonts w:ascii="Arial" w:hAnsi="Arial" w:cs="Arial"/>
          <w:sz w:val="20"/>
          <w:szCs w:val="20"/>
        </w:rPr>
        <w:t>., arbitrary units.</w:t>
      </w:r>
    </w:p>
    <w:p w14:paraId="7C9B4E85" w14:textId="1732AC2B" w:rsidR="00102448" w:rsidRDefault="00102448">
      <w:pPr>
        <w:spacing w:after="0" w:line="240" w:lineRule="auto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br w:type="page"/>
      </w:r>
    </w:p>
    <w:p w14:paraId="0E03A55F" w14:textId="341673F0" w:rsidR="00102448" w:rsidRDefault="00605853" w:rsidP="00BE4CA2">
      <w:pPr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C00000"/>
          <w:sz w:val="20"/>
          <w:szCs w:val="20"/>
        </w:rPr>
        <w:lastRenderedPageBreak/>
        <w:drawing>
          <wp:inline distT="0" distB="0" distL="0" distR="0" wp14:anchorId="5C6A8930" wp14:editId="566AE049">
            <wp:extent cx="5943600" cy="2946400"/>
            <wp:effectExtent l="0" t="0" r="0" b="0"/>
            <wp:docPr id="19022898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89837" name="Picture 19022898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7E06" w14:textId="77777777" w:rsidR="00605853" w:rsidRDefault="00605853" w:rsidP="00BE4CA2">
      <w:pPr>
        <w:rPr>
          <w:rFonts w:ascii="Arial" w:hAnsi="Arial" w:cs="Arial"/>
          <w:b/>
          <w:bCs/>
          <w:color w:val="C00000"/>
          <w:sz w:val="20"/>
          <w:szCs w:val="20"/>
        </w:rPr>
      </w:pPr>
    </w:p>
    <w:p w14:paraId="21473B98" w14:textId="77777777" w:rsidR="00605853" w:rsidRDefault="00605853" w:rsidP="00BE4CA2">
      <w:pPr>
        <w:rPr>
          <w:rFonts w:ascii="Arial" w:hAnsi="Arial" w:cs="Arial"/>
          <w:b/>
          <w:bCs/>
          <w:color w:val="C00000"/>
          <w:sz w:val="20"/>
          <w:szCs w:val="20"/>
        </w:rPr>
      </w:pPr>
    </w:p>
    <w:p w14:paraId="3B363137" w14:textId="297ED8A8" w:rsidR="00BE4CA2" w:rsidRPr="00663E24" w:rsidRDefault="00AB727D" w:rsidP="00BE4CA2">
      <w:pPr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Fig.</w:t>
      </w:r>
      <w:r w:rsidR="00BE4CA2" w:rsidRPr="00663E24">
        <w:rPr>
          <w:rFonts w:ascii="Arial" w:hAnsi="Arial" w:cs="Arial"/>
          <w:b/>
          <w:bCs/>
          <w:color w:val="C00000"/>
          <w:sz w:val="20"/>
          <w:szCs w:val="20"/>
        </w:rPr>
        <w:t xml:space="preserve"> S</w:t>
      </w:r>
      <w:r w:rsidR="00102448">
        <w:rPr>
          <w:rFonts w:ascii="Arial" w:hAnsi="Arial" w:cs="Arial"/>
          <w:b/>
          <w:bCs/>
          <w:color w:val="C00000"/>
          <w:sz w:val="20"/>
          <w:szCs w:val="20"/>
        </w:rPr>
        <w:t>4</w:t>
      </w:r>
      <w:r w:rsidR="00BE4CA2" w:rsidRPr="00663E24">
        <w:rPr>
          <w:rFonts w:ascii="Arial" w:hAnsi="Arial" w:cs="Arial"/>
          <w:b/>
          <w:bCs/>
          <w:color w:val="C00000"/>
          <w:sz w:val="20"/>
          <w:szCs w:val="20"/>
        </w:rPr>
        <w:t>. Chromatin bound ubiquitinated proteins in VLX-1570-treated cells</w:t>
      </w:r>
    </w:p>
    <w:p w14:paraId="290AE14D" w14:textId="7F4B1EAC" w:rsidR="00BE4CA2" w:rsidRPr="00663E24" w:rsidRDefault="00BE4CA2" w:rsidP="00BE4CA2">
      <w:pPr>
        <w:rPr>
          <w:rFonts w:ascii="Arial" w:hAnsi="Arial" w:cs="Arial"/>
          <w:sz w:val="20"/>
          <w:szCs w:val="20"/>
        </w:rPr>
      </w:pPr>
      <w:r w:rsidRPr="00663E24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A</w:t>
      </w:r>
      <w:r w:rsidRPr="00663E24">
        <w:rPr>
          <w:rFonts w:ascii="Arial" w:hAnsi="Arial" w:cs="Arial"/>
          <w:sz w:val="20"/>
          <w:szCs w:val="20"/>
        </w:rPr>
        <w:t xml:space="preserve">) Representative immunofluorescence images showing chromatin-bound SLFN11 (green), FK2 (red) and DAPI (blue). </w:t>
      </w:r>
      <w:r w:rsidRPr="00E5636C">
        <w:rPr>
          <w:rFonts w:ascii="Arial" w:hAnsi="Arial" w:cs="Arial"/>
          <w:sz w:val="20"/>
          <w:szCs w:val="20"/>
        </w:rPr>
        <w:t>FK2 recognizes both monoubiquitinated and polyubiquitinated proteins</w:t>
      </w:r>
      <w:r>
        <w:rPr>
          <w:rFonts w:ascii="Arial" w:hAnsi="Arial" w:cs="Arial"/>
          <w:sz w:val="20"/>
          <w:szCs w:val="20"/>
        </w:rPr>
        <w:t xml:space="preserve">. </w:t>
      </w:r>
      <w:r w:rsidRPr="00663E24">
        <w:rPr>
          <w:rFonts w:ascii="Arial" w:hAnsi="Arial" w:cs="Arial"/>
          <w:sz w:val="20"/>
          <w:szCs w:val="20"/>
        </w:rPr>
        <w:t xml:space="preserve">Scale bar: 10 µm. DOX-inducible SLFN11-expressing U2OS cells were treated with VLX-1570 (1 µM, 4 hrs) with or without 1 </w:t>
      </w:r>
      <w:proofErr w:type="spellStart"/>
      <w:r w:rsidRPr="00663E24">
        <w:rPr>
          <w:rFonts w:ascii="Arial" w:hAnsi="Arial" w:cs="Arial"/>
          <w:sz w:val="20"/>
          <w:szCs w:val="20"/>
        </w:rPr>
        <w:t>hr</w:t>
      </w:r>
      <w:proofErr w:type="spellEnd"/>
      <w:r w:rsidRPr="00663E24">
        <w:rPr>
          <w:rFonts w:ascii="Arial" w:hAnsi="Arial" w:cs="Arial"/>
          <w:sz w:val="20"/>
          <w:szCs w:val="20"/>
        </w:rPr>
        <w:t xml:space="preserve"> pre-treatment with TAK243 (2 µM) as indicated in </w:t>
      </w:r>
      <w:r w:rsidR="00AB727D">
        <w:rPr>
          <w:rFonts w:ascii="Arial" w:hAnsi="Arial" w:cs="Arial"/>
          <w:sz w:val="20"/>
          <w:szCs w:val="20"/>
        </w:rPr>
        <w:t>Fig.</w:t>
      </w:r>
      <w:r w:rsidRPr="00663E24">
        <w:rPr>
          <w:rFonts w:ascii="Arial" w:hAnsi="Arial" w:cs="Arial"/>
          <w:sz w:val="20"/>
          <w:szCs w:val="20"/>
        </w:rPr>
        <w:t xml:space="preserve"> </w:t>
      </w:r>
      <w:r w:rsidR="00DB25B2">
        <w:rPr>
          <w:rFonts w:ascii="Arial" w:hAnsi="Arial" w:cs="Arial"/>
          <w:sz w:val="20"/>
          <w:szCs w:val="20"/>
        </w:rPr>
        <w:t>4B</w:t>
      </w:r>
      <w:r w:rsidRPr="00663E24">
        <w:rPr>
          <w:rFonts w:ascii="Arial" w:hAnsi="Arial" w:cs="Arial"/>
          <w:sz w:val="20"/>
          <w:szCs w:val="20"/>
        </w:rPr>
        <w:t xml:space="preserve">. </w:t>
      </w:r>
    </w:p>
    <w:p w14:paraId="2172040B" w14:textId="77777777" w:rsidR="00BE4CA2" w:rsidRDefault="00BE4CA2" w:rsidP="00BE4CA2">
      <w:pPr>
        <w:rPr>
          <w:rFonts w:ascii="Arial" w:hAnsi="Arial" w:cs="Arial"/>
          <w:sz w:val="20"/>
          <w:szCs w:val="20"/>
        </w:rPr>
      </w:pPr>
      <w:r w:rsidRPr="00663E24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B</w:t>
      </w:r>
      <w:r w:rsidRPr="00663E24">
        <w:rPr>
          <w:rFonts w:ascii="Arial" w:hAnsi="Arial" w:cs="Arial"/>
          <w:sz w:val="20"/>
          <w:szCs w:val="20"/>
        </w:rPr>
        <w:t xml:space="preserve">) Quantification of chromatin-bound SLFN11 and FK2 signals in individual cells for the indicated treatments (n = 134 – 274 cells per condition). ****p &lt; 0.0001 (one-way ANOVA). </w:t>
      </w:r>
      <w:proofErr w:type="spellStart"/>
      <w:r w:rsidRPr="00663E24">
        <w:rPr>
          <w:rFonts w:ascii="Arial" w:hAnsi="Arial" w:cs="Arial"/>
          <w:sz w:val="20"/>
          <w:szCs w:val="20"/>
        </w:rPr>
        <w:t>a.u</w:t>
      </w:r>
      <w:proofErr w:type="spellEnd"/>
      <w:r w:rsidRPr="00663E24">
        <w:rPr>
          <w:rFonts w:ascii="Arial" w:hAnsi="Arial" w:cs="Arial"/>
          <w:sz w:val="20"/>
          <w:szCs w:val="20"/>
        </w:rPr>
        <w:t>., arbitrary units.</w:t>
      </w:r>
    </w:p>
    <w:p w14:paraId="3E42DA60" w14:textId="77777777" w:rsidR="00102448" w:rsidRDefault="00102448" w:rsidP="00BE4CA2">
      <w:pPr>
        <w:rPr>
          <w:rFonts w:ascii="Arial" w:hAnsi="Arial" w:cs="Arial"/>
          <w:b/>
          <w:bCs/>
          <w:color w:val="C00000"/>
          <w:sz w:val="20"/>
          <w:szCs w:val="20"/>
        </w:rPr>
      </w:pPr>
    </w:p>
    <w:p w14:paraId="5F9B5439" w14:textId="64FB00AC" w:rsidR="00102448" w:rsidRDefault="00102448">
      <w:pPr>
        <w:spacing w:after="0" w:line="240" w:lineRule="auto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br w:type="page"/>
      </w:r>
    </w:p>
    <w:p w14:paraId="0C55AAE4" w14:textId="175E23F8" w:rsidR="00102448" w:rsidRDefault="00605853" w:rsidP="00BE4CA2">
      <w:pPr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C00000"/>
          <w:sz w:val="20"/>
          <w:szCs w:val="20"/>
        </w:rPr>
        <w:lastRenderedPageBreak/>
        <w:drawing>
          <wp:inline distT="0" distB="0" distL="0" distR="0" wp14:anchorId="11969ACB" wp14:editId="2A7B474B">
            <wp:extent cx="5943600" cy="2455545"/>
            <wp:effectExtent l="0" t="0" r="0" b="0"/>
            <wp:docPr id="15225866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86656" name="Picture 15225866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81E7" w14:textId="77777777" w:rsidR="00605853" w:rsidRDefault="00605853" w:rsidP="00BE4CA2">
      <w:pPr>
        <w:rPr>
          <w:rFonts w:ascii="Arial" w:hAnsi="Arial" w:cs="Arial"/>
          <w:b/>
          <w:bCs/>
          <w:color w:val="C00000"/>
          <w:sz w:val="20"/>
          <w:szCs w:val="20"/>
        </w:rPr>
      </w:pPr>
    </w:p>
    <w:p w14:paraId="6E99FE93" w14:textId="77777777" w:rsidR="00605853" w:rsidRDefault="00605853" w:rsidP="00BE4CA2">
      <w:pPr>
        <w:rPr>
          <w:rFonts w:ascii="Arial" w:hAnsi="Arial" w:cs="Arial"/>
          <w:b/>
          <w:bCs/>
          <w:color w:val="C00000"/>
          <w:sz w:val="20"/>
          <w:szCs w:val="20"/>
        </w:rPr>
      </w:pPr>
    </w:p>
    <w:p w14:paraId="2E11CEE6" w14:textId="00CABB2C" w:rsidR="00BE4CA2" w:rsidRPr="00F822DA" w:rsidRDefault="00AB727D" w:rsidP="00BE4CA2">
      <w:pPr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Fig.</w:t>
      </w:r>
      <w:r w:rsidR="00BE4CA2" w:rsidRPr="00F822DA">
        <w:rPr>
          <w:rFonts w:ascii="Arial" w:hAnsi="Arial" w:cs="Arial"/>
          <w:b/>
          <w:bCs/>
          <w:color w:val="C00000"/>
          <w:sz w:val="20"/>
          <w:szCs w:val="20"/>
        </w:rPr>
        <w:t xml:space="preserve"> S</w:t>
      </w:r>
      <w:r w:rsidR="00102448">
        <w:rPr>
          <w:rFonts w:ascii="Arial" w:hAnsi="Arial" w:cs="Arial"/>
          <w:b/>
          <w:bCs/>
          <w:color w:val="C00000"/>
          <w:sz w:val="20"/>
          <w:szCs w:val="20"/>
        </w:rPr>
        <w:t>5</w:t>
      </w:r>
      <w:r w:rsidR="00BE4CA2" w:rsidRPr="00F822DA">
        <w:rPr>
          <w:rFonts w:ascii="Arial" w:hAnsi="Arial" w:cs="Arial"/>
          <w:b/>
          <w:bCs/>
          <w:color w:val="C00000"/>
          <w:sz w:val="20"/>
          <w:szCs w:val="20"/>
        </w:rPr>
        <w:t xml:space="preserve">. SLFN11 ubiquitination is </w:t>
      </w:r>
      <w:r w:rsidR="00DB25B2">
        <w:rPr>
          <w:rFonts w:ascii="Arial" w:hAnsi="Arial" w:cs="Arial"/>
          <w:b/>
          <w:bCs/>
          <w:color w:val="C00000"/>
          <w:sz w:val="20"/>
          <w:szCs w:val="20"/>
        </w:rPr>
        <w:t>dependent on</w:t>
      </w:r>
      <w:r w:rsidR="00BE4CA2" w:rsidRPr="00F822DA">
        <w:rPr>
          <w:rFonts w:ascii="Arial" w:hAnsi="Arial" w:cs="Arial"/>
          <w:b/>
          <w:bCs/>
          <w:color w:val="C00000"/>
          <w:sz w:val="20"/>
          <w:szCs w:val="20"/>
        </w:rPr>
        <w:t xml:space="preserve"> RNF168-mediated K27 ubiquitin linkage.</w:t>
      </w:r>
    </w:p>
    <w:p w14:paraId="68E7DE37" w14:textId="019F1B32" w:rsidR="00374533" w:rsidRPr="00584305" w:rsidRDefault="00374533" w:rsidP="00374533">
      <w:pPr>
        <w:rPr>
          <w:rFonts w:ascii="Arial" w:hAnsi="Arial" w:cs="Arial"/>
          <w:sz w:val="20"/>
          <w:szCs w:val="20"/>
        </w:rPr>
      </w:pPr>
      <w:r w:rsidRPr="00584305">
        <w:rPr>
          <w:rFonts w:ascii="Arial" w:hAnsi="Arial" w:cs="Arial"/>
          <w:sz w:val="20"/>
          <w:szCs w:val="20"/>
        </w:rPr>
        <w:t>(</w:t>
      </w:r>
      <w:r w:rsidR="00102448">
        <w:rPr>
          <w:rFonts w:ascii="Arial" w:hAnsi="Arial" w:cs="Arial"/>
          <w:sz w:val="20"/>
          <w:szCs w:val="20"/>
        </w:rPr>
        <w:t>A</w:t>
      </w:r>
      <w:r w:rsidRPr="00584305">
        <w:rPr>
          <w:rFonts w:ascii="Arial" w:hAnsi="Arial" w:cs="Arial"/>
          <w:sz w:val="20"/>
          <w:szCs w:val="20"/>
        </w:rPr>
        <w:t>) SLFN11 immunoblots of chromatin</w:t>
      </w:r>
      <w:r w:rsidR="00102448">
        <w:rPr>
          <w:rFonts w:ascii="Arial" w:hAnsi="Arial" w:cs="Arial"/>
          <w:sz w:val="20"/>
          <w:szCs w:val="20"/>
        </w:rPr>
        <w:t>-insoluble</w:t>
      </w:r>
      <w:r w:rsidRPr="00584305">
        <w:rPr>
          <w:rFonts w:ascii="Arial" w:hAnsi="Arial" w:cs="Arial"/>
          <w:sz w:val="20"/>
          <w:szCs w:val="20"/>
        </w:rPr>
        <w:t xml:space="preserve"> and </w:t>
      </w:r>
      <w:r w:rsidR="00102448">
        <w:rPr>
          <w:rFonts w:ascii="Arial" w:hAnsi="Arial" w:cs="Arial"/>
          <w:sz w:val="20"/>
          <w:szCs w:val="20"/>
        </w:rPr>
        <w:t xml:space="preserve">soluble </w:t>
      </w:r>
      <w:r w:rsidRPr="00584305">
        <w:rPr>
          <w:rFonts w:ascii="Arial" w:hAnsi="Arial" w:cs="Arial"/>
          <w:sz w:val="20"/>
          <w:szCs w:val="20"/>
        </w:rPr>
        <w:t>(Nuclei/Cytoplasm) fractions.  DOX-inducible SLFN11-expressing U2OS cells were treated with VLX-1570 (10 µM, 2 hrs) after DOX induction (72 hrs), lysed and fractionated with pre-extraction buffer.</w:t>
      </w:r>
      <w:r>
        <w:rPr>
          <w:rFonts w:ascii="Arial" w:hAnsi="Arial" w:cs="Arial"/>
          <w:sz w:val="20"/>
          <w:szCs w:val="20"/>
        </w:rPr>
        <w:t xml:space="preserve"> GAPDH and </w:t>
      </w:r>
      <w:r w:rsidRPr="0041016A">
        <w:rPr>
          <w:rFonts w:ascii="Arial" w:hAnsi="Arial" w:cs="Arial"/>
          <w:sz w:val="20"/>
          <w:szCs w:val="20"/>
        </w:rPr>
        <w:t>Histone H3 were used as</w:t>
      </w:r>
      <w:r>
        <w:rPr>
          <w:rFonts w:ascii="Arial" w:hAnsi="Arial" w:cs="Arial"/>
          <w:sz w:val="20"/>
          <w:szCs w:val="20"/>
        </w:rPr>
        <w:t xml:space="preserve"> loading</w:t>
      </w:r>
      <w:r w:rsidRPr="0041016A">
        <w:rPr>
          <w:rFonts w:ascii="Arial" w:hAnsi="Arial" w:cs="Arial"/>
          <w:sz w:val="20"/>
          <w:szCs w:val="20"/>
        </w:rPr>
        <w:t xml:space="preserve"> control</w:t>
      </w:r>
      <w:r>
        <w:rPr>
          <w:rFonts w:ascii="Arial" w:hAnsi="Arial" w:cs="Arial"/>
          <w:sz w:val="20"/>
          <w:szCs w:val="20"/>
        </w:rPr>
        <w:t>s</w:t>
      </w:r>
      <w:r w:rsidRPr="0041016A">
        <w:rPr>
          <w:rFonts w:ascii="Arial" w:hAnsi="Arial" w:cs="Arial"/>
          <w:sz w:val="20"/>
          <w:szCs w:val="20"/>
        </w:rPr>
        <w:t>.</w:t>
      </w:r>
    </w:p>
    <w:p w14:paraId="52F5813E" w14:textId="165301B3" w:rsidR="00102448" w:rsidRDefault="00BE4CA2" w:rsidP="00BE4CA2">
      <w:pPr>
        <w:rPr>
          <w:rFonts w:ascii="Arial" w:hAnsi="Arial" w:cs="Arial"/>
          <w:sz w:val="20"/>
          <w:szCs w:val="20"/>
        </w:rPr>
      </w:pPr>
      <w:r w:rsidRPr="00F822DA">
        <w:rPr>
          <w:rFonts w:ascii="Arial" w:hAnsi="Arial" w:cs="Arial"/>
          <w:sz w:val="20"/>
          <w:szCs w:val="20"/>
        </w:rPr>
        <w:t>(</w:t>
      </w:r>
      <w:r w:rsidR="00102448">
        <w:rPr>
          <w:rFonts w:ascii="Arial" w:hAnsi="Arial" w:cs="Arial"/>
          <w:sz w:val="20"/>
          <w:szCs w:val="20"/>
        </w:rPr>
        <w:t>B</w:t>
      </w:r>
      <w:r w:rsidRPr="00F822DA">
        <w:rPr>
          <w:rFonts w:ascii="Arial" w:hAnsi="Arial" w:cs="Arial"/>
          <w:sz w:val="20"/>
          <w:szCs w:val="20"/>
        </w:rPr>
        <w:t xml:space="preserve">) Linkage-specific ubiquitylation of SLFN11 in the canonical His-Ub K/R mutants (K48R and K63R) carrying a single K/R substitution. </w:t>
      </w:r>
      <w:r w:rsidR="00102448">
        <w:rPr>
          <w:rFonts w:ascii="Arial" w:hAnsi="Arial" w:cs="Arial"/>
          <w:sz w:val="20"/>
          <w:szCs w:val="20"/>
        </w:rPr>
        <w:br/>
      </w:r>
    </w:p>
    <w:p w14:paraId="78492E85" w14:textId="77777777" w:rsidR="00102448" w:rsidRDefault="0010244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3BA9FD0" w14:textId="1891E04D" w:rsidR="00102448" w:rsidRDefault="00605853" w:rsidP="00BE4C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F56A58B" wp14:editId="71E2F26E">
            <wp:extent cx="2400300" cy="3276600"/>
            <wp:effectExtent l="0" t="0" r="0" b="0"/>
            <wp:docPr id="14298258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25895" name="Picture 14298258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26967" w14:textId="77777777" w:rsidR="00605853" w:rsidRDefault="00605853" w:rsidP="00BE4CA2">
      <w:pPr>
        <w:rPr>
          <w:rFonts w:ascii="Arial" w:hAnsi="Arial" w:cs="Arial"/>
          <w:sz w:val="20"/>
          <w:szCs w:val="20"/>
        </w:rPr>
      </w:pPr>
    </w:p>
    <w:p w14:paraId="44387C00" w14:textId="77777777" w:rsidR="00605853" w:rsidRDefault="00605853" w:rsidP="00BE4CA2">
      <w:pPr>
        <w:rPr>
          <w:rFonts w:ascii="Arial" w:hAnsi="Arial" w:cs="Arial"/>
          <w:sz w:val="20"/>
          <w:szCs w:val="20"/>
        </w:rPr>
      </w:pPr>
    </w:p>
    <w:p w14:paraId="4C0336EE" w14:textId="20A0B9F8" w:rsidR="00102448" w:rsidRPr="00663E24" w:rsidRDefault="00AB727D" w:rsidP="00102448">
      <w:pPr>
        <w:spacing w:before="120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Fig.</w:t>
      </w:r>
      <w:r w:rsidR="00102448" w:rsidRPr="00663E24">
        <w:rPr>
          <w:rFonts w:ascii="Arial" w:hAnsi="Arial" w:cs="Arial"/>
          <w:b/>
          <w:bCs/>
          <w:color w:val="C00000"/>
          <w:sz w:val="20"/>
          <w:szCs w:val="20"/>
        </w:rPr>
        <w:t xml:space="preserve"> S</w:t>
      </w:r>
      <w:r w:rsidR="00102448">
        <w:rPr>
          <w:rFonts w:ascii="Arial" w:hAnsi="Arial" w:cs="Arial"/>
          <w:b/>
          <w:bCs/>
          <w:color w:val="C00000"/>
          <w:sz w:val="20"/>
          <w:szCs w:val="20"/>
        </w:rPr>
        <w:t>6</w:t>
      </w:r>
      <w:r w:rsidR="00102448" w:rsidRPr="00663E24">
        <w:rPr>
          <w:rFonts w:ascii="Arial" w:hAnsi="Arial" w:cs="Arial"/>
          <w:b/>
          <w:bCs/>
          <w:color w:val="C00000"/>
          <w:sz w:val="20"/>
          <w:szCs w:val="20"/>
        </w:rPr>
        <w:t xml:space="preserve">. </w:t>
      </w:r>
      <w:r w:rsidR="00102448" w:rsidRPr="00102448">
        <w:rPr>
          <w:rFonts w:ascii="Arial" w:hAnsi="Arial" w:cs="Arial"/>
          <w:b/>
          <w:bCs/>
          <w:color w:val="C00000"/>
          <w:sz w:val="20"/>
          <w:szCs w:val="20"/>
        </w:rPr>
        <w:t>K27-dependent ubiquitylation of SLFN11 by RNF168</w:t>
      </w:r>
    </w:p>
    <w:p w14:paraId="47F31EC5" w14:textId="78008E05" w:rsidR="00801309" w:rsidRDefault="00102448" w:rsidP="00801309">
      <w:pPr>
        <w:rPr>
          <w:rFonts w:ascii="Arial" w:hAnsi="Arial" w:cs="Arial"/>
          <w:sz w:val="20"/>
          <w:szCs w:val="20"/>
        </w:rPr>
      </w:pPr>
      <w:r w:rsidRPr="00F822DA">
        <w:rPr>
          <w:rFonts w:ascii="Arial" w:hAnsi="Arial" w:cs="Arial"/>
          <w:sz w:val="20"/>
          <w:szCs w:val="20"/>
        </w:rPr>
        <w:t xml:space="preserve">Linkage-specific ubiquitylation of SLFN11 in </w:t>
      </w:r>
      <w:r>
        <w:rPr>
          <w:rFonts w:ascii="Arial" w:hAnsi="Arial" w:cs="Arial"/>
          <w:sz w:val="20"/>
          <w:szCs w:val="20"/>
        </w:rPr>
        <w:t>HA</w:t>
      </w:r>
      <w:r w:rsidRPr="00F822DA">
        <w:rPr>
          <w:rFonts w:ascii="Arial" w:hAnsi="Arial" w:cs="Arial"/>
          <w:sz w:val="20"/>
          <w:szCs w:val="20"/>
        </w:rPr>
        <w:t>-Ub K</w:t>
      </w:r>
      <w:r>
        <w:rPr>
          <w:rFonts w:ascii="Arial" w:hAnsi="Arial" w:cs="Arial"/>
          <w:sz w:val="20"/>
          <w:szCs w:val="20"/>
        </w:rPr>
        <w:t>0 and K27 only</w:t>
      </w:r>
      <w:r w:rsidRPr="00F822DA">
        <w:rPr>
          <w:rFonts w:ascii="Arial" w:hAnsi="Arial" w:cs="Arial"/>
          <w:sz w:val="20"/>
          <w:szCs w:val="20"/>
        </w:rPr>
        <w:t xml:space="preserve"> mutants</w:t>
      </w:r>
      <w:r>
        <w:rPr>
          <w:rFonts w:ascii="Arial" w:hAnsi="Arial" w:cs="Arial"/>
          <w:sz w:val="20"/>
          <w:szCs w:val="20"/>
        </w:rPr>
        <w:t>.</w:t>
      </w:r>
      <w:r w:rsidRPr="00F822DA">
        <w:rPr>
          <w:rFonts w:ascii="Arial" w:hAnsi="Arial" w:cs="Arial"/>
          <w:sz w:val="20"/>
          <w:szCs w:val="20"/>
        </w:rPr>
        <w:t xml:space="preserve"> </w:t>
      </w:r>
      <w:r w:rsidR="00801309" w:rsidRPr="00E95B3A">
        <w:rPr>
          <w:rFonts w:ascii="Arial" w:hAnsi="Arial" w:cs="Arial"/>
          <w:sz w:val="20"/>
          <w:szCs w:val="20"/>
        </w:rPr>
        <w:t xml:space="preserve">293T cells were transfected with </w:t>
      </w:r>
      <w:r w:rsidR="00801309">
        <w:rPr>
          <w:rFonts w:ascii="Arial" w:hAnsi="Arial" w:cs="Arial"/>
          <w:sz w:val="20"/>
          <w:szCs w:val="20"/>
        </w:rPr>
        <w:t>His-</w:t>
      </w:r>
      <w:r w:rsidR="00801309" w:rsidRPr="00E95B3A">
        <w:rPr>
          <w:rFonts w:ascii="Arial" w:hAnsi="Arial" w:cs="Arial"/>
          <w:sz w:val="20"/>
          <w:szCs w:val="20"/>
        </w:rPr>
        <w:t xml:space="preserve">SLFN11-Flag, RNF168, and </w:t>
      </w:r>
      <w:r w:rsidR="00801309">
        <w:rPr>
          <w:rFonts w:ascii="Arial" w:hAnsi="Arial" w:cs="Arial"/>
          <w:sz w:val="20"/>
          <w:szCs w:val="20"/>
        </w:rPr>
        <w:t>HA</w:t>
      </w:r>
      <w:r w:rsidR="00801309" w:rsidRPr="00E95B3A">
        <w:rPr>
          <w:rFonts w:ascii="Arial" w:hAnsi="Arial" w:cs="Arial"/>
          <w:sz w:val="20"/>
          <w:szCs w:val="20"/>
        </w:rPr>
        <w:t>-Ub (</w:t>
      </w:r>
      <w:r w:rsidR="00801309">
        <w:rPr>
          <w:rFonts w:ascii="Arial" w:hAnsi="Arial" w:cs="Arial"/>
          <w:sz w:val="20"/>
          <w:szCs w:val="20"/>
        </w:rPr>
        <w:t xml:space="preserve">K0 </w:t>
      </w:r>
      <w:r w:rsidR="00801309" w:rsidRPr="00E95B3A">
        <w:rPr>
          <w:rFonts w:ascii="Arial" w:hAnsi="Arial" w:cs="Arial"/>
          <w:sz w:val="20"/>
          <w:szCs w:val="20"/>
        </w:rPr>
        <w:t>and K</w:t>
      </w:r>
      <w:r w:rsidR="00801309">
        <w:rPr>
          <w:rFonts w:ascii="Arial" w:hAnsi="Arial" w:cs="Arial"/>
          <w:sz w:val="20"/>
          <w:szCs w:val="20"/>
        </w:rPr>
        <w:t>27 only</w:t>
      </w:r>
      <w:r w:rsidR="00801309" w:rsidRPr="00E95B3A">
        <w:rPr>
          <w:rFonts w:ascii="Arial" w:hAnsi="Arial" w:cs="Arial"/>
          <w:sz w:val="20"/>
          <w:szCs w:val="20"/>
        </w:rPr>
        <w:t xml:space="preserve">). Cells were lysed and immunoprecipitated with Ni-NTA beads. </w:t>
      </w:r>
      <w:r w:rsidR="00801309">
        <w:rPr>
          <w:rFonts w:ascii="Arial" w:hAnsi="Arial" w:cs="Arial"/>
          <w:sz w:val="20"/>
          <w:szCs w:val="20"/>
        </w:rPr>
        <w:t>Ubiquitylated</w:t>
      </w:r>
      <w:r w:rsidR="00801309" w:rsidRPr="00E95B3A">
        <w:rPr>
          <w:rFonts w:ascii="Arial" w:hAnsi="Arial" w:cs="Arial"/>
          <w:sz w:val="20"/>
          <w:szCs w:val="20"/>
        </w:rPr>
        <w:t xml:space="preserve"> </w:t>
      </w:r>
      <w:r w:rsidR="00801309">
        <w:rPr>
          <w:rFonts w:ascii="Arial" w:hAnsi="Arial" w:cs="Arial"/>
          <w:sz w:val="20"/>
          <w:szCs w:val="20"/>
        </w:rPr>
        <w:t>SLFN11</w:t>
      </w:r>
      <w:r w:rsidR="00801309" w:rsidRPr="00E95B3A">
        <w:rPr>
          <w:rFonts w:ascii="Arial" w:hAnsi="Arial" w:cs="Arial"/>
          <w:sz w:val="20"/>
          <w:szCs w:val="20"/>
        </w:rPr>
        <w:t xml:space="preserve"> was </w:t>
      </w:r>
      <w:r w:rsidR="00801309">
        <w:rPr>
          <w:rFonts w:ascii="Arial" w:hAnsi="Arial" w:cs="Arial"/>
          <w:sz w:val="20"/>
          <w:szCs w:val="20"/>
        </w:rPr>
        <w:t>detect</w:t>
      </w:r>
      <w:r w:rsidR="00801309" w:rsidRPr="00E95B3A">
        <w:rPr>
          <w:rFonts w:ascii="Arial" w:hAnsi="Arial" w:cs="Arial"/>
          <w:sz w:val="20"/>
          <w:szCs w:val="20"/>
        </w:rPr>
        <w:t>ed with anti-</w:t>
      </w:r>
      <w:r w:rsidR="00801309">
        <w:rPr>
          <w:rFonts w:ascii="Arial" w:hAnsi="Arial" w:cs="Arial"/>
          <w:sz w:val="20"/>
          <w:szCs w:val="20"/>
        </w:rPr>
        <w:t>HA</w:t>
      </w:r>
      <w:r w:rsidR="00801309" w:rsidRPr="00E95B3A">
        <w:rPr>
          <w:rFonts w:ascii="Arial" w:hAnsi="Arial" w:cs="Arial"/>
          <w:sz w:val="20"/>
          <w:szCs w:val="20"/>
        </w:rPr>
        <w:t xml:space="preserve"> antibody.</w:t>
      </w:r>
    </w:p>
    <w:p w14:paraId="66C5C429" w14:textId="54F04973" w:rsidR="00102448" w:rsidRDefault="00102448" w:rsidP="00BE4CA2">
      <w:pPr>
        <w:rPr>
          <w:rFonts w:ascii="Arial" w:hAnsi="Arial" w:cs="Arial"/>
          <w:sz w:val="20"/>
          <w:szCs w:val="20"/>
        </w:rPr>
      </w:pPr>
    </w:p>
    <w:p w14:paraId="5D3DE14D" w14:textId="79714463" w:rsidR="008B7F35" w:rsidRDefault="008B7F3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9597CAF" w14:textId="192EB184" w:rsidR="00102448" w:rsidRDefault="00605853" w:rsidP="00BE4C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F5CDA7D" wp14:editId="3514969E">
            <wp:extent cx="5143500" cy="5067300"/>
            <wp:effectExtent l="0" t="0" r="0" b="0"/>
            <wp:docPr id="9081318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31812" name="Picture 908131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EFA70" w14:textId="77777777" w:rsidR="00605853" w:rsidRDefault="00605853" w:rsidP="00BE4CA2">
      <w:pPr>
        <w:rPr>
          <w:rFonts w:ascii="Arial" w:hAnsi="Arial" w:cs="Arial"/>
          <w:sz w:val="20"/>
          <w:szCs w:val="20"/>
        </w:rPr>
      </w:pPr>
    </w:p>
    <w:p w14:paraId="08B8C908" w14:textId="77777777" w:rsidR="00605853" w:rsidRDefault="00605853" w:rsidP="00BE4CA2">
      <w:pPr>
        <w:rPr>
          <w:rFonts w:ascii="Arial" w:hAnsi="Arial" w:cs="Arial"/>
          <w:sz w:val="20"/>
          <w:szCs w:val="20"/>
        </w:rPr>
      </w:pPr>
    </w:p>
    <w:p w14:paraId="57910F1B" w14:textId="35E1C284" w:rsidR="00BE4CA2" w:rsidRPr="00663E24" w:rsidRDefault="00AB727D" w:rsidP="00BE4CA2">
      <w:pPr>
        <w:spacing w:before="120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Fig.</w:t>
      </w:r>
      <w:r w:rsidR="00BE4CA2" w:rsidRPr="00663E24">
        <w:rPr>
          <w:rFonts w:ascii="Arial" w:hAnsi="Arial" w:cs="Arial"/>
          <w:b/>
          <w:bCs/>
          <w:color w:val="C00000"/>
          <w:sz w:val="20"/>
          <w:szCs w:val="20"/>
        </w:rPr>
        <w:t xml:space="preserve"> S</w:t>
      </w:r>
      <w:r w:rsidR="00BE4CA2">
        <w:rPr>
          <w:rFonts w:ascii="Arial" w:hAnsi="Arial" w:cs="Arial"/>
          <w:b/>
          <w:bCs/>
          <w:color w:val="C00000"/>
          <w:sz w:val="20"/>
          <w:szCs w:val="20"/>
        </w:rPr>
        <w:t>7</w:t>
      </w:r>
      <w:r w:rsidR="00BE4CA2" w:rsidRPr="00663E24">
        <w:rPr>
          <w:rFonts w:ascii="Arial" w:hAnsi="Arial" w:cs="Arial"/>
          <w:b/>
          <w:bCs/>
          <w:color w:val="C00000"/>
          <w:sz w:val="20"/>
          <w:szCs w:val="20"/>
        </w:rPr>
        <w:t xml:space="preserve">. RNF168 and ubiquitylation of SLFN11 in its </w:t>
      </w:r>
      <w:r w:rsidR="00DB25B2">
        <w:rPr>
          <w:rFonts w:ascii="Arial" w:hAnsi="Arial" w:cs="Arial"/>
          <w:b/>
          <w:bCs/>
          <w:color w:val="C00000"/>
          <w:sz w:val="20"/>
          <w:szCs w:val="20"/>
        </w:rPr>
        <w:t>linker</w:t>
      </w:r>
      <w:r w:rsidR="00DB25B2" w:rsidRPr="00663E24">
        <w:rPr>
          <w:rFonts w:ascii="Arial" w:hAnsi="Arial" w:cs="Arial"/>
          <w:b/>
          <w:bCs/>
          <w:color w:val="C00000"/>
          <w:sz w:val="20"/>
          <w:szCs w:val="20"/>
        </w:rPr>
        <w:t xml:space="preserve"> </w:t>
      </w:r>
      <w:r w:rsidR="00BE4CA2" w:rsidRPr="00663E24">
        <w:rPr>
          <w:rFonts w:ascii="Arial" w:hAnsi="Arial" w:cs="Arial"/>
          <w:b/>
          <w:bCs/>
          <w:color w:val="C00000"/>
          <w:sz w:val="20"/>
          <w:szCs w:val="20"/>
        </w:rPr>
        <w:t>domain promote the chromatin recruitment of SLFN11</w:t>
      </w:r>
    </w:p>
    <w:p w14:paraId="72FD7412" w14:textId="0461A3B3" w:rsidR="00BE4CA2" w:rsidRPr="00663E24" w:rsidRDefault="00BE4CA2" w:rsidP="00BE4CA2">
      <w:pPr>
        <w:rPr>
          <w:rFonts w:ascii="Arial" w:hAnsi="Arial" w:cs="Arial"/>
          <w:sz w:val="20"/>
          <w:szCs w:val="20"/>
        </w:rPr>
      </w:pPr>
      <w:r w:rsidRPr="00663E24">
        <w:rPr>
          <w:rFonts w:ascii="Arial" w:hAnsi="Arial" w:cs="Arial"/>
          <w:sz w:val="20"/>
          <w:szCs w:val="20"/>
        </w:rPr>
        <w:t xml:space="preserve">(A) </w:t>
      </w:r>
      <w:r w:rsidR="00DB25B2">
        <w:rPr>
          <w:rFonts w:ascii="Arial" w:hAnsi="Arial" w:cs="Arial"/>
          <w:sz w:val="20"/>
          <w:szCs w:val="20"/>
        </w:rPr>
        <w:t xml:space="preserve">Control </w:t>
      </w:r>
      <w:r w:rsidRPr="00663E24">
        <w:rPr>
          <w:rFonts w:ascii="Arial" w:hAnsi="Arial" w:cs="Arial"/>
          <w:sz w:val="20"/>
          <w:szCs w:val="20"/>
        </w:rPr>
        <w:t>SLFN11 and RNF168 immunoblots of whole-cell lysate. DOX-inducible SLFN11-expressing U2OS cells were lysed after the DOX induction and transfection with siRNF168.</w:t>
      </w:r>
      <w:r w:rsidR="005E1B0F">
        <w:rPr>
          <w:rFonts w:ascii="Arial" w:hAnsi="Arial" w:cs="Arial"/>
          <w:sz w:val="20"/>
          <w:szCs w:val="20"/>
        </w:rPr>
        <w:t xml:space="preserve"> Related to </w:t>
      </w:r>
      <w:r w:rsidR="00AB727D">
        <w:rPr>
          <w:rFonts w:ascii="Arial" w:hAnsi="Arial" w:cs="Arial"/>
          <w:sz w:val="20"/>
          <w:szCs w:val="20"/>
        </w:rPr>
        <w:t>Fig.</w:t>
      </w:r>
      <w:r w:rsidR="005E1B0F">
        <w:rPr>
          <w:rFonts w:ascii="Arial" w:hAnsi="Arial" w:cs="Arial"/>
          <w:sz w:val="20"/>
          <w:szCs w:val="20"/>
        </w:rPr>
        <w:t xml:space="preserve"> 7A.</w:t>
      </w:r>
    </w:p>
    <w:p w14:paraId="005ABAA6" w14:textId="7B3CFA10" w:rsidR="00BE4CA2" w:rsidRPr="00663E24" w:rsidRDefault="00BE4CA2" w:rsidP="00BE4CA2">
      <w:pPr>
        <w:rPr>
          <w:rFonts w:ascii="Arial" w:hAnsi="Arial" w:cs="Arial"/>
          <w:sz w:val="20"/>
          <w:szCs w:val="20"/>
        </w:rPr>
      </w:pPr>
      <w:r w:rsidRPr="00663E24">
        <w:rPr>
          <w:rFonts w:ascii="Arial" w:hAnsi="Arial" w:cs="Arial"/>
          <w:sz w:val="20"/>
          <w:szCs w:val="20"/>
        </w:rPr>
        <w:t xml:space="preserve">(B) </w:t>
      </w:r>
      <w:r w:rsidR="00DB25B2">
        <w:rPr>
          <w:rFonts w:ascii="Arial" w:hAnsi="Arial" w:cs="Arial"/>
          <w:sz w:val="20"/>
          <w:szCs w:val="20"/>
        </w:rPr>
        <w:t xml:space="preserve">Control </w:t>
      </w:r>
      <w:r w:rsidRPr="00663E24">
        <w:rPr>
          <w:rFonts w:ascii="Arial" w:hAnsi="Arial" w:cs="Arial"/>
          <w:sz w:val="20"/>
          <w:szCs w:val="20"/>
        </w:rPr>
        <w:t xml:space="preserve">SLFN11 immunoblots </w:t>
      </w:r>
      <w:r w:rsidR="00DB25B2">
        <w:rPr>
          <w:rFonts w:ascii="Arial" w:hAnsi="Arial" w:cs="Arial"/>
          <w:sz w:val="20"/>
          <w:szCs w:val="20"/>
        </w:rPr>
        <w:t>of</w:t>
      </w:r>
      <w:r w:rsidR="00DB25B2" w:rsidRPr="00663E24">
        <w:rPr>
          <w:rFonts w:ascii="Arial" w:hAnsi="Arial" w:cs="Arial"/>
          <w:sz w:val="20"/>
          <w:szCs w:val="20"/>
        </w:rPr>
        <w:t xml:space="preserve"> </w:t>
      </w:r>
      <w:r w:rsidRPr="00663E24">
        <w:rPr>
          <w:rFonts w:ascii="Arial" w:hAnsi="Arial" w:cs="Arial"/>
          <w:sz w:val="20"/>
          <w:szCs w:val="20"/>
        </w:rPr>
        <w:t>whole-cell lysate</w:t>
      </w:r>
      <w:r w:rsidR="00DB25B2">
        <w:rPr>
          <w:rFonts w:ascii="Arial" w:hAnsi="Arial" w:cs="Arial"/>
          <w:sz w:val="20"/>
          <w:szCs w:val="20"/>
        </w:rPr>
        <w:t>s</w:t>
      </w:r>
      <w:r w:rsidRPr="00663E24">
        <w:rPr>
          <w:rFonts w:ascii="Arial" w:hAnsi="Arial" w:cs="Arial"/>
          <w:sz w:val="20"/>
          <w:szCs w:val="20"/>
        </w:rPr>
        <w:t>.</w:t>
      </w:r>
      <w:r w:rsidR="00DB25B2" w:rsidRPr="00DB25B2">
        <w:rPr>
          <w:rFonts w:ascii="Arial" w:hAnsi="Arial" w:cs="Arial"/>
          <w:sz w:val="20"/>
          <w:szCs w:val="20"/>
        </w:rPr>
        <w:t xml:space="preserve"> </w:t>
      </w:r>
      <w:r w:rsidR="00DB25B2" w:rsidRPr="00663E24">
        <w:rPr>
          <w:rFonts w:ascii="Arial" w:hAnsi="Arial" w:cs="Arial"/>
          <w:sz w:val="20"/>
          <w:szCs w:val="20"/>
        </w:rPr>
        <w:t>U2OS cells</w:t>
      </w:r>
      <w:r w:rsidR="00DB25B2">
        <w:rPr>
          <w:rFonts w:ascii="Arial" w:hAnsi="Arial" w:cs="Arial"/>
          <w:sz w:val="20"/>
          <w:szCs w:val="20"/>
        </w:rPr>
        <w:t xml:space="preserve"> constructed to express</w:t>
      </w:r>
      <w:r w:rsidRPr="00663E24">
        <w:rPr>
          <w:rFonts w:ascii="Arial" w:hAnsi="Arial" w:cs="Arial"/>
          <w:sz w:val="20"/>
          <w:szCs w:val="20"/>
        </w:rPr>
        <w:t xml:space="preserve"> DOX-inducible SLFN11 WT</w:t>
      </w:r>
      <w:r w:rsidR="00DB25B2">
        <w:rPr>
          <w:rFonts w:ascii="Arial" w:hAnsi="Arial" w:cs="Arial"/>
          <w:sz w:val="20"/>
          <w:szCs w:val="20"/>
        </w:rPr>
        <w:t xml:space="preserve"> and SLFN11-</w:t>
      </w:r>
      <w:r w:rsidRPr="00663E24">
        <w:rPr>
          <w:rFonts w:ascii="Arial" w:hAnsi="Arial" w:cs="Arial"/>
          <w:sz w:val="20"/>
          <w:szCs w:val="20"/>
        </w:rPr>
        <w:t>3KR</w:t>
      </w:r>
      <w:r w:rsidR="00DB25B2">
        <w:rPr>
          <w:rFonts w:ascii="Arial" w:hAnsi="Arial" w:cs="Arial"/>
          <w:sz w:val="20"/>
          <w:szCs w:val="20"/>
        </w:rPr>
        <w:t xml:space="preserve"> mutant </w:t>
      </w:r>
      <w:r w:rsidRPr="00663E24">
        <w:rPr>
          <w:rFonts w:ascii="Arial" w:hAnsi="Arial" w:cs="Arial"/>
          <w:sz w:val="20"/>
          <w:szCs w:val="20"/>
        </w:rPr>
        <w:t>were lysed after the DOX induction (72 hrs).</w:t>
      </w:r>
      <w:r w:rsidR="00DB25B2">
        <w:rPr>
          <w:rFonts w:ascii="Arial" w:hAnsi="Arial" w:cs="Arial"/>
          <w:sz w:val="20"/>
          <w:szCs w:val="20"/>
        </w:rPr>
        <w:t xml:space="preserve"> Both WT and the 3KR mutant were expressed at the same level</w:t>
      </w:r>
      <w:r w:rsidR="005E1B0F">
        <w:rPr>
          <w:rFonts w:ascii="Arial" w:hAnsi="Arial" w:cs="Arial"/>
          <w:sz w:val="20"/>
          <w:szCs w:val="20"/>
        </w:rPr>
        <w:t xml:space="preserve">. Related to </w:t>
      </w:r>
      <w:r w:rsidR="00AB727D">
        <w:rPr>
          <w:rFonts w:ascii="Arial" w:hAnsi="Arial" w:cs="Arial"/>
          <w:sz w:val="20"/>
          <w:szCs w:val="20"/>
        </w:rPr>
        <w:t>Fig.</w:t>
      </w:r>
      <w:r w:rsidR="005E1B0F">
        <w:rPr>
          <w:rFonts w:ascii="Arial" w:hAnsi="Arial" w:cs="Arial"/>
          <w:sz w:val="20"/>
          <w:szCs w:val="20"/>
        </w:rPr>
        <w:t xml:space="preserve"> 7D.</w:t>
      </w:r>
    </w:p>
    <w:p w14:paraId="10906434" w14:textId="123E370D" w:rsidR="00BB7CEA" w:rsidRDefault="00BE4CA2" w:rsidP="00BE4CA2">
      <w:pPr>
        <w:rPr>
          <w:rFonts w:ascii="Arial" w:hAnsi="Arial" w:cs="Arial"/>
          <w:sz w:val="20"/>
          <w:szCs w:val="20"/>
        </w:rPr>
      </w:pPr>
      <w:r w:rsidRPr="00663E24">
        <w:rPr>
          <w:rFonts w:ascii="Arial" w:hAnsi="Arial" w:cs="Arial"/>
          <w:sz w:val="20"/>
          <w:szCs w:val="20"/>
        </w:rPr>
        <w:t xml:space="preserve">(C) Representative immunofluorescence images showing </w:t>
      </w:r>
      <w:r w:rsidR="00701606">
        <w:rPr>
          <w:rFonts w:ascii="Arial" w:hAnsi="Arial" w:cs="Arial"/>
          <w:sz w:val="20"/>
          <w:szCs w:val="20"/>
        </w:rPr>
        <w:t>similar expression of</w:t>
      </w:r>
      <w:r w:rsidR="00701606" w:rsidRPr="00663E24">
        <w:rPr>
          <w:rFonts w:ascii="Arial" w:hAnsi="Arial" w:cs="Arial"/>
          <w:sz w:val="20"/>
          <w:szCs w:val="20"/>
        </w:rPr>
        <w:t xml:space="preserve"> </w:t>
      </w:r>
      <w:r w:rsidRPr="00663E24">
        <w:rPr>
          <w:rFonts w:ascii="Arial" w:hAnsi="Arial" w:cs="Arial"/>
          <w:sz w:val="20"/>
          <w:szCs w:val="20"/>
        </w:rPr>
        <w:t>SLFN11</w:t>
      </w:r>
      <w:r w:rsidR="00701606">
        <w:rPr>
          <w:rFonts w:ascii="Arial" w:hAnsi="Arial" w:cs="Arial"/>
          <w:sz w:val="20"/>
          <w:szCs w:val="20"/>
        </w:rPr>
        <w:t xml:space="preserve"> WT and SLFN11-3KR</w:t>
      </w:r>
      <w:r w:rsidRPr="00663E24">
        <w:rPr>
          <w:rFonts w:ascii="Arial" w:hAnsi="Arial" w:cs="Arial"/>
          <w:sz w:val="20"/>
          <w:szCs w:val="20"/>
        </w:rPr>
        <w:t xml:space="preserve"> (green)</w:t>
      </w:r>
      <w:r w:rsidR="005E1B0F">
        <w:rPr>
          <w:rFonts w:ascii="Arial" w:hAnsi="Arial" w:cs="Arial"/>
          <w:sz w:val="20"/>
          <w:szCs w:val="20"/>
        </w:rPr>
        <w:t xml:space="preserve"> without pre-extraction</w:t>
      </w:r>
      <w:r w:rsidRPr="00663E24">
        <w:rPr>
          <w:rFonts w:ascii="Arial" w:hAnsi="Arial" w:cs="Arial"/>
          <w:sz w:val="20"/>
          <w:szCs w:val="20"/>
        </w:rPr>
        <w:t>. DOX-inducible SLFN11 clones (WT, 3KR) of U2OS cells were treated with DOX for induction (72 hrs).</w:t>
      </w:r>
      <w:r w:rsidR="00701606" w:rsidRPr="00701606">
        <w:rPr>
          <w:rFonts w:ascii="Arial" w:hAnsi="Arial" w:cs="Arial"/>
          <w:sz w:val="20"/>
          <w:szCs w:val="20"/>
        </w:rPr>
        <w:t xml:space="preserve"> </w:t>
      </w:r>
      <w:r w:rsidR="00701606">
        <w:rPr>
          <w:rFonts w:ascii="Arial" w:hAnsi="Arial" w:cs="Arial"/>
          <w:sz w:val="20"/>
          <w:szCs w:val="20"/>
        </w:rPr>
        <w:t xml:space="preserve">Nuclei are stained with </w:t>
      </w:r>
      <w:r w:rsidR="00701606" w:rsidRPr="00663E24">
        <w:rPr>
          <w:rFonts w:ascii="Arial" w:hAnsi="Arial" w:cs="Arial"/>
          <w:sz w:val="20"/>
          <w:szCs w:val="20"/>
        </w:rPr>
        <w:t>DAPI (blue)</w:t>
      </w:r>
      <w:r w:rsidR="00701606">
        <w:rPr>
          <w:rFonts w:ascii="Arial" w:hAnsi="Arial" w:cs="Arial"/>
          <w:sz w:val="20"/>
          <w:szCs w:val="20"/>
        </w:rPr>
        <w:t>.</w:t>
      </w:r>
      <w:r w:rsidR="00701606" w:rsidRPr="00663E24">
        <w:rPr>
          <w:rFonts w:ascii="Arial" w:hAnsi="Arial" w:cs="Arial"/>
          <w:sz w:val="20"/>
          <w:szCs w:val="20"/>
        </w:rPr>
        <w:t xml:space="preserve"> Scale bar: 10 µm.</w:t>
      </w:r>
    </w:p>
    <w:p w14:paraId="4A307D9C" w14:textId="77777777" w:rsidR="00CA3274" w:rsidRDefault="00CA3274"/>
    <w:sectPr w:rsidR="00CA3274" w:rsidSect="00DC34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33BA2"/>
    <w:multiLevelType w:val="hybridMultilevel"/>
    <w:tmpl w:val="CC28A962"/>
    <w:lvl w:ilvl="0" w:tplc="9E8CF8D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5960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CA2"/>
    <w:rsid w:val="00004039"/>
    <w:rsid w:val="00005EA7"/>
    <w:rsid w:val="00022286"/>
    <w:rsid w:val="00023EF1"/>
    <w:rsid w:val="00032347"/>
    <w:rsid w:val="00037014"/>
    <w:rsid w:val="0004460D"/>
    <w:rsid w:val="000537AA"/>
    <w:rsid w:val="00054B53"/>
    <w:rsid w:val="00055AFE"/>
    <w:rsid w:val="00061944"/>
    <w:rsid w:val="0006217A"/>
    <w:rsid w:val="000627C0"/>
    <w:rsid w:val="0006538B"/>
    <w:rsid w:val="00066F12"/>
    <w:rsid w:val="0006791A"/>
    <w:rsid w:val="00073288"/>
    <w:rsid w:val="00075B7C"/>
    <w:rsid w:val="00077ECC"/>
    <w:rsid w:val="000800B4"/>
    <w:rsid w:val="000815CD"/>
    <w:rsid w:val="0008394F"/>
    <w:rsid w:val="00084BA7"/>
    <w:rsid w:val="00084E5A"/>
    <w:rsid w:val="00086524"/>
    <w:rsid w:val="00087B49"/>
    <w:rsid w:val="00090FA5"/>
    <w:rsid w:val="000912DA"/>
    <w:rsid w:val="00092816"/>
    <w:rsid w:val="00097E7E"/>
    <w:rsid w:val="000A2244"/>
    <w:rsid w:val="000A37B2"/>
    <w:rsid w:val="000A7012"/>
    <w:rsid w:val="000B612C"/>
    <w:rsid w:val="000C05B3"/>
    <w:rsid w:val="000C08D4"/>
    <w:rsid w:val="000D1676"/>
    <w:rsid w:val="000D4EFB"/>
    <w:rsid w:val="000D77AF"/>
    <w:rsid w:val="000E5706"/>
    <w:rsid w:val="000F3CFB"/>
    <w:rsid w:val="00102448"/>
    <w:rsid w:val="0010293F"/>
    <w:rsid w:val="00110C91"/>
    <w:rsid w:val="00113958"/>
    <w:rsid w:val="00115E69"/>
    <w:rsid w:val="00121D27"/>
    <w:rsid w:val="001251D9"/>
    <w:rsid w:val="00125ABD"/>
    <w:rsid w:val="00126F93"/>
    <w:rsid w:val="00133649"/>
    <w:rsid w:val="00133989"/>
    <w:rsid w:val="00136B78"/>
    <w:rsid w:val="00137644"/>
    <w:rsid w:val="00144323"/>
    <w:rsid w:val="001454E4"/>
    <w:rsid w:val="001532F5"/>
    <w:rsid w:val="00160244"/>
    <w:rsid w:val="001662CF"/>
    <w:rsid w:val="00166E73"/>
    <w:rsid w:val="00167ACB"/>
    <w:rsid w:val="00172FAC"/>
    <w:rsid w:val="00180DE0"/>
    <w:rsid w:val="0018322D"/>
    <w:rsid w:val="0018375F"/>
    <w:rsid w:val="0019380E"/>
    <w:rsid w:val="001A03C3"/>
    <w:rsid w:val="001A2D3E"/>
    <w:rsid w:val="001A39F4"/>
    <w:rsid w:val="001A3E91"/>
    <w:rsid w:val="001A74BA"/>
    <w:rsid w:val="001B14AE"/>
    <w:rsid w:val="001B1C63"/>
    <w:rsid w:val="001B1D97"/>
    <w:rsid w:val="001B5F06"/>
    <w:rsid w:val="001B69ED"/>
    <w:rsid w:val="001B7FF1"/>
    <w:rsid w:val="001C363D"/>
    <w:rsid w:val="001C3873"/>
    <w:rsid w:val="001C6545"/>
    <w:rsid w:val="001C66BE"/>
    <w:rsid w:val="001C6940"/>
    <w:rsid w:val="001C71CE"/>
    <w:rsid w:val="001D1D81"/>
    <w:rsid w:val="001D554A"/>
    <w:rsid w:val="001D64B3"/>
    <w:rsid w:val="00206594"/>
    <w:rsid w:val="00213211"/>
    <w:rsid w:val="002134BD"/>
    <w:rsid w:val="00225EFE"/>
    <w:rsid w:val="00226FCE"/>
    <w:rsid w:val="0023338C"/>
    <w:rsid w:val="0024048D"/>
    <w:rsid w:val="00240725"/>
    <w:rsid w:val="00240E37"/>
    <w:rsid w:val="00243CFA"/>
    <w:rsid w:val="00244AE1"/>
    <w:rsid w:val="0025212C"/>
    <w:rsid w:val="002526CB"/>
    <w:rsid w:val="00255F0D"/>
    <w:rsid w:val="0025723A"/>
    <w:rsid w:val="00257882"/>
    <w:rsid w:val="00261340"/>
    <w:rsid w:val="002634B4"/>
    <w:rsid w:val="0026368F"/>
    <w:rsid w:val="002701DD"/>
    <w:rsid w:val="0027029E"/>
    <w:rsid w:val="00270687"/>
    <w:rsid w:val="00271C1A"/>
    <w:rsid w:val="002760EA"/>
    <w:rsid w:val="00277B42"/>
    <w:rsid w:val="002823C2"/>
    <w:rsid w:val="00283C17"/>
    <w:rsid w:val="00297568"/>
    <w:rsid w:val="002977B9"/>
    <w:rsid w:val="002A2C78"/>
    <w:rsid w:val="002A2DF1"/>
    <w:rsid w:val="002A4CBB"/>
    <w:rsid w:val="002A73C5"/>
    <w:rsid w:val="002B34CF"/>
    <w:rsid w:val="002B4969"/>
    <w:rsid w:val="002B6ED2"/>
    <w:rsid w:val="002C3516"/>
    <w:rsid w:val="002C389A"/>
    <w:rsid w:val="002C4FB3"/>
    <w:rsid w:val="002C54E7"/>
    <w:rsid w:val="002D48AF"/>
    <w:rsid w:val="002D634D"/>
    <w:rsid w:val="002E2D77"/>
    <w:rsid w:val="002E3E6C"/>
    <w:rsid w:val="002E4911"/>
    <w:rsid w:val="002E661B"/>
    <w:rsid w:val="002E78FB"/>
    <w:rsid w:val="002F1DEA"/>
    <w:rsid w:val="002F4676"/>
    <w:rsid w:val="002F66A5"/>
    <w:rsid w:val="003026B4"/>
    <w:rsid w:val="00302CC1"/>
    <w:rsid w:val="00306BFA"/>
    <w:rsid w:val="00311A2F"/>
    <w:rsid w:val="003130F1"/>
    <w:rsid w:val="00313877"/>
    <w:rsid w:val="0031426A"/>
    <w:rsid w:val="00314ED3"/>
    <w:rsid w:val="0031590D"/>
    <w:rsid w:val="00316832"/>
    <w:rsid w:val="00321FC7"/>
    <w:rsid w:val="00322311"/>
    <w:rsid w:val="00327F7E"/>
    <w:rsid w:val="0033159B"/>
    <w:rsid w:val="00334458"/>
    <w:rsid w:val="00347AA3"/>
    <w:rsid w:val="00352793"/>
    <w:rsid w:val="00353DD0"/>
    <w:rsid w:val="00355716"/>
    <w:rsid w:val="00357BD2"/>
    <w:rsid w:val="00357CCA"/>
    <w:rsid w:val="0036413C"/>
    <w:rsid w:val="00364FE6"/>
    <w:rsid w:val="0036634B"/>
    <w:rsid w:val="0036690A"/>
    <w:rsid w:val="00371021"/>
    <w:rsid w:val="00374533"/>
    <w:rsid w:val="00374DE7"/>
    <w:rsid w:val="00374EC9"/>
    <w:rsid w:val="00375488"/>
    <w:rsid w:val="00382384"/>
    <w:rsid w:val="00383CB8"/>
    <w:rsid w:val="0038422B"/>
    <w:rsid w:val="00384EA5"/>
    <w:rsid w:val="00387749"/>
    <w:rsid w:val="003966BD"/>
    <w:rsid w:val="003A205F"/>
    <w:rsid w:val="003A53F2"/>
    <w:rsid w:val="003B1A30"/>
    <w:rsid w:val="003B2B28"/>
    <w:rsid w:val="003C0196"/>
    <w:rsid w:val="003C7408"/>
    <w:rsid w:val="003C7BA7"/>
    <w:rsid w:val="003E34C1"/>
    <w:rsid w:val="003E47BB"/>
    <w:rsid w:val="003E5BB4"/>
    <w:rsid w:val="003E6693"/>
    <w:rsid w:val="003F4C2D"/>
    <w:rsid w:val="003F76E6"/>
    <w:rsid w:val="004007A5"/>
    <w:rsid w:val="00402C76"/>
    <w:rsid w:val="00405859"/>
    <w:rsid w:val="00411454"/>
    <w:rsid w:val="004156E5"/>
    <w:rsid w:val="00417CCF"/>
    <w:rsid w:val="004223A4"/>
    <w:rsid w:val="00435341"/>
    <w:rsid w:val="0043661A"/>
    <w:rsid w:val="00437D56"/>
    <w:rsid w:val="00442798"/>
    <w:rsid w:val="00445E3D"/>
    <w:rsid w:val="00447D57"/>
    <w:rsid w:val="0045087F"/>
    <w:rsid w:val="004526AB"/>
    <w:rsid w:val="004542C6"/>
    <w:rsid w:val="00455CDF"/>
    <w:rsid w:val="00456183"/>
    <w:rsid w:val="004572FD"/>
    <w:rsid w:val="00462583"/>
    <w:rsid w:val="00463FC8"/>
    <w:rsid w:val="00465B2F"/>
    <w:rsid w:val="0046706B"/>
    <w:rsid w:val="004742EF"/>
    <w:rsid w:val="0047582D"/>
    <w:rsid w:val="00476DD5"/>
    <w:rsid w:val="00494C21"/>
    <w:rsid w:val="00496090"/>
    <w:rsid w:val="004A276C"/>
    <w:rsid w:val="004A4772"/>
    <w:rsid w:val="004A4E46"/>
    <w:rsid w:val="004B33A8"/>
    <w:rsid w:val="004B4360"/>
    <w:rsid w:val="004B4BC6"/>
    <w:rsid w:val="004B6637"/>
    <w:rsid w:val="004B6E82"/>
    <w:rsid w:val="004C094C"/>
    <w:rsid w:val="004D60E8"/>
    <w:rsid w:val="004E4560"/>
    <w:rsid w:val="004E7DCE"/>
    <w:rsid w:val="004F42E2"/>
    <w:rsid w:val="004F5D7C"/>
    <w:rsid w:val="004F73E8"/>
    <w:rsid w:val="00505D11"/>
    <w:rsid w:val="0050784F"/>
    <w:rsid w:val="00507966"/>
    <w:rsid w:val="00512273"/>
    <w:rsid w:val="005232EC"/>
    <w:rsid w:val="0052692A"/>
    <w:rsid w:val="00532766"/>
    <w:rsid w:val="00536005"/>
    <w:rsid w:val="00536390"/>
    <w:rsid w:val="00536641"/>
    <w:rsid w:val="0054132F"/>
    <w:rsid w:val="005439B0"/>
    <w:rsid w:val="00545234"/>
    <w:rsid w:val="005461BF"/>
    <w:rsid w:val="005510F7"/>
    <w:rsid w:val="00557FBB"/>
    <w:rsid w:val="005608F1"/>
    <w:rsid w:val="00561A3A"/>
    <w:rsid w:val="005638A3"/>
    <w:rsid w:val="00564A36"/>
    <w:rsid w:val="005653E0"/>
    <w:rsid w:val="005655F7"/>
    <w:rsid w:val="00565FB4"/>
    <w:rsid w:val="005665A0"/>
    <w:rsid w:val="00566A37"/>
    <w:rsid w:val="00570575"/>
    <w:rsid w:val="00572F2C"/>
    <w:rsid w:val="0057388D"/>
    <w:rsid w:val="0057524D"/>
    <w:rsid w:val="00577667"/>
    <w:rsid w:val="005868BD"/>
    <w:rsid w:val="005905EA"/>
    <w:rsid w:val="005A3533"/>
    <w:rsid w:val="005A54DF"/>
    <w:rsid w:val="005A6363"/>
    <w:rsid w:val="005A79F3"/>
    <w:rsid w:val="005B00CC"/>
    <w:rsid w:val="005B1F86"/>
    <w:rsid w:val="005B7DCD"/>
    <w:rsid w:val="005C47E5"/>
    <w:rsid w:val="005C51A8"/>
    <w:rsid w:val="005C7A87"/>
    <w:rsid w:val="005D2340"/>
    <w:rsid w:val="005D7A36"/>
    <w:rsid w:val="005E1B0F"/>
    <w:rsid w:val="005E3760"/>
    <w:rsid w:val="005E3AC1"/>
    <w:rsid w:val="005E4EB3"/>
    <w:rsid w:val="005F2777"/>
    <w:rsid w:val="005F6FFA"/>
    <w:rsid w:val="00603CD7"/>
    <w:rsid w:val="00605853"/>
    <w:rsid w:val="00606BEF"/>
    <w:rsid w:val="00611D8C"/>
    <w:rsid w:val="00614F20"/>
    <w:rsid w:val="006231E9"/>
    <w:rsid w:val="00642F62"/>
    <w:rsid w:val="00645CDD"/>
    <w:rsid w:val="0065276E"/>
    <w:rsid w:val="006554A2"/>
    <w:rsid w:val="006565B1"/>
    <w:rsid w:val="00657BA6"/>
    <w:rsid w:val="00660B81"/>
    <w:rsid w:val="006730CC"/>
    <w:rsid w:val="00673F0E"/>
    <w:rsid w:val="00675509"/>
    <w:rsid w:val="0067686C"/>
    <w:rsid w:val="00681C39"/>
    <w:rsid w:val="0069382F"/>
    <w:rsid w:val="006977D5"/>
    <w:rsid w:val="006A5F5D"/>
    <w:rsid w:val="006A6ED7"/>
    <w:rsid w:val="006B0921"/>
    <w:rsid w:val="006B7A2A"/>
    <w:rsid w:val="006C0703"/>
    <w:rsid w:val="006C1B2F"/>
    <w:rsid w:val="006C5123"/>
    <w:rsid w:val="006D413C"/>
    <w:rsid w:val="006D4A87"/>
    <w:rsid w:val="006E34A5"/>
    <w:rsid w:val="006E697A"/>
    <w:rsid w:val="006E6BAD"/>
    <w:rsid w:val="007007A7"/>
    <w:rsid w:val="00701606"/>
    <w:rsid w:val="00711856"/>
    <w:rsid w:val="0072323D"/>
    <w:rsid w:val="007305BE"/>
    <w:rsid w:val="007314E2"/>
    <w:rsid w:val="00731C2F"/>
    <w:rsid w:val="00744C3F"/>
    <w:rsid w:val="00751264"/>
    <w:rsid w:val="00752B6F"/>
    <w:rsid w:val="00760F60"/>
    <w:rsid w:val="00761ECA"/>
    <w:rsid w:val="007654B4"/>
    <w:rsid w:val="00765683"/>
    <w:rsid w:val="007712A2"/>
    <w:rsid w:val="00774AC5"/>
    <w:rsid w:val="00781854"/>
    <w:rsid w:val="00781EA1"/>
    <w:rsid w:val="00786430"/>
    <w:rsid w:val="00787FFD"/>
    <w:rsid w:val="0079147B"/>
    <w:rsid w:val="00792AA5"/>
    <w:rsid w:val="007952CE"/>
    <w:rsid w:val="007A0746"/>
    <w:rsid w:val="007A72BA"/>
    <w:rsid w:val="007B0AD7"/>
    <w:rsid w:val="007B6F33"/>
    <w:rsid w:val="007C011F"/>
    <w:rsid w:val="007C2BD5"/>
    <w:rsid w:val="007D29F0"/>
    <w:rsid w:val="007D32A7"/>
    <w:rsid w:val="007E2262"/>
    <w:rsid w:val="007E2947"/>
    <w:rsid w:val="007E2C86"/>
    <w:rsid w:val="007E2DA8"/>
    <w:rsid w:val="007E6307"/>
    <w:rsid w:val="007F087C"/>
    <w:rsid w:val="007F3462"/>
    <w:rsid w:val="007F7569"/>
    <w:rsid w:val="00801309"/>
    <w:rsid w:val="00802349"/>
    <w:rsid w:val="008315F0"/>
    <w:rsid w:val="0083241E"/>
    <w:rsid w:val="008330F9"/>
    <w:rsid w:val="00835524"/>
    <w:rsid w:val="008403EC"/>
    <w:rsid w:val="008445EC"/>
    <w:rsid w:val="00845D8A"/>
    <w:rsid w:val="00847BFB"/>
    <w:rsid w:val="00850953"/>
    <w:rsid w:val="00851977"/>
    <w:rsid w:val="008550CE"/>
    <w:rsid w:val="008564C3"/>
    <w:rsid w:val="008606F1"/>
    <w:rsid w:val="0086126F"/>
    <w:rsid w:val="0086494C"/>
    <w:rsid w:val="00865927"/>
    <w:rsid w:val="008759D4"/>
    <w:rsid w:val="00886BDE"/>
    <w:rsid w:val="00890105"/>
    <w:rsid w:val="008925B1"/>
    <w:rsid w:val="00892FF4"/>
    <w:rsid w:val="008932F3"/>
    <w:rsid w:val="00895AFC"/>
    <w:rsid w:val="008A05BE"/>
    <w:rsid w:val="008A2196"/>
    <w:rsid w:val="008B2AF3"/>
    <w:rsid w:val="008B4BD4"/>
    <w:rsid w:val="008B7AEA"/>
    <w:rsid w:val="008B7F35"/>
    <w:rsid w:val="008C162A"/>
    <w:rsid w:val="008C73B1"/>
    <w:rsid w:val="008D0D2F"/>
    <w:rsid w:val="008D45F0"/>
    <w:rsid w:val="008D5490"/>
    <w:rsid w:val="008D6FE8"/>
    <w:rsid w:val="008E08C3"/>
    <w:rsid w:val="008E2226"/>
    <w:rsid w:val="008E528C"/>
    <w:rsid w:val="00905F24"/>
    <w:rsid w:val="00907F36"/>
    <w:rsid w:val="00910969"/>
    <w:rsid w:val="00913AC7"/>
    <w:rsid w:val="0091462E"/>
    <w:rsid w:val="00914D59"/>
    <w:rsid w:val="009230B7"/>
    <w:rsid w:val="00927950"/>
    <w:rsid w:val="00930A6D"/>
    <w:rsid w:val="00934032"/>
    <w:rsid w:val="00935623"/>
    <w:rsid w:val="00945BA2"/>
    <w:rsid w:val="009500C0"/>
    <w:rsid w:val="00950888"/>
    <w:rsid w:val="00953027"/>
    <w:rsid w:val="0095710F"/>
    <w:rsid w:val="009577AA"/>
    <w:rsid w:val="00957C3A"/>
    <w:rsid w:val="00957DB6"/>
    <w:rsid w:val="00964747"/>
    <w:rsid w:val="00964ABC"/>
    <w:rsid w:val="00965033"/>
    <w:rsid w:val="0097279E"/>
    <w:rsid w:val="00980573"/>
    <w:rsid w:val="009842A5"/>
    <w:rsid w:val="00987C99"/>
    <w:rsid w:val="00992300"/>
    <w:rsid w:val="00994A0F"/>
    <w:rsid w:val="00995138"/>
    <w:rsid w:val="009A17C9"/>
    <w:rsid w:val="009A679A"/>
    <w:rsid w:val="009A6E36"/>
    <w:rsid w:val="009C47C4"/>
    <w:rsid w:val="009C48E9"/>
    <w:rsid w:val="009C7266"/>
    <w:rsid w:val="009D0282"/>
    <w:rsid w:val="009D3CF2"/>
    <w:rsid w:val="009D7BAD"/>
    <w:rsid w:val="009E2385"/>
    <w:rsid w:val="009E4054"/>
    <w:rsid w:val="009F6E38"/>
    <w:rsid w:val="009F7459"/>
    <w:rsid w:val="00A01C9C"/>
    <w:rsid w:val="00A0512E"/>
    <w:rsid w:val="00A10353"/>
    <w:rsid w:val="00A13EBB"/>
    <w:rsid w:val="00A14C19"/>
    <w:rsid w:val="00A15C13"/>
    <w:rsid w:val="00A165EB"/>
    <w:rsid w:val="00A16806"/>
    <w:rsid w:val="00A210C6"/>
    <w:rsid w:val="00A213C2"/>
    <w:rsid w:val="00A22D37"/>
    <w:rsid w:val="00A27A90"/>
    <w:rsid w:val="00A33770"/>
    <w:rsid w:val="00A47D8B"/>
    <w:rsid w:val="00A54561"/>
    <w:rsid w:val="00A54594"/>
    <w:rsid w:val="00A602AA"/>
    <w:rsid w:val="00A614BA"/>
    <w:rsid w:val="00A6377A"/>
    <w:rsid w:val="00A63B74"/>
    <w:rsid w:val="00A71810"/>
    <w:rsid w:val="00A72735"/>
    <w:rsid w:val="00A728EE"/>
    <w:rsid w:val="00A74C16"/>
    <w:rsid w:val="00A775C9"/>
    <w:rsid w:val="00A8154F"/>
    <w:rsid w:val="00A973BD"/>
    <w:rsid w:val="00AA0C92"/>
    <w:rsid w:val="00AA5E2B"/>
    <w:rsid w:val="00AB2061"/>
    <w:rsid w:val="00AB727D"/>
    <w:rsid w:val="00AC109C"/>
    <w:rsid w:val="00AC2CE9"/>
    <w:rsid w:val="00AC4662"/>
    <w:rsid w:val="00AC50CA"/>
    <w:rsid w:val="00AD1327"/>
    <w:rsid w:val="00AD317F"/>
    <w:rsid w:val="00AD66A3"/>
    <w:rsid w:val="00AE2278"/>
    <w:rsid w:val="00AF4ED8"/>
    <w:rsid w:val="00AF55D7"/>
    <w:rsid w:val="00B026BD"/>
    <w:rsid w:val="00B0399C"/>
    <w:rsid w:val="00B05864"/>
    <w:rsid w:val="00B07196"/>
    <w:rsid w:val="00B1091E"/>
    <w:rsid w:val="00B135F8"/>
    <w:rsid w:val="00B17192"/>
    <w:rsid w:val="00B217B1"/>
    <w:rsid w:val="00B24E06"/>
    <w:rsid w:val="00B32A78"/>
    <w:rsid w:val="00B3465A"/>
    <w:rsid w:val="00B4129E"/>
    <w:rsid w:val="00B460EE"/>
    <w:rsid w:val="00B51439"/>
    <w:rsid w:val="00B53C75"/>
    <w:rsid w:val="00B77247"/>
    <w:rsid w:val="00B81185"/>
    <w:rsid w:val="00B81469"/>
    <w:rsid w:val="00B82384"/>
    <w:rsid w:val="00B8243F"/>
    <w:rsid w:val="00B83B77"/>
    <w:rsid w:val="00B84981"/>
    <w:rsid w:val="00B87BAE"/>
    <w:rsid w:val="00B91045"/>
    <w:rsid w:val="00B950DB"/>
    <w:rsid w:val="00BB0637"/>
    <w:rsid w:val="00BB1040"/>
    <w:rsid w:val="00BB2CB4"/>
    <w:rsid w:val="00BB4D23"/>
    <w:rsid w:val="00BB4E0B"/>
    <w:rsid w:val="00BB7ADE"/>
    <w:rsid w:val="00BB7CEA"/>
    <w:rsid w:val="00BC7A72"/>
    <w:rsid w:val="00BD0EA6"/>
    <w:rsid w:val="00BD4A14"/>
    <w:rsid w:val="00BD7820"/>
    <w:rsid w:val="00BE3DEF"/>
    <w:rsid w:val="00BE4CA2"/>
    <w:rsid w:val="00BE59F5"/>
    <w:rsid w:val="00BF021A"/>
    <w:rsid w:val="00BF16F6"/>
    <w:rsid w:val="00BF3601"/>
    <w:rsid w:val="00BF3BA3"/>
    <w:rsid w:val="00BF5298"/>
    <w:rsid w:val="00BF5316"/>
    <w:rsid w:val="00C01020"/>
    <w:rsid w:val="00C0196F"/>
    <w:rsid w:val="00C02630"/>
    <w:rsid w:val="00C0466E"/>
    <w:rsid w:val="00C07E5C"/>
    <w:rsid w:val="00C113DF"/>
    <w:rsid w:val="00C115A0"/>
    <w:rsid w:val="00C14B09"/>
    <w:rsid w:val="00C1586B"/>
    <w:rsid w:val="00C211C0"/>
    <w:rsid w:val="00C2266D"/>
    <w:rsid w:val="00C24CCB"/>
    <w:rsid w:val="00C25286"/>
    <w:rsid w:val="00C2644E"/>
    <w:rsid w:val="00C26776"/>
    <w:rsid w:val="00C3529F"/>
    <w:rsid w:val="00C35643"/>
    <w:rsid w:val="00C35E2A"/>
    <w:rsid w:val="00C45879"/>
    <w:rsid w:val="00C4619F"/>
    <w:rsid w:val="00C46851"/>
    <w:rsid w:val="00C529C1"/>
    <w:rsid w:val="00C53177"/>
    <w:rsid w:val="00C5658B"/>
    <w:rsid w:val="00C5767C"/>
    <w:rsid w:val="00C63908"/>
    <w:rsid w:val="00C705B8"/>
    <w:rsid w:val="00C76433"/>
    <w:rsid w:val="00C771F0"/>
    <w:rsid w:val="00C8469F"/>
    <w:rsid w:val="00C92494"/>
    <w:rsid w:val="00C93129"/>
    <w:rsid w:val="00C96E48"/>
    <w:rsid w:val="00CA09C7"/>
    <w:rsid w:val="00CA2954"/>
    <w:rsid w:val="00CA3274"/>
    <w:rsid w:val="00CA7D10"/>
    <w:rsid w:val="00CB5EF7"/>
    <w:rsid w:val="00CC1BA9"/>
    <w:rsid w:val="00CC1E95"/>
    <w:rsid w:val="00CC3C77"/>
    <w:rsid w:val="00CC7ADD"/>
    <w:rsid w:val="00CD6083"/>
    <w:rsid w:val="00CE7850"/>
    <w:rsid w:val="00CF1BED"/>
    <w:rsid w:val="00CF1EA9"/>
    <w:rsid w:val="00CF4C06"/>
    <w:rsid w:val="00CF78E7"/>
    <w:rsid w:val="00D04C97"/>
    <w:rsid w:val="00D05867"/>
    <w:rsid w:val="00D06235"/>
    <w:rsid w:val="00D147BF"/>
    <w:rsid w:val="00D1709B"/>
    <w:rsid w:val="00D233DF"/>
    <w:rsid w:val="00D308C4"/>
    <w:rsid w:val="00D32F1C"/>
    <w:rsid w:val="00D33D56"/>
    <w:rsid w:val="00D34B17"/>
    <w:rsid w:val="00D46E91"/>
    <w:rsid w:val="00D474C8"/>
    <w:rsid w:val="00D61746"/>
    <w:rsid w:val="00D618BA"/>
    <w:rsid w:val="00D61AF1"/>
    <w:rsid w:val="00D65F60"/>
    <w:rsid w:val="00D71DBF"/>
    <w:rsid w:val="00D77030"/>
    <w:rsid w:val="00D86C0B"/>
    <w:rsid w:val="00D86F69"/>
    <w:rsid w:val="00D916F4"/>
    <w:rsid w:val="00D93348"/>
    <w:rsid w:val="00D95DA6"/>
    <w:rsid w:val="00DA3646"/>
    <w:rsid w:val="00DA497B"/>
    <w:rsid w:val="00DB0091"/>
    <w:rsid w:val="00DB25B2"/>
    <w:rsid w:val="00DB2E4E"/>
    <w:rsid w:val="00DB63C4"/>
    <w:rsid w:val="00DB6F35"/>
    <w:rsid w:val="00DC270D"/>
    <w:rsid w:val="00DC3429"/>
    <w:rsid w:val="00DC3DD0"/>
    <w:rsid w:val="00DD6D84"/>
    <w:rsid w:val="00DD6E59"/>
    <w:rsid w:val="00DE348B"/>
    <w:rsid w:val="00DE3673"/>
    <w:rsid w:val="00DE5597"/>
    <w:rsid w:val="00E01A89"/>
    <w:rsid w:val="00E021BD"/>
    <w:rsid w:val="00E07585"/>
    <w:rsid w:val="00E10B9B"/>
    <w:rsid w:val="00E10BB9"/>
    <w:rsid w:val="00E111A9"/>
    <w:rsid w:val="00E12FC8"/>
    <w:rsid w:val="00E20636"/>
    <w:rsid w:val="00E250BA"/>
    <w:rsid w:val="00E27478"/>
    <w:rsid w:val="00E3096C"/>
    <w:rsid w:val="00E34241"/>
    <w:rsid w:val="00E42C01"/>
    <w:rsid w:val="00E43C56"/>
    <w:rsid w:val="00E45987"/>
    <w:rsid w:val="00E46487"/>
    <w:rsid w:val="00E5359C"/>
    <w:rsid w:val="00E568BA"/>
    <w:rsid w:val="00E6162A"/>
    <w:rsid w:val="00E65E22"/>
    <w:rsid w:val="00E71B44"/>
    <w:rsid w:val="00E71F70"/>
    <w:rsid w:val="00E82B99"/>
    <w:rsid w:val="00E87E9D"/>
    <w:rsid w:val="00E90D11"/>
    <w:rsid w:val="00E9101A"/>
    <w:rsid w:val="00E9117D"/>
    <w:rsid w:val="00E91A92"/>
    <w:rsid w:val="00E9677F"/>
    <w:rsid w:val="00E96ACF"/>
    <w:rsid w:val="00EA044F"/>
    <w:rsid w:val="00EA0847"/>
    <w:rsid w:val="00EA0859"/>
    <w:rsid w:val="00EA335F"/>
    <w:rsid w:val="00EA5398"/>
    <w:rsid w:val="00EA6FBB"/>
    <w:rsid w:val="00EA72AF"/>
    <w:rsid w:val="00EA77F3"/>
    <w:rsid w:val="00EB2ADE"/>
    <w:rsid w:val="00EB2BF3"/>
    <w:rsid w:val="00EB3DC8"/>
    <w:rsid w:val="00EB5201"/>
    <w:rsid w:val="00EC3711"/>
    <w:rsid w:val="00EC6FF1"/>
    <w:rsid w:val="00EC7920"/>
    <w:rsid w:val="00ED0471"/>
    <w:rsid w:val="00ED2574"/>
    <w:rsid w:val="00ED4ADF"/>
    <w:rsid w:val="00ED5339"/>
    <w:rsid w:val="00EE00AE"/>
    <w:rsid w:val="00EE1AA3"/>
    <w:rsid w:val="00EE4745"/>
    <w:rsid w:val="00EE7544"/>
    <w:rsid w:val="00EF3307"/>
    <w:rsid w:val="00EF7EAB"/>
    <w:rsid w:val="00F0126B"/>
    <w:rsid w:val="00F02EF4"/>
    <w:rsid w:val="00F044C0"/>
    <w:rsid w:val="00F04C2C"/>
    <w:rsid w:val="00F04C55"/>
    <w:rsid w:val="00F05055"/>
    <w:rsid w:val="00F10556"/>
    <w:rsid w:val="00F1080A"/>
    <w:rsid w:val="00F162F0"/>
    <w:rsid w:val="00F20DAC"/>
    <w:rsid w:val="00F21D8D"/>
    <w:rsid w:val="00F2299C"/>
    <w:rsid w:val="00F317BC"/>
    <w:rsid w:val="00F33078"/>
    <w:rsid w:val="00F339DF"/>
    <w:rsid w:val="00F41621"/>
    <w:rsid w:val="00F42F41"/>
    <w:rsid w:val="00F45ACF"/>
    <w:rsid w:val="00F503D5"/>
    <w:rsid w:val="00F53EE0"/>
    <w:rsid w:val="00F54137"/>
    <w:rsid w:val="00F65307"/>
    <w:rsid w:val="00F66A59"/>
    <w:rsid w:val="00F66CAF"/>
    <w:rsid w:val="00F70BF8"/>
    <w:rsid w:val="00F73902"/>
    <w:rsid w:val="00F873D3"/>
    <w:rsid w:val="00F91282"/>
    <w:rsid w:val="00F93327"/>
    <w:rsid w:val="00F96B30"/>
    <w:rsid w:val="00FA23F1"/>
    <w:rsid w:val="00FA2A80"/>
    <w:rsid w:val="00FA514F"/>
    <w:rsid w:val="00FB2564"/>
    <w:rsid w:val="00FC02E7"/>
    <w:rsid w:val="00FC42FF"/>
    <w:rsid w:val="00FD2CDD"/>
    <w:rsid w:val="00FD2CFC"/>
    <w:rsid w:val="00FD5404"/>
    <w:rsid w:val="00FD5B1B"/>
    <w:rsid w:val="00FD698A"/>
    <w:rsid w:val="00FE77AA"/>
    <w:rsid w:val="00FF49B4"/>
    <w:rsid w:val="00FF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7C187"/>
  <w15:chartTrackingRefBased/>
  <w15:docId w15:val="{D2347603-613F-6349-843F-FEDB951C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CA2"/>
    <w:pPr>
      <w:spacing w:after="160" w:line="278" w:lineRule="auto"/>
    </w:pPr>
    <w:rPr>
      <w:rFonts w:asciiTheme="minorHAnsi" w:eastAsiaTheme="minorEastAsia" w:hAnsiTheme="minorHAnsi" w:cstheme="minorBidi"/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4CA2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4CA2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4CA2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4CA2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4CA2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sz w:val="22"/>
      <w:szCs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4CA2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4CA2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22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4CA2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4CA2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4C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4C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4CA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4CA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4CA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4CA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4CA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4CA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4CA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4C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BE4C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4CA2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BE4CA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4CA2"/>
    <w:pPr>
      <w:spacing w:before="160" w:line="240" w:lineRule="auto"/>
      <w:jc w:val="center"/>
    </w:pPr>
    <w:rPr>
      <w:rFonts w:ascii="Calibri" w:eastAsiaTheme="minorHAnsi" w:hAnsi="Calibri" w:cs="Calibri"/>
      <w:i/>
      <w:iCs/>
      <w:color w:val="404040" w:themeColor="text1" w:themeTint="BF"/>
      <w:sz w:val="22"/>
      <w:szCs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BE4C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4CA2"/>
    <w:pPr>
      <w:spacing w:after="0" w:line="240" w:lineRule="auto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BE4C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4C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="Calibri" w:eastAsiaTheme="minorHAnsi" w:hAnsi="Calibri" w:cs="Calibri"/>
      <w:i/>
      <w:iCs/>
      <w:color w:val="0F4761" w:themeColor="accent1" w:themeShade="BF"/>
      <w:sz w:val="22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4C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4CA2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BE4CA2"/>
    <w:rPr>
      <w:rFonts w:asciiTheme="minorHAnsi" w:eastAsiaTheme="minorEastAsia" w:hAnsiTheme="minorHAnsi" w:cstheme="minorBidi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C356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56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5643"/>
    <w:rPr>
      <w:rFonts w:asciiTheme="minorHAnsi" w:eastAsiaTheme="minorEastAsia" w:hAnsiTheme="minorHAnsi" w:cstheme="minorBidi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6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643"/>
    <w:rPr>
      <w:rFonts w:asciiTheme="minorHAnsi" w:eastAsiaTheme="minorEastAsia" w:hAnsiTheme="minorHAnsi" w:cstheme="minorBidi"/>
      <w:b/>
      <w:bCs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CCR-NCI</Company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Pommier, Yves (NIH/NCI) [V]</dc:creator>
  <cp:keywords/>
  <dc:description/>
  <cp:lastModifiedBy>Jo, Ukhyun (NIH/NCI) [E]</cp:lastModifiedBy>
  <cp:revision>8</cp:revision>
  <dcterms:created xsi:type="dcterms:W3CDTF">2026-03-25T14:17:00Z</dcterms:created>
  <dcterms:modified xsi:type="dcterms:W3CDTF">2026-04-02T01:46:00Z</dcterms:modified>
</cp:coreProperties>
</file>