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D6970" w14:textId="0BBEFCF7" w:rsidR="00E32AD6" w:rsidRPr="00E32AD6" w:rsidRDefault="00E32AD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32AD6">
        <w:rPr>
          <w:rFonts w:ascii="Times New Roman" w:hAnsi="Times New Roman" w:cs="Times New Roman"/>
          <w:b/>
          <w:bCs/>
          <w:sz w:val="24"/>
          <w:szCs w:val="24"/>
          <w:lang w:val="en-US"/>
        </w:rPr>
        <w:t>SUPLEMENTARY FIGURE</w:t>
      </w:r>
      <w:r w:rsidRPr="00E32AD6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</w:p>
    <w:p w14:paraId="194B6591" w14:textId="77777777" w:rsidR="00E32AD6" w:rsidRDefault="00E32AD6">
      <w:pPr>
        <w:rPr>
          <w:noProof/>
        </w:rPr>
      </w:pPr>
    </w:p>
    <w:p w14:paraId="372B8E0C" w14:textId="57981AEA" w:rsidR="00776BC3" w:rsidRDefault="00E32AD6">
      <w:r>
        <w:rPr>
          <w:noProof/>
        </w:rPr>
        <w:drawing>
          <wp:inline distT="0" distB="0" distL="0" distR="0" wp14:anchorId="64D2C686" wp14:editId="65108A19">
            <wp:extent cx="5400675" cy="6543675"/>
            <wp:effectExtent l="0" t="0" r="9525" b="9525"/>
            <wp:docPr id="6449992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A5CBC" w14:textId="77777777" w:rsidR="00E32AD6" w:rsidRPr="00E32AD6" w:rsidRDefault="00E32AD6" w:rsidP="00E32AD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32AD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Figure S1: Control CFSE analysis of T-cell proliferation.</w:t>
      </w:r>
    </w:p>
    <w:p w14:paraId="3C6456B6" w14:textId="77777777" w:rsidR="00E32AD6" w:rsidRDefault="00E32AD6" w:rsidP="00E32AD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32AD6">
        <w:rPr>
          <w:rFonts w:ascii="Times New Roman" w:hAnsi="Times New Roman" w:cs="Times New Roman"/>
          <w:sz w:val="24"/>
          <w:szCs w:val="24"/>
          <w:lang w:val="en-US"/>
        </w:rPr>
        <w:t xml:space="preserve">(A) Representative CFSE dilution histograms of PBMCs cultured alone (unstimulated) or stimulated with PHA for 5 days. Histograms illustrate baseline proliferation in the absence of stimulation and robust proliferative response upon PHA activation. The percentage displayed in each histogram represents the proportion of divided T cells within the total population. (B) Representative CFSE dilution histograms of PBMCs stimulated </w:t>
      </w:r>
      <w:r w:rsidRPr="00E32AD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with PHA and co-cultured with wild-type (WT) or CTRL hABSCs under different preconditioning conditions. Upper panels (orange) correspond to co-cultures with WT hABSCs (non-treated, NT; LPS-pretreated; LPS/Ti-pretreated). Lower panels (pink) correspond to CTRL hABSCs under the same conditions. Histograms illustrate the global proliferative profile after 5 days of co-culture. (C) Quantification of T-cell proliferation expressed as division index, representing the average number of cell divisions undergone by responding T cells during the 5-day culture period. Data are shown as mean (SD) of three independent experiments. </w:t>
      </w:r>
      <w:r w:rsidRPr="00E32A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***, p &lt; .001 versus -. ^, p &lt; .05; ^^, p &lt; .01 versus PHA.</w:t>
      </w:r>
    </w:p>
    <w:p w14:paraId="7C308916" w14:textId="77777777" w:rsidR="00E32AD6" w:rsidRDefault="00E32AD6" w:rsidP="00E32A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E4ABFE" w14:textId="46B1CFB4" w:rsidR="00E32AD6" w:rsidRDefault="00E32AD6" w:rsidP="00E32A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92B51D5" wp14:editId="63B2FFE9">
            <wp:extent cx="4889452" cy="3114675"/>
            <wp:effectExtent l="0" t="0" r="6985" b="0"/>
            <wp:docPr id="135718212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75" cy="311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BB26F" w14:textId="77777777" w:rsidR="00E32AD6" w:rsidRPr="00E32AD6" w:rsidRDefault="00E32AD6" w:rsidP="00E32A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2AD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Figure S2: Validation of M1/M2 gene expression in THP-1–derived macrophages.</w:t>
      </w:r>
    </w:p>
    <w:p w14:paraId="39192E1B" w14:textId="77777777" w:rsidR="00E32AD6" w:rsidRPr="00E32AD6" w:rsidRDefault="00E32AD6" w:rsidP="00E32A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2AD6">
        <w:rPr>
          <w:rFonts w:ascii="Times New Roman" w:hAnsi="Times New Roman" w:cs="Times New Roman"/>
          <w:sz w:val="24"/>
          <w:szCs w:val="24"/>
          <w:lang w:val="en-US"/>
        </w:rPr>
        <w:t xml:space="preserve">Gene expression analysis of M1 and M2-associated markers in THP-1–derived macrophages under different polarization conditions. Cells were differentiated with PMA and subsequently stimulated with LPS/IFNγ to induce strong M1 polarization, in the presence or absence of a 2-day preconditioning with CM derived from WT hABSCs. Gene expression levels were determined by RT-qPCR and normalized to housekeeping genes. Data are shown as mean (SD) of 7 independent experiments. </w:t>
      </w:r>
      <w:r w:rsidRPr="00E32A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*, p &lt; .05; **, p &lt; .01; ***, p &lt; .001 versus each PMA. +, p &lt; .05 </w:t>
      </w:r>
      <w:r w:rsidRPr="00E32AD6">
        <w:rPr>
          <w:rFonts w:ascii="Times New Roman" w:hAnsi="Times New Roman" w:cs="Times New Roman"/>
          <w:sz w:val="24"/>
          <w:szCs w:val="24"/>
          <w:lang w:val="en-US"/>
        </w:rPr>
        <w:t xml:space="preserve">LPS/IFNγ </w:t>
      </w:r>
      <w:r w:rsidRPr="00E32A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versus CM +</w:t>
      </w:r>
      <w:r w:rsidRPr="00E32AD6">
        <w:rPr>
          <w:rFonts w:ascii="Times New Roman" w:hAnsi="Times New Roman" w:cs="Times New Roman"/>
          <w:sz w:val="24"/>
          <w:szCs w:val="24"/>
          <w:lang w:val="en-US"/>
        </w:rPr>
        <w:t xml:space="preserve"> LPS/IFNγ</w:t>
      </w:r>
      <w:r w:rsidRPr="00E32A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among the treatments indicated by the square bracket.</w:t>
      </w:r>
    </w:p>
    <w:p w14:paraId="5FD16E24" w14:textId="77777777" w:rsidR="00E32AD6" w:rsidRPr="00E32AD6" w:rsidRDefault="00E32AD6" w:rsidP="00E32A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8760C5" w14:textId="77777777" w:rsidR="00E32AD6" w:rsidRPr="00E32AD6" w:rsidRDefault="00E32AD6">
      <w:pPr>
        <w:rPr>
          <w:lang w:val="en-US"/>
        </w:rPr>
      </w:pPr>
    </w:p>
    <w:sectPr w:rsidR="00E32AD6" w:rsidRPr="00E32A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85A"/>
    <w:rsid w:val="00180E09"/>
    <w:rsid w:val="00776BC3"/>
    <w:rsid w:val="00876101"/>
    <w:rsid w:val="00E32AD6"/>
    <w:rsid w:val="00F11409"/>
    <w:rsid w:val="00F5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CDE7"/>
  <w15:chartTrackingRefBased/>
  <w15:docId w15:val="{A07DB5BA-6B3C-462E-A53E-EE567A3C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50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50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508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08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508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508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508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508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508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508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508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08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5085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5085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5085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5085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5085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5085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508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50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508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508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508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5085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5085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5085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508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5085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508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BELÉN CARRILLO GÁLVEZ</dc:creator>
  <cp:keywords/>
  <dc:description/>
  <cp:lastModifiedBy>ANA BELÉN CARRILLO GÁLVEZ</cp:lastModifiedBy>
  <cp:revision>2</cp:revision>
  <dcterms:created xsi:type="dcterms:W3CDTF">2026-03-02T17:09:00Z</dcterms:created>
  <dcterms:modified xsi:type="dcterms:W3CDTF">2026-03-02T17:11:00Z</dcterms:modified>
</cp:coreProperties>
</file>