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46284" w14:textId="77777777" w:rsidR="00FA355D" w:rsidRDefault="00FA355D" w:rsidP="00FA355D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32"/>
        </w:rPr>
      </w:pPr>
      <w:r w:rsidRPr="00A44F60">
        <w:rPr>
          <w:rFonts w:ascii="Times New Roman" w:eastAsia="宋体" w:hAnsi="Times New Roman" w:cs="Times New Roman"/>
          <w:b/>
          <w:bCs/>
          <w:sz w:val="24"/>
          <w:szCs w:val="32"/>
        </w:rPr>
        <w:t>Cross-Trait Genomic and Proteomic Analyses Identify Shared Risk Loci and Therapeutic Targets for Type 2 Diabetes and Coronary Artery Disease</w:t>
      </w:r>
    </w:p>
    <w:p w14:paraId="0E652F12" w14:textId="77777777" w:rsidR="00FA355D" w:rsidRDefault="00FA355D" w:rsidP="00FA355D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32"/>
        </w:rPr>
      </w:pPr>
    </w:p>
    <w:p w14:paraId="4E0D7C2C" w14:textId="77777777" w:rsidR="00FA355D" w:rsidRDefault="00FA355D" w:rsidP="00FA355D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32"/>
        </w:rPr>
      </w:pPr>
    </w:p>
    <w:p w14:paraId="6AD75334" w14:textId="77777777" w:rsidR="00FA355D" w:rsidRPr="00FA355D" w:rsidRDefault="00FA355D" w:rsidP="00FA355D">
      <w:pPr>
        <w:widowControl/>
        <w:spacing w:after="160" w:line="278" w:lineRule="auto"/>
        <w:jc w:val="left"/>
        <w:rPr>
          <w:rFonts w:ascii="Times New Roman" w:eastAsia="宋体" w:hAnsi="Times New Roman" w:cs="Times New Roman" w:hint="eastAsia"/>
          <w:b/>
          <w:bCs/>
          <w:sz w:val="24"/>
          <w:szCs w:val="32"/>
        </w:rPr>
      </w:pPr>
      <w:r w:rsidRPr="00FA355D">
        <w:rPr>
          <w:rFonts w:ascii="Times New Roman" w:eastAsia="宋体" w:hAnsi="Times New Roman" w:cs="Times New Roman" w:hint="eastAsia"/>
          <w:b/>
          <w:bCs/>
          <w:sz w:val="24"/>
          <w:szCs w:val="32"/>
        </w:rPr>
        <w:t>Content:</w:t>
      </w:r>
    </w:p>
    <w:p w14:paraId="619FF444" w14:textId="77777777" w:rsidR="00FA355D" w:rsidRPr="00FA355D" w:rsidRDefault="00FA355D" w:rsidP="00FA355D">
      <w:pPr>
        <w:widowControl/>
        <w:spacing w:after="160" w:line="278" w:lineRule="auto"/>
        <w:rPr>
          <w:rFonts w:ascii="Times New Roman" w:eastAsia="宋体" w:hAnsi="Times New Roman" w:cs="Times New Roman" w:hint="eastAsia"/>
          <w:sz w:val="24"/>
          <w:szCs w:val="32"/>
        </w:rPr>
      </w:pPr>
      <w:r w:rsidRPr="00FA355D">
        <w:rPr>
          <w:rFonts w:ascii="Times New Roman" w:eastAsia="宋体" w:hAnsi="Times New Roman" w:cs="Times New Roman" w:hint="eastAsia"/>
          <w:sz w:val="24"/>
          <w:szCs w:val="32"/>
        </w:rPr>
        <w:t xml:space="preserve">Supplementary Figure 1. Univariate </w:t>
      </w:r>
      <w:proofErr w:type="spellStart"/>
      <w:r w:rsidRPr="00FA355D">
        <w:rPr>
          <w:rFonts w:ascii="Times New Roman" w:eastAsia="宋体" w:hAnsi="Times New Roman" w:cs="Times New Roman" w:hint="eastAsia"/>
          <w:sz w:val="24"/>
          <w:szCs w:val="32"/>
        </w:rPr>
        <w:t>MiXeR</w:t>
      </w:r>
      <w:proofErr w:type="spellEnd"/>
      <w:r w:rsidRPr="00FA355D">
        <w:rPr>
          <w:rFonts w:ascii="Times New Roman" w:eastAsia="宋体" w:hAnsi="Times New Roman" w:cs="Times New Roman" w:hint="eastAsia"/>
          <w:sz w:val="24"/>
          <w:szCs w:val="32"/>
        </w:rPr>
        <w:t xml:space="preserve"> analysis of T2D</w:t>
      </w:r>
    </w:p>
    <w:p w14:paraId="506AB0A4" w14:textId="77777777" w:rsidR="00FA355D" w:rsidRPr="00FA355D" w:rsidRDefault="00FA355D" w:rsidP="00FA355D">
      <w:pPr>
        <w:widowControl/>
        <w:spacing w:after="160" w:line="278" w:lineRule="auto"/>
        <w:rPr>
          <w:rFonts w:ascii="Times New Roman" w:eastAsia="宋体" w:hAnsi="Times New Roman" w:cs="Times New Roman" w:hint="eastAsia"/>
          <w:sz w:val="24"/>
          <w:szCs w:val="32"/>
        </w:rPr>
      </w:pPr>
      <w:r w:rsidRPr="00FA355D">
        <w:rPr>
          <w:rFonts w:ascii="Times New Roman" w:eastAsia="宋体" w:hAnsi="Times New Roman" w:cs="Times New Roman" w:hint="eastAsia"/>
          <w:sz w:val="24"/>
          <w:szCs w:val="32"/>
        </w:rPr>
        <w:t xml:space="preserve">Supplementary Figure 2. Univariate </w:t>
      </w:r>
      <w:proofErr w:type="spellStart"/>
      <w:r w:rsidRPr="00FA355D">
        <w:rPr>
          <w:rFonts w:ascii="Times New Roman" w:eastAsia="宋体" w:hAnsi="Times New Roman" w:cs="Times New Roman" w:hint="eastAsia"/>
          <w:sz w:val="24"/>
          <w:szCs w:val="32"/>
        </w:rPr>
        <w:t>MiXeR</w:t>
      </w:r>
      <w:proofErr w:type="spellEnd"/>
      <w:r w:rsidRPr="00FA355D">
        <w:rPr>
          <w:rFonts w:ascii="Times New Roman" w:eastAsia="宋体" w:hAnsi="Times New Roman" w:cs="Times New Roman" w:hint="eastAsia"/>
          <w:sz w:val="24"/>
          <w:szCs w:val="32"/>
        </w:rPr>
        <w:t xml:space="preserve"> analysis of CAD</w:t>
      </w:r>
    </w:p>
    <w:p w14:paraId="623E1A25" w14:textId="15835FBA" w:rsidR="007076BA" w:rsidRPr="00FA355D" w:rsidRDefault="00FA355D" w:rsidP="00FA355D">
      <w:pPr>
        <w:widowControl/>
        <w:spacing w:after="160" w:line="278" w:lineRule="auto"/>
        <w:rPr>
          <w:rFonts w:ascii="Times New Roman" w:eastAsia="宋体" w:hAnsi="Times New Roman" w:cs="Times New Roman" w:hint="eastAsia"/>
          <w:b/>
          <w:bCs/>
        </w:rPr>
      </w:pPr>
      <w:r w:rsidRPr="00FA355D">
        <w:rPr>
          <w:rFonts w:ascii="Times New Roman" w:eastAsia="宋体" w:hAnsi="Times New Roman" w:cs="Times New Roman" w:hint="eastAsia"/>
          <w:sz w:val="24"/>
          <w:szCs w:val="32"/>
        </w:rPr>
        <w:t>Supplementary Figure 3. Scatter plots and leave-one-out analysis showing the effect of T2D on CAD in cell-type-specific Mendelian randomization (</w:t>
      </w:r>
      <w:proofErr w:type="spellStart"/>
      <w:r w:rsidRPr="00FA355D">
        <w:rPr>
          <w:rFonts w:ascii="Times New Roman" w:eastAsia="宋体" w:hAnsi="Times New Roman" w:cs="Times New Roman" w:hint="eastAsia"/>
          <w:sz w:val="24"/>
          <w:szCs w:val="32"/>
        </w:rPr>
        <w:t>csMR</w:t>
      </w:r>
      <w:proofErr w:type="spellEnd"/>
      <w:r w:rsidRPr="00FA355D">
        <w:rPr>
          <w:rFonts w:ascii="Times New Roman" w:eastAsia="宋体" w:hAnsi="Times New Roman" w:cs="Times New Roman" w:hint="eastAsia"/>
          <w:sz w:val="24"/>
          <w:szCs w:val="32"/>
        </w:rPr>
        <w:t>).</w:t>
      </w:r>
      <w:r>
        <w:rPr>
          <w:rFonts w:ascii="Times New Roman" w:eastAsia="宋体" w:hAnsi="Times New Roman" w:cs="Times New Roman"/>
          <w:b/>
          <w:bCs/>
        </w:rPr>
        <w:br w:type="page"/>
      </w:r>
    </w:p>
    <w:p w14:paraId="7E76F710" w14:textId="7A613AB0" w:rsidR="004F75FE" w:rsidRDefault="004F75FE" w:rsidP="004F75FE">
      <w:pPr>
        <w:jc w:val="center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/>
          <w:b/>
          <w:bCs/>
          <w:noProof/>
        </w:rPr>
        <w:lastRenderedPageBreak/>
        <w:drawing>
          <wp:inline distT="0" distB="0" distL="0" distR="0" wp14:anchorId="238EF121" wp14:editId="03A34FE7">
            <wp:extent cx="5246416" cy="7089494"/>
            <wp:effectExtent l="0" t="0" r="0" b="0"/>
            <wp:docPr id="5011182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4" r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78" cy="712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3CCFA7" w14:textId="77777777" w:rsidR="00FA355D" w:rsidRPr="00FA355D" w:rsidRDefault="00FA355D" w:rsidP="00CC2517">
      <w:pPr>
        <w:spacing w:line="0" w:lineRule="atLeast"/>
        <w:rPr>
          <w:rFonts w:ascii="Times New Roman" w:eastAsia="宋体" w:hAnsi="Times New Roman" w:cs="Times New Roman"/>
          <w:sz w:val="20"/>
          <w:szCs w:val="22"/>
        </w:rPr>
      </w:pPr>
      <w:r w:rsidRPr="00FA355D">
        <w:rPr>
          <w:rFonts w:ascii="Times New Roman" w:eastAsia="宋体" w:hAnsi="Times New Roman" w:cs="Times New Roman"/>
          <w:sz w:val="20"/>
          <w:szCs w:val="22"/>
        </w:rPr>
        <w:t>Supplementary</w:t>
      </w:r>
      <w:r w:rsidRPr="00FA355D">
        <w:rPr>
          <w:rFonts w:ascii="Times New Roman" w:eastAsia="宋体" w:hAnsi="Times New Roman" w:cs="Times New Roman"/>
          <w:sz w:val="20"/>
          <w:szCs w:val="22"/>
        </w:rPr>
        <w:t xml:space="preserve"> </w:t>
      </w:r>
      <w:r w:rsidRPr="00FA355D">
        <w:rPr>
          <w:rFonts w:ascii="Times New Roman" w:eastAsia="宋体" w:hAnsi="Times New Roman" w:cs="Times New Roman"/>
          <w:sz w:val="20"/>
          <w:szCs w:val="22"/>
        </w:rPr>
        <w:t xml:space="preserve">Figure 1. Univariate </w:t>
      </w:r>
      <w:proofErr w:type="spellStart"/>
      <w:r w:rsidRPr="00FA355D">
        <w:rPr>
          <w:rFonts w:ascii="Times New Roman" w:eastAsia="宋体" w:hAnsi="Times New Roman" w:cs="Times New Roman"/>
          <w:sz w:val="20"/>
          <w:szCs w:val="22"/>
        </w:rPr>
        <w:t>MiXeR</w:t>
      </w:r>
      <w:proofErr w:type="spellEnd"/>
      <w:r w:rsidRPr="00FA355D">
        <w:rPr>
          <w:rFonts w:ascii="Times New Roman" w:eastAsia="宋体" w:hAnsi="Times New Roman" w:cs="Times New Roman"/>
          <w:sz w:val="20"/>
          <w:szCs w:val="22"/>
        </w:rPr>
        <w:t xml:space="preserve"> analysis of T2D. A. Univariate quantile–quantile (Q–Q) plot for T2D. The blue line shows the observed distribution of association statistics, the orange line shows the distribution predicted by the univariate </w:t>
      </w:r>
      <w:proofErr w:type="spellStart"/>
      <w:r w:rsidRPr="00FA355D">
        <w:rPr>
          <w:rFonts w:ascii="Times New Roman" w:eastAsia="宋体" w:hAnsi="Times New Roman" w:cs="Times New Roman"/>
          <w:sz w:val="20"/>
          <w:szCs w:val="22"/>
        </w:rPr>
        <w:t>MiXeR</w:t>
      </w:r>
      <w:proofErr w:type="spellEnd"/>
      <w:r w:rsidRPr="00FA355D">
        <w:rPr>
          <w:rFonts w:ascii="Times New Roman" w:eastAsia="宋体" w:hAnsi="Times New Roman" w:cs="Times New Roman"/>
          <w:sz w:val="20"/>
          <w:szCs w:val="22"/>
        </w:rPr>
        <w:t xml:space="preserve"> model, the grey shaded area indicates the 95% confidence interval, and the black dashed line indicates the expected distribution under the null hypothesis; B. Stratified Q–Q plots for T2D. Each panel corresponds to a bin defined by minor allele frequency (MAF) and total linkage disequilibrium (L), illustrating the agreement between the observed association statistics and the model fit across different MAF–LD strata; C. Power curve for T2D. The blue line shows the proportion of phenotypic variance explained by genome-wide significant SNPs as GWAS sample size increases, and the black star marks the current study sample size.</w:t>
      </w:r>
      <w:r w:rsidRPr="00FA355D">
        <w:rPr>
          <w:rFonts w:ascii="Times New Roman" w:eastAsia="宋体" w:hAnsi="Times New Roman" w:cs="Times New Roman"/>
          <w:sz w:val="20"/>
          <w:szCs w:val="22"/>
        </w:rPr>
        <w:t xml:space="preserve"> </w:t>
      </w:r>
    </w:p>
    <w:p w14:paraId="4F43D878" w14:textId="5D2D4855" w:rsidR="004F75FE" w:rsidRPr="006425DC" w:rsidRDefault="004F75FE" w:rsidP="00FA355D">
      <w:pPr>
        <w:jc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lastRenderedPageBreak/>
        <w:drawing>
          <wp:inline distT="0" distB="0" distL="0" distR="0" wp14:anchorId="673D8604" wp14:editId="7D7A4C90">
            <wp:extent cx="5232678" cy="6963878"/>
            <wp:effectExtent l="0" t="0" r="6350" b="8890"/>
            <wp:docPr id="120884667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221" cy="6999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77B98" w14:textId="1814FB18" w:rsidR="004F75FE" w:rsidRPr="00FA355D" w:rsidRDefault="00FA355D" w:rsidP="002C06F8">
      <w:pPr>
        <w:spacing w:line="0" w:lineRule="atLeast"/>
        <w:rPr>
          <w:rFonts w:ascii="Times New Roman" w:eastAsia="宋体" w:hAnsi="Times New Roman" w:cs="Times New Roman" w:hint="eastAsia"/>
          <w:sz w:val="20"/>
          <w:szCs w:val="22"/>
        </w:rPr>
      </w:pPr>
      <w:r w:rsidRPr="00FA355D">
        <w:rPr>
          <w:rFonts w:ascii="Times New Roman" w:eastAsia="宋体" w:hAnsi="Times New Roman" w:cs="Times New Roman"/>
          <w:sz w:val="20"/>
          <w:szCs w:val="22"/>
        </w:rPr>
        <w:t xml:space="preserve">Supplementary Figure 1. Univariate </w:t>
      </w:r>
      <w:proofErr w:type="spellStart"/>
      <w:r w:rsidRPr="00FA355D">
        <w:rPr>
          <w:rFonts w:ascii="Times New Roman" w:eastAsia="宋体" w:hAnsi="Times New Roman" w:cs="Times New Roman"/>
          <w:sz w:val="20"/>
          <w:szCs w:val="22"/>
        </w:rPr>
        <w:t>MiXeR</w:t>
      </w:r>
      <w:proofErr w:type="spellEnd"/>
      <w:r w:rsidRPr="00FA355D">
        <w:rPr>
          <w:rFonts w:ascii="Times New Roman" w:eastAsia="宋体" w:hAnsi="Times New Roman" w:cs="Times New Roman"/>
          <w:sz w:val="20"/>
          <w:szCs w:val="22"/>
        </w:rPr>
        <w:t xml:space="preserve"> analysis of </w:t>
      </w:r>
      <w:r>
        <w:rPr>
          <w:rFonts w:ascii="Times New Roman" w:eastAsia="宋体" w:hAnsi="Times New Roman" w:cs="Times New Roman" w:hint="eastAsia"/>
          <w:sz w:val="20"/>
          <w:szCs w:val="22"/>
        </w:rPr>
        <w:t>CAD</w:t>
      </w:r>
      <w:r w:rsidRPr="00FA355D">
        <w:rPr>
          <w:rFonts w:ascii="Times New Roman" w:eastAsia="宋体" w:hAnsi="Times New Roman" w:cs="Times New Roman"/>
          <w:sz w:val="20"/>
          <w:szCs w:val="22"/>
        </w:rPr>
        <w:t xml:space="preserve">. A. Univariate quantile–quantile (Q–Q) plot for </w:t>
      </w:r>
      <w:r>
        <w:rPr>
          <w:rFonts w:ascii="Times New Roman" w:eastAsia="宋体" w:hAnsi="Times New Roman" w:cs="Times New Roman" w:hint="eastAsia"/>
          <w:sz w:val="20"/>
          <w:szCs w:val="22"/>
        </w:rPr>
        <w:t>CAD</w:t>
      </w:r>
      <w:r w:rsidRPr="00FA355D">
        <w:rPr>
          <w:rFonts w:ascii="Times New Roman" w:eastAsia="宋体" w:hAnsi="Times New Roman" w:cs="Times New Roman"/>
          <w:sz w:val="20"/>
          <w:szCs w:val="22"/>
        </w:rPr>
        <w:t xml:space="preserve">. The blue line shows the observed distribution of association statistics, the orange line shows the distribution predicted by the univariate </w:t>
      </w:r>
      <w:proofErr w:type="spellStart"/>
      <w:r w:rsidRPr="00FA355D">
        <w:rPr>
          <w:rFonts w:ascii="Times New Roman" w:eastAsia="宋体" w:hAnsi="Times New Roman" w:cs="Times New Roman"/>
          <w:sz w:val="20"/>
          <w:szCs w:val="22"/>
        </w:rPr>
        <w:t>MiXeR</w:t>
      </w:r>
      <w:proofErr w:type="spellEnd"/>
      <w:r w:rsidRPr="00FA355D">
        <w:rPr>
          <w:rFonts w:ascii="Times New Roman" w:eastAsia="宋体" w:hAnsi="Times New Roman" w:cs="Times New Roman"/>
          <w:sz w:val="20"/>
          <w:szCs w:val="22"/>
        </w:rPr>
        <w:t xml:space="preserve"> model, the grey shaded area indicates the 95% confidence interval, and the black dashed line indicates the expected distribution under the null hypothesis; B. Stratified Q–Q plots for </w:t>
      </w:r>
      <w:r>
        <w:rPr>
          <w:rFonts w:ascii="Times New Roman" w:eastAsia="宋体" w:hAnsi="Times New Roman" w:cs="Times New Roman" w:hint="eastAsia"/>
          <w:sz w:val="20"/>
          <w:szCs w:val="22"/>
        </w:rPr>
        <w:t>CAD</w:t>
      </w:r>
      <w:r w:rsidRPr="00FA355D">
        <w:rPr>
          <w:rFonts w:ascii="Times New Roman" w:eastAsia="宋体" w:hAnsi="Times New Roman" w:cs="Times New Roman"/>
          <w:sz w:val="20"/>
          <w:szCs w:val="22"/>
        </w:rPr>
        <w:t xml:space="preserve">. Each panel corresponds to a bin defined by minor allele frequency (MAF) and total linkage disequilibrium (L), illustrating the agreement between the observed association statistics and the model fit across different MAF–LD strata; C. Power curve for </w:t>
      </w:r>
      <w:r>
        <w:rPr>
          <w:rFonts w:ascii="Times New Roman" w:eastAsia="宋体" w:hAnsi="Times New Roman" w:cs="Times New Roman" w:hint="eastAsia"/>
          <w:sz w:val="20"/>
          <w:szCs w:val="22"/>
        </w:rPr>
        <w:t>CAD</w:t>
      </w:r>
      <w:r w:rsidRPr="00FA355D">
        <w:rPr>
          <w:rFonts w:ascii="Times New Roman" w:eastAsia="宋体" w:hAnsi="Times New Roman" w:cs="Times New Roman"/>
          <w:sz w:val="20"/>
          <w:szCs w:val="22"/>
        </w:rPr>
        <w:t xml:space="preserve">. The blue line shows the proportion of phenotypic variance explained by genome-wide significant SNPs as GWAS sample size increases, and the black star marks the current study sample size. </w:t>
      </w:r>
    </w:p>
    <w:p w14:paraId="699B0638" w14:textId="6F656EF1" w:rsidR="004F75FE" w:rsidRDefault="00887898" w:rsidP="002C06F8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2AEC82E" wp14:editId="6896D51B">
            <wp:extent cx="4605688" cy="7238758"/>
            <wp:effectExtent l="0" t="0" r="4445" b="635"/>
            <wp:docPr id="2046986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6" r="4659" b="2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124" cy="7258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7E050F" w14:textId="0E2FFD02" w:rsidR="007F32E9" w:rsidRPr="002C06F8" w:rsidRDefault="002C06F8" w:rsidP="002C06F8">
      <w:pPr>
        <w:spacing w:line="0" w:lineRule="atLeast"/>
        <w:rPr>
          <w:rFonts w:ascii="Times New Roman" w:eastAsia="宋体" w:hAnsi="Times New Roman" w:cs="Times New Roman"/>
          <w:sz w:val="20"/>
          <w:szCs w:val="22"/>
        </w:rPr>
      </w:pPr>
      <w:r w:rsidRPr="00FA355D">
        <w:rPr>
          <w:rFonts w:ascii="Times New Roman" w:eastAsia="宋体" w:hAnsi="Times New Roman" w:cs="Times New Roman"/>
          <w:sz w:val="20"/>
          <w:szCs w:val="22"/>
        </w:rPr>
        <w:t>Supplementary</w:t>
      </w:r>
      <w:r w:rsidRPr="002C06F8">
        <w:rPr>
          <w:rFonts w:ascii="Times New Roman" w:eastAsia="宋体" w:hAnsi="Times New Roman" w:cs="Times New Roman" w:hint="eastAsia"/>
          <w:sz w:val="20"/>
          <w:szCs w:val="22"/>
        </w:rPr>
        <w:t xml:space="preserve"> </w:t>
      </w:r>
      <w:r w:rsidRPr="002C06F8">
        <w:rPr>
          <w:rFonts w:ascii="Times New Roman" w:eastAsia="宋体" w:hAnsi="Times New Roman" w:cs="Times New Roman" w:hint="eastAsia"/>
          <w:sz w:val="20"/>
          <w:szCs w:val="22"/>
        </w:rPr>
        <w:t>Figure 3. Cell-type-specific Mendelian randomization (</w:t>
      </w:r>
      <w:proofErr w:type="spellStart"/>
      <w:r w:rsidRPr="002C06F8">
        <w:rPr>
          <w:rFonts w:ascii="Times New Roman" w:eastAsia="宋体" w:hAnsi="Times New Roman" w:cs="Times New Roman" w:hint="eastAsia"/>
          <w:sz w:val="20"/>
          <w:szCs w:val="22"/>
        </w:rPr>
        <w:t>csMR</w:t>
      </w:r>
      <w:proofErr w:type="spellEnd"/>
      <w:r w:rsidRPr="002C06F8">
        <w:rPr>
          <w:rFonts w:ascii="Times New Roman" w:eastAsia="宋体" w:hAnsi="Times New Roman" w:cs="Times New Roman" w:hint="eastAsia"/>
          <w:sz w:val="20"/>
          <w:szCs w:val="22"/>
        </w:rPr>
        <w:t>) analysis of the causal effect of T2D on CAD.A</w:t>
      </w:r>
      <w:r w:rsidRPr="002C06F8">
        <w:rPr>
          <w:rFonts w:ascii="Times New Roman" w:eastAsia="宋体" w:hAnsi="Times New Roman" w:cs="Times New Roman" w:hint="eastAsia"/>
          <w:sz w:val="20"/>
          <w:szCs w:val="22"/>
        </w:rPr>
        <w:t>–</w:t>
      </w:r>
      <w:r w:rsidRPr="002C06F8">
        <w:rPr>
          <w:rFonts w:ascii="Times New Roman" w:eastAsia="宋体" w:hAnsi="Times New Roman" w:cs="Times New Roman" w:hint="eastAsia"/>
          <w:sz w:val="20"/>
          <w:szCs w:val="22"/>
        </w:rPr>
        <w:t>H. Scatter plots and leave-one-out analyses showing the causal effect of T2D on CAD across different brain cell types. A</w:t>
      </w:r>
      <w:r w:rsidRPr="002C06F8">
        <w:rPr>
          <w:rFonts w:ascii="Times New Roman" w:eastAsia="宋体" w:hAnsi="Times New Roman" w:cs="Times New Roman" w:hint="eastAsia"/>
          <w:sz w:val="20"/>
          <w:szCs w:val="22"/>
        </w:rPr>
        <w:t>–</w:t>
      </w:r>
      <w:r w:rsidRPr="002C06F8">
        <w:rPr>
          <w:rFonts w:ascii="Times New Roman" w:eastAsia="宋体" w:hAnsi="Times New Roman" w:cs="Times New Roman" w:hint="eastAsia"/>
          <w:sz w:val="20"/>
          <w:szCs w:val="22"/>
        </w:rPr>
        <w:t>B. Astrocytes; C</w:t>
      </w:r>
      <w:r w:rsidRPr="002C06F8">
        <w:rPr>
          <w:rFonts w:ascii="Times New Roman" w:eastAsia="宋体" w:hAnsi="Times New Roman" w:cs="Times New Roman" w:hint="eastAsia"/>
          <w:sz w:val="20"/>
          <w:szCs w:val="22"/>
        </w:rPr>
        <w:t>–</w:t>
      </w:r>
      <w:r w:rsidRPr="002C06F8">
        <w:rPr>
          <w:rFonts w:ascii="Times New Roman" w:eastAsia="宋体" w:hAnsi="Times New Roman" w:cs="Times New Roman" w:hint="eastAsia"/>
          <w:sz w:val="20"/>
          <w:szCs w:val="22"/>
        </w:rPr>
        <w:t>D. Excitatory neurons; E</w:t>
      </w:r>
      <w:r w:rsidRPr="002C06F8">
        <w:rPr>
          <w:rFonts w:ascii="Times New Roman" w:eastAsia="宋体" w:hAnsi="Times New Roman" w:cs="Times New Roman" w:hint="eastAsia"/>
          <w:sz w:val="20"/>
          <w:szCs w:val="22"/>
        </w:rPr>
        <w:t>–</w:t>
      </w:r>
      <w:r w:rsidRPr="002C06F8">
        <w:rPr>
          <w:rFonts w:ascii="Times New Roman" w:eastAsia="宋体" w:hAnsi="Times New Roman" w:cs="Times New Roman" w:hint="eastAsia"/>
          <w:sz w:val="20"/>
          <w:szCs w:val="22"/>
        </w:rPr>
        <w:t xml:space="preserve">F. Inhibitory neurons; G. Oligodendrocytes; H. Oligodendrocyte precursor </w:t>
      </w:r>
      <w:proofErr w:type="spellStart"/>
      <w:proofErr w:type="gramStart"/>
      <w:r w:rsidRPr="002C06F8">
        <w:rPr>
          <w:rFonts w:ascii="Times New Roman" w:eastAsia="宋体" w:hAnsi="Times New Roman" w:cs="Times New Roman" w:hint="eastAsia"/>
          <w:sz w:val="20"/>
          <w:szCs w:val="22"/>
        </w:rPr>
        <w:t>cells.In</w:t>
      </w:r>
      <w:proofErr w:type="spellEnd"/>
      <w:proofErr w:type="gramEnd"/>
      <w:r w:rsidRPr="002C06F8">
        <w:rPr>
          <w:rFonts w:ascii="Times New Roman" w:eastAsia="宋体" w:hAnsi="Times New Roman" w:cs="Times New Roman" w:hint="eastAsia"/>
          <w:sz w:val="20"/>
          <w:szCs w:val="22"/>
        </w:rPr>
        <w:t xml:space="preserve"> the scatter plots, each point represents a genetic instrument, with the x-axis indicating the SNP effect on T2D and the y-axis indicating the corresponding SNP effect on CAD. Leave-one-out analysis was performed to assess the robustness of the results by excluding one SNP at a time; points denote the effect estimates after exclusion of the corresponding SNP, and horizontal lines indicate the 95% confidence intervals. Because of the limited number of instrumental variables, leave-one-out analysis could not be performed for oligodendrocytes or oligodendrocyte precursor cells.</w:t>
      </w:r>
    </w:p>
    <w:sectPr w:rsidR="007F32E9" w:rsidRPr="002C06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2D5A7" w14:textId="77777777" w:rsidR="00852725" w:rsidRDefault="00852725" w:rsidP="004F75FE">
      <w:pPr>
        <w:rPr>
          <w:rFonts w:hint="eastAsia"/>
        </w:rPr>
      </w:pPr>
      <w:r>
        <w:separator/>
      </w:r>
    </w:p>
  </w:endnote>
  <w:endnote w:type="continuationSeparator" w:id="0">
    <w:p w14:paraId="297189A0" w14:textId="77777777" w:rsidR="00852725" w:rsidRDefault="00852725" w:rsidP="004F75F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073D9" w14:textId="77777777" w:rsidR="00852725" w:rsidRDefault="00852725" w:rsidP="004F75FE">
      <w:pPr>
        <w:rPr>
          <w:rFonts w:hint="eastAsia"/>
        </w:rPr>
      </w:pPr>
      <w:r>
        <w:separator/>
      </w:r>
    </w:p>
  </w:footnote>
  <w:footnote w:type="continuationSeparator" w:id="0">
    <w:p w14:paraId="21FA2331" w14:textId="77777777" w:rsidR="00852725" w:rsidRDefault="00852725" w:rsidP="004F75F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60D"/>
    <w:rsid w:val="00015BEC"/>
    <w:rsid w:val="000454F2"/>
    <w:rsid w:val="00087019"/>
    <w:rsid w:val="0013035C"/>
    <w:rsid w:val="002C06F8"/>
    <w:rsid w:val="0045460D"/>
    <w:rsid w:val="004F75FE"/>
    <w:rsid w:val="007076BA"/>
    <w:rsid w:val="007D0701"/>
    <w:rsid w:val="007F32E9"/>
    <w:rsid w:val="00852725"/>
    <w:rsid w:val="00887898"/>
    <w:rsid w:val="00AD6991"/>
    <w:rsid w:val="00BC1CDC"/>
    <w:rsid w:val="00CC2517"/>
    <w:rsid w:val="00DD0F0F"/>
    <w:rsid w:val="00FA355D"/>
    <w:rsid w:val="00FD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AE0B9F"/>
  <w15:chartTrackingRefBased/>
  <w15:docId w15:val="{F655EADC-E51F-424D-8409-0E730160B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5FE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5460D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460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460D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60D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460D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460D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460D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460D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460D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460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546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546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5460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5460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5460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5460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5460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5460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5460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4546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460D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45460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5460D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4546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5460D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4546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546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4546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5460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F75FE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4F75F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F75FE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4F75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469</Words>
  <Characters>2678</Characters>
  <Application>Microsoft Office Word</Application>
  <DocSecurity>0</DocSecurity>
  <Lines>22</Lines>
  <Paragraphs>6</Paragraphs>
  <ScaleCrop>false</ScaleCrop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Xuan Sun</dc:creator>
  <cp:keywords/>
  <dc:description/>
  <cp:lastModifiedBy>山丘</cp:lastModifiedBy>
  <cp:revision>7</cp:revision>
  <dcterms:created xsi:type="dcterms:W3CDTF">2026-03-24T09:18:00Z</dcterms:created>
  <dcterms:modified xsi:type="dcterms:W3CDTF">2026-03-24T09:36:00Z</dcterms:modified>
</cp:coreProperties>
</file>