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8"/>
        <w:gridCol w:w="1810"/>
        <w:gridCol w:w="6528"/>
        <w:gridCol w:w="1427"/>
        <w:gridCol w:w="4137"/>
      </w:tblGrid>
      <w:tr w:rsidR="00D8098C" w:rsidRPr="00B853C6" w14:paraId="68BC94E2" w14:textId="1CEFEAFD" w:rsidTr="00A3631D">
        <w:tc>
          <w:tcPr>
            <w:tcW w:w="588" w:type="dxa"/>
            <w:tcBorders>
              <w:top w:val="single" w:sz="4" w:space="0" w:color="auto"/>
              <w:bottom w:val="single" w:sz="6" w:space="0" w:color="7F7F7F"/>
            </w:tcBorders>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10" w:type="dxa"/>
            <w:tcBorders>
              <w:top w:val="single" w:sz="4" w:space="0" w:color="auto"/>
              <w:bottom w:val="single" w:sz="6" w:space="0" w:color="7F7F7F"/>
            </w:tcBorders>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6528" w:type="dxa"/>
            <w:tcBorders>
              <w:top w:val="single" w:sz="4" w:space="0" w:color="auto"/>
              <w:bottom w:val="single" w:sz="6" w:space="0" w:color="7F7F7F"/>
            </w:tcBorders>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1427"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137"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A3631D">
        <w:tc>
          <w:tcPr>
            <w:tcW w:w="588"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10"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6528"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1427" w:type="dxa"/>
            <w:tcBorders>
              <w:top w:val="single" w:sz="6" w:space="0" w:color="7F7F7F"/>
              <w:bottom w:val="single" w:sz="6" w:space="0" w:color="7F7F7F"/>
            </w:tcBorders>
            <w:shd w:val="clear" w:color="auto" w:fill="EEEEEE"/>
          </w:tcPr>
          <w:p w14:paraId="428F187D" w14:textId="72911AF6" w:rsidR="00D8098C" w:rsidRPr="009A1E15" w:rsidRDefault="009A1E1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w:t>
            </w:r>
          </w:p>
        </w:tc>
        <w:tc>
          <w:tcPr>
            <w:tcW w:w="4137" w:type="dxa"/>
            <w:tcBorders>
              <w:top w:val="single" w:sz="6" w:space="0" w:color="7F7F7F"/>
              <w:bottom w:val="single" w:sz="6" w:space="0" w:color="7F7F7F"/>
            </w:tcBorders>
            <w:shd w:val="clear" w:color="auto" w:fill="EEEEEE"/>
          </w:tcPr>
          <w:p w14:paraId="2F6D1FAF" w14:textId="5DCCCD3A" w:rsidR="00D8098C" w:rsidRPr="003A6B80" w:rsidRDefault="007D0B9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w:t>
            </w:r>
            <w:r w:rsidRPr="003A6B80">
              <w:rPr>
                <w:rFonts w:eastAsiaTheme="minorEastAsia"/>
                <w:sz w:val="18"/>
                <w:szCs w:val="18"/>
                <w:lang w:val="en-GB" w:eastAsia="zh-CN"/>
              </w:rPr>
              <w:t>Further integration of transcriptome-wide association study (TWAS), multi-tissue TWAS, protein quantitative trait locus (pQTL) analysis, and Mendelian randomization (MR) analysis prioritized GCKR, HSF1, and QPCTL as three potential therapeutic targets.</w:t>
            </w:r>
            <w:r>
              <w:rPr>
                <w:rFonts w:eastAsiaTheme="minorEastAsia" w:hint="eastAsia"/>
                <w:sz w:val="18"/>
                <w:szCs w:val="18"/>
                <w:lang w:val="en-GB" w:eastAsia="zh-CN"/>
              </w:rPr>
              <w:t>”</w:t>
            </w:r>
          </w:p>
        </w:tc>
      </w:tr>
      <w:tr w:rsidR="00D8098C" w:rsidRPr="00B853C6" w14:paraId="641E6A58" w14:textId="3A4EC1CE" w:rsidTr="00A3631D">
        <w:tc>
          <w:tcPr>
            <w:tcW w:w="588" w:type="dxa"/>
            <w:tcBorders>
              <w:top w:val="single" w:sz="6" w:space="0" w:color="7F7F7F"/>
            </w:tcBorders>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6528" w:type="dxa"/>
            <w:tcBorders>
              <w:top w:val="single" w:sz="6" w:space="0" w:color="7F7F7F"/>
            </w:tcBorders>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1427"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137" w:type="dxa"/>
            <w:tcBorders>
              <w:top w:val="single" w:sz="6" w:space="0" w:color="7F7F7F"/>
            </w:tcBorders>
          </w:tcPr>
          <w:p w14:paraId="7A6DC6E9" w14:textId="77777777" w:rsidR="00D8098C" w:rsidRPr="003A6B80" w:rsidRDefault="00D8098C" w:rsidP="00426603">
            <w:pPr>
              <w:spacing w:beforeLines="40" w:before="96" w:afterLines="40" w:after="96" w:line="24" w:lineRule="atLeast"/>
              <w:rPr>
                <w:rFonts w:eastAsiaTheme="minorEastAsia"/>
                <w:sz w:val="18"/>
                <w:szCs w:val="18"/>
                <w:lang w:val="en-GB" w:eastAsia="zh-CN"/>
              </w:rPr>
            </w:pPr>
          </w:p>
        </w:tc>
      </w:tr>
      <w:tr w:rsidR="00D8098C" w:rsidRPr="00B853C6" w14:paraId="7DB622D8" w14:textId="3921B7E8" w:rsidTr="00A3631D">
        <w:tc>
          <w:tcPr>
            <w:tcW w:w="588"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10"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6528"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1427" w:type="dxa"/>
            <w:shd w:val="clear" w:color="auto" w:fill="EEEEEE"/>
          </w:tcPr>
          <w:p w14:paraId="460FB29C" w14:textId="2CB778CF" w:rsidR="00D8098C" w:rsidRPr="009A1E15" w:rsidRDefault="009A1E1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137" w:type="dxa"/>
            <w:shd w:val="clear" w:color="auto" w:fill="EEEEEE"/>
          </w:tcPr>
          <w:p w14:paraId="5D990A22" w14:textId="28FCA6B4" w:rsidR="00D8098C" w:rsidRPr="003A6B80" w:rsidRDefault="007D0B9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w:t>
            </w:r>
            <w:r w:rsidRPr="003A6B80">
              <w:rPr>
                <w:rFonts w:eastAsiaTheme="minorEastAsia"/>
                <w:sz w:val="18"/>
                <w:szCs w:val="18"/>
                <w:lang w:val="en-GB" w:eastAsia="zh-CN"/>
              </w:rPr>
              <w:t>Type 2 diabetes (T2D) and coronary artery disease (CAD) are two closely related diseases that together constitute the central axis of the burden of cardiovascular and metabolic diseases.</w:t>
            </w:r>
            <w:r>
              <w:rPr>
                <w:rFonts w:eastAsiaTheme="minorEastAsia" w:hint="eastAsia"/>
                <w:sz w:val="18"/>
                <w:szCs w:val="18"/>
                <w:lang w:val="en-GB" w:eastAsia="zh-CN"/>
              </w:rPr>
              <w:t>”</w:t>
            </w:r>
          </w:p>
        </w:tc>
      </w:tr>
      <w:tr w:rsidR="00D8098C" w:rsidRPr="00B853C6" w14:paraId="7907A3D3" w14:textId="5AB948A7" w:rsidTr="00A3631D">
        <w:tc>
          <w:tcPr>
            <w:tcW w:w="588" w:type="dxa"/>
            <w:tcBorders>
              <w:bottom w:val="single" w:sz="6" w:space="0" w:color="7F7F7F"/>
            </w:tcBorders>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10" w:type="dxa"/>
            <w:tcBorders>
              <w:bottom w:val="single" w:sz="6" w:space="0" w:color="7F7F7F"/>
            </w:tcBorders>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6528" w:type="dxa"/>
            <w:tcBorders>
              <w:bottom w:val="single" w:sz="6" w:space="0" w:color="7F7F7F"/>
            </w:tcBorders>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1427" w:type="dxa"/>
            <w:tcBorders>
              <w:bottom w:val="single" w:sz="6" w:space="0" w:color="7F7F7F"/>
            </w:tcBorders>
          </w:tcPr>
          <w:p w14:paraId="2294F6C5" w14:textId="15A25639" w:rsidR="00D8098C" w:rsidRPr="009A1E15" w:rsidRDefault="009A1E1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137" w:type="dxa"/>
            <w:tcBorders>
              <w:bottom w:val="single" w:sz="6" w:space="0" w:color="7F7F7F"/>
            </w:tcBorders>
          </w:tcPr>
          <w:p w14:paraId="446C8DD2" w14:textId="77777777" w:rsidR="007D0B9E" w:rsidRPr="003A6B80" w:rsidRDefault="007D0B9E" w:rsidP="007D0B9E">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w:t>
            </w:r>
            <w:r w:rsidRPr="003A6B80">
              <w:rPr>
                <w:rFonts w:eastAsiaTheme="minorEastAsia"/>
                <w:sz w:val="18"/>
                <w:szCs w:val="18"/>
                <w:lang w:val="en-GB" w:eastAsia="zh-CN"/>
              </w:rPr>
              <w:t>This study combined cross-trait genetic association analysis, MiXeR, transcriptome-wide association study (TWAS), proteomics, mediation analysis, and cell-type-stratified Mendelian randomization (csMR) to systematically characterize the shared genetic architecture of T2D and CAD, and to identify candidate genes, proteins, and potential cellular contexts</w:t>
            </w:r>
            <w:r w:rsidRPr="003A6B80">
              <w:rPr>
                <w:rFonts w:eastAsiaTheme="minorEastAsia" w:hint="eastAsia"/>
                <w:sz w:val="18"/>
                <w:szCs w:val="18"/>
                <w:lang w:val="en-GB" w:eastAsia="zh-CN"/>
              </w:rPr>
              <w:t xml:space="preserve"> </w:t>
            </w:r>
            <w:r w:rsidRPr="003A6B80">
              <w:rPr>
                <w:rFonts w:eastAsiaTheme="minorEastAsia"/>
                <w:sz w:val="18"/>
                <w:szCs w:val="18"/>
                <w:lang w:val="en-GB" w:eastAsia="zh-CN"/>
              </w:rPr>
              <w:t>underlying the link between the two diseases, thereby providing a more comprehensive framework for understanding the mechanisms of T2D–CAD comorbidity.</w:t>
            </w:r>
          </w:p>
          <w:p w14:paraId="11250836" w14:textId="13899612" w:rsidR="00D8098C" w:rsidRPr="003A6B80" w:rsidRDefault="007D0B9E" w:rsidP="007D0B9E">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w:t>
            </w:r>
          </w:p>
        </w:tc>
      </w:tr>
      <w:tr w:rsidR="00D8098C" w:rsidRPr="00B853C6" w14:paraId="59599383" w14:textId="2880B554" w:rsidTr="00A3631D">
        <w:tc>
          <w:tcPr>
            <w:tcW w:w="588"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6528"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427"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37" w:type="dxa"/>
            <w:tcBorders>
              <w:top w:val="single" w:sz="6" w:space="0" w:color="7F7F7F"/>
            </w:tcBorders>
            <w:shd w:val="clear" w:color="auto" w:fill="EEEEEE"/>
          </w:tcPr>
          <w:p w14:paraId="6CB9315A" w14:textId="77777777" w:rsidR="00D8098C" w:rsidRPr="003A6B80" w:rsidRDefault="00D8098C" w:rsidP="00426603">
            <w:pPr>
              <w:spacing w:beforeLines="40" w:before="96" w:afterLines="40" w:after="96" w:line="24" w:lineRule="atLeast"/>
              <w:rPr>
                <w:rFonts w:eastAsiaTheme="minorEastAsia"/>
                <w:sz w:val="18"/>
                <w:szCs w:val="18"/>
                <w:lang w:val="en-GB" w:eastAsia="zh-CN"/>
              </w:rPr>
            </w:pPr>
          </w:p>
        </w:tc>
      </w:tr>
      <w:tr w:rsidR="00D8098C" w:rsidRPr="00B853C6" w14:paraId="6440155E" w14:textId="16610A1F" w:rsidTr="00A3631D">
        <w:tc>
          <w:tcPr>
            <w:tcW w:w="588" w:type="dxa"/>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10" w:type="dxa"/>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6528" w:type="dxa"/>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1427" w:type="dxa"/>
          </w:tcPr>
          <w:p w14:paraId="0E181C75" w14:textId="18426EAB" w:rsidR="00D8098C" w:rsidRPr="00C47E6E" w:rsidRDefault="00D8098C" w:rsidP="00426603">
            <w:pPr>
              <w:spacing w:beforeLines="40" w:before="96" w:afterLines="40" w:after="96" w:line="24" w:lineRule="atLeast"/>
              <w:rPr>
                <w:rFonts w:eastAsiaTheme="minorEastAsia"/>
                <w:sz w:val="18"/>
                <w:szCs w:val="18"/>
                <w:lang w:val="en-GB" w:eastAsia="zh-CN"/>
              </w:rPr>
            </w:pPr>
          </w:p>
        </w:tc>
        <w:tc>
          <w:tcPr>
            <w:tcW w:w="4137" w:type="dxa"/>
          </w:tcPr>
          <w:p w14:paraId="23CE0AC6" w14:textId="77777777" w:rsidR="00D8098C" w:rsidRPr="003A6B80" w:rsidRDefault="00D8098C" w:rsidP="00426603">
            <w:pPr>
              <w:spacing w:beforeLines="40" w:before="96" w:afterLines="40" w:after="96" w:line="24" w:lineRule="atLeast"/>
              <w:rPr>
                <w:rFonts w:eastAsiaTheme="minorEastAsia"/>
                <w:sz w:val="18"/>
                <w:szCs w:val="18"/>
                <w:lang w:val="en-GB" w:eastAsia="zh-CN"/>
              </w:rPr>
            </w:pPr>
          </w:p>
        </w:tc>
      </w:tr>
      <w:tr w:rsidR="00D8098C" w:rsidRPr="00B853C6" w14:paraId="47D5AE21" w14:textId="3CA8D4AF" w:rsidTr="00A3631D">
        <w:tc>
          <w:tcPr>
            <w:tcW w:w="588"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528"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1427" w:type="dxa"/>
            <w:shd w:val="clear" w:color="auto" w:fill="EEEEEE"/>
          </w:tcPr>
          <w:p w14:paraId="048ED5CF" w14:textId="4830D456" w:rsidR="00D8098C" w:rsidRPr="006C0AB0" w:rsidRDefault="006C0AB0" w:rsidP="00426603">
            <w:pPr>
              <w:spacing w:beforeLines="40" w:before="96" w:afterLines="40" w:after="96" w:line="24" w:lineRule="atLeast"/>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3-4</w:t>
            </w:r>
          </w:p>
        </w:tc>
        <w:tc>
          <w:tcPr>
            <w:tcW w:w="4137" w:type="dxa"/>
            <w:shd w:val="clear" w:color="auto" w:fill="EEEEEE"/>
          </w:tcPr>
          <w:p w14:paraId="33F4171D" w14:textId="0F518AD3" w:rsidR="00D8098C" w:rsidRPr="003A6B80" w:rsidRDefault="007D0B9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w:t>
            </w:r>
            <w:r w:rsidR="00766282" w:rsidRPr="003A6B80">
              <w:rPr>
                <w:rFonts w:eastAsiaTheme="minorEastAsia"/>
                <w:sz w:val="18"/>
                <w:szCs w:val="18"/>
                <w:lang w:val="en-GB" w:eastAsia="zh-CN"/>
              </w:rPr>
              <w:t xml:space="preserve">The GWAS summary statistics for CAD were obtained from the GWAS Catalog under accession GCST90132314 and comprised 1,165,690 participants, including 181,522 CAD cases; participants were predominantly of </w:t>
            </w:r>
            <w:r w:rsidR="00766282" w:rsidRPr="003A6B80">
              <w:rPr>
                <w:rFonts w:eastAsiaTheme="minorEastAsia"/>
                <w:sz w:val="18"/>
                <w:szCs w:val="18"/>
                <w:lang w:val="en-GB" w:eastAsia="zh-CN"/>
              </w:rPr>
              <w:lastRenderedPageBreak/>
              <w:t>European ancestry (&gt;95%)</w:t>
            </w:r>
            <w:r w:rsidR="00766282" w:rsidRPr="003A6B80">
              <w:rPr>
                <w:rFonts w:eastAsiaTheme="minorEastAsia" w:hint="eastAsia"/>
                <w:sz w:val="18"/>
                <w:szCs w:val="18"/>
                <w:lang w:val="en-GB" w:eastAsia="zh-CN"/>
              </w:rPr>
              <w:t>.</w:t>
            </w:r>
            <w:r w:rsidR="00766282" w:rsidRPr="003A6B80">
              <w:rPr>
                <w:rFonts w:eastAsiaTheme="minorEastAsia"/>
                <w:sz w:val="18"/>
                <w:szCs w:val="18"/>
                <w:lang w:val="en-GB" w:eastAsia="zh-CN"/>
              </w:rPr>
              <w:t xml:space="preserve"> The GWAS summary statistics for T2D were obtained from FinnGen release R12 and comprised 460,679 individuals of Finnish ancestry, including 55,418</w:t>
            </w:r>
            <w:r w:rsidR="00766282" w:rsidRPr="003A6B80">
              <w:rPr>
                <w:rFonts w:eastAsiaTheme="minorEastAsia" w:hint="eastAsia"/>
                <w:sz w:val="18"/>
                <w:szCs w:val="18"/>
                <w:lang w:val="en-GB" w:eastAsia="zh-CN"/>
              </w:rPr>
              <w:t xml:space="preserve"> </w:t>
            </w:r>
            <w:r w:rsidR="00766282" w:rsidRPr="003A6B80">
              <w:rPr>
                <w:rFonts w:eastAsiaTheme="minorEastAsia"/>
                <w:sz w:val="18"/>
                <w:szCs w:val="18"/>
                <w:lang w:val="en-GB" w:eastAsia="zh-CN"/>
              </w:rPr>
              <w:t>T2D</w:t>
            </w:r>
            <w:r w:rsidR="00766282" w:rsidRPr="003A6B80">
              <w:rPr>
                <w:rFonts w:eastAsiaTheme="minorEastAsia" w:hint="eastAsia"/>
                <w:sz w:val="18"/>
                <w:szCs w:val="18"/>
                <w:lang w:val="en-GB" w:eastAsia="zh-CN"/>
              </w:rPr>
              <w:t xml:space="preserve"> </w:t>
            </w:r>
            <w:r w:rsidR="00766282" w:rsidRPr="003A6B80">
              <w:rPr>
                <w:rFonts w:eastAsiaTheme="minorEastAsia"/>
                <w:sz w:val="18"/>
                <w:szCs w:val="18"/>
                <w:lang w:val="en-GB" w:eastAsia="zh-CN"/>
              </w:rPr>
              <w:t>cases and</w:t>
            </w:r>
            <w:r w:rsidR="00766282" w:rsidRPr="003A6B80">
              <w:rPr>
                <w:rFonts w:eastAsiaTheme="minorEastAsia" w:hint="eastAsia"/>
                <w:sz w:val="18"/>
                <w:szCs w:val="18"/>
                <w:lang w:val="en-GB" w:eastAsia="zh-CN"/>
              </w:rPr>
              <w:t xml:space="preserve"> </w:t>
            </w:r>
            <w:r w:rsidR="00766282" w:rsidRPr="003A6B80">
              <w:rPr>
                <w:rFonts w:eastAsiaTheme="minorEastAsia"/>
                <w:sz w:val="18"/>
                <w:szCs w:val="18"/>
                <w:lang w:val="en-GB" w:eastAsia="zh-CN"/>
              </w:rPr>
              <w:t>40</w:t>
            </w:r>
            <w:r w:rsidR="00766282" w:rsidRPr="003A6B80">
              <w:rPr>
                <w:rFonts w:eastAsiaTheme="minorEastAsia" w:hint="eastAsia"/>
                <w:sz w:val="18"/>
                <w:szCs w:val="18"/>
                <w:lang w:val="en-GB" w:eastAsia="zh-CN"/>
              </w:rPr>
              <w:t>5,</w:t>
            </w:r>
            <w:r w:rsidR="00766282" w:rsidRPr="003A6B80">
              <w:rPr>
                <w:rFonts w:eastAsiaTheme="minorEastAsia"/>
                <w:sz w:val="18"/>
                <w:szCs w:val="18"/>
                <w:lang w:val="en-GB" w:eastAsia="zh-CN"/>
              </w:rPr>
              <w:t>261</w:t>
            </w:r>
            <w:r w:rsidR="00766282" w:rsidRPr="003A6B80">
              <w:rPr>
                <w:rFonts w:eastAsiaTheme="minorEastAsia" w:hint="eastAsia"/>
                <w:sz w:val="18"/>
                <w:szCs w:val="18"/>
                <w:lang w:val="en-GB" w:eastAsia="zh-CN"/>
              </w:rPr>
              <w:t xml:space="preserve"> </w:t>
            </w:r>
            <w:r w:rsidR="00766282" w:rsidRPr="003A6B80">
              <w:rPr>
                <w:rFonts w:eastAsiaTheme="minorEastAsia"/>
                <w:sz w:val="18"/>
                <w:szCs w:val="18"/>
                <w:lang w:val="en-GB" w:eastAsia="zh-CN"/>
              </w:rPr>
              <w:t>controls</w:t>
            </w:r>
            <w:r>
              <w:rPr>
                <w:rFonts w:eastAsiaTheme="minorEastAsia" w:hint="eastAsia"/>
                <w:sz w:val="18"/>
                <w:szCs w:val="18"/>
                <w:lang w:val="en-GB" w:eastAsia="zh-CN"/>
              </w:rPr>
              <w:t>”</w:t>
            </w:r>
          </w:p>
        </w:tc>
      </w:tr>
      <w:tr w:rsidR="00D8098C" w:rsidRPr="00B853C6" w14:paraId="376A6F82" w14:textId="43693FDC" w:rsidTr="00A3631D">
        <w:tc>
          <w:tcPr>
            <w:tcW w:w="588" w:type="dxa"/>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528" w:type="dxa"/>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1427" w:type="dxa"/>
          </w:tcPr>
          <w:p w14:paraId="29ACC32C" w14:textId="2DCD833B" w:rsidR="00D8098C" w:rsidRPr="00A1236D" w:rsidRDefault="006C0AB0"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heme="minorEastAsia" w:hint="eastAsia"/>
                <w:sz w:val="18"/>
                <w:szCs w:val="18"/>
                <w:shd w:val="clear" w:color="auto" w:fill="FFFFFF"/>
                <w:lang w:val="en-GB" w:eastAsia="zh-CN"/>
              </w:rPr>
              <w:t>3-4</w:t>
            </w:r>
          </w:p>
        </w:tc>
        <w:tc>
          <w:tcPr>
            <w:tcW w:w="4137" w:type="dxa"/>
          </w:tcPr>
          <w:p w14:paraId="37C3B4C3" w14:textId="3EF3FF83" w:rsidR="00D8098C" w:rsidRPr="003A6B80" w:rsidRDefault="007D0B9E" w:rsidP="003A6B80">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w:t>
            </w:r>
            <w:r w:rsidR="00766282" w:rsidRPr="003A6B80">
              <w:rPr>
                <w:rFonts w:eastAsiaTheme="minorEastAsia"/>
                <w:sz w:val="18"/>
                <w:szCs w:val="18"/>
                <w:lang w:val="en-GB" w:eastAsia="zh-CN"/>
              </w:rPr>
              <w:t>The GWAS summary statistics for CAD were obtained from the GWAS Catalog under accession GCST90132314 and comprised 1,165,690 participants, including 181,522 CAD cases; participants were predominantly of European ancestry (&gt;95%). The GWAS summary statistics for T2D were obtained from FinnGen release R12 and comprised 460,679 individuals of Finnish ancestry, including 55,418</w:t>
            </w:r>
            <w:r w:rsidR="00766282" w:rsidRPr="003A6B80">
              <w:rPr>
                <w:rFonts w:eastAsiaTheme="minorEastAsia" w:hint="eastAsia"/>
                <w:sz w:val="18"/>
                <w:szCs w:val="18"/>
                <w:lang w:val="en-GB" w:eastAsia="zh-CN"/>
              </w:rPr>
              <w:t xml:space="preserve"> </w:t>
            </w:r>
            <w:r w:rsidR="00766282" w:rsidRPr="003A6B80">
              <w:rPr>
                <w:rFonts w:eastAsiaTheme="minorEastAsia"/>
                <w:sz w:val="18"/>
                <w:szCs w:val="18"/>
                <w:lang w:val="en-GB" w:eastAsia="zh-CN"/>
              </w:rPr>
              <w:t>T2D</w:t>
            </w:r>
            <w:r w:rsidR="00766282" w:rsidRPr="003A6B80">
              <w:rPr>
                <w:rFonts w:eastAsiaTheme="minorEastAsia" w:hint="eastAsia"/>
                <w:sz w:val="18"/>
                <w:szCs w:val="18"/>
                <w:lang w:val="en-GB" w:eastAsia="zh-CN"/>
              </w:rPr>
              <w:t xml:space="preserve"> </w:t>
            </w:r>
            <w:r w:rsidR="00766282" w:rsidRPr="003A6B80">
              <w:rPr>
                <w:rFonts w:eastAsiaTheme="minorEastAsia"/>
                <w:sz w:val="18"/>
                <w:szCs w:val="18"/>
                <w:lang w:val="en-GB" w:eastAsia="zh-CN"/>
              </w:rPr>
              <w:t>cases and</w:t>
            </w:r>
            <w:r w:rsidR="00766282" w:rsidRPr="003A6B80">
              <w:rPr>
                <w:rFonts w:eastAsiaTheme="minorEastAsia" w:hint="eastAsia"/>
                <w:sz w:val="18"/>
                <w:szCs w:val="18"/>
                <w:lang w:val="en-GB" w:eastAsia="zh-CN"/>
              </w:rPr>
              <w:t xml:space="preserve"> </w:t>
            </w:r>
            <w:r w:rsidR="00766282" w:rsidRPr="003A6B80">
              <w:rPr>
                <w:rFonts w:eastAsiaTheme="minorEastAsia"/>
                <w:sz w:val="18"/>
                <w:szCs w:val="18"/>
                <w:lang w:val="en-GB" w:eastAsia="zh-CN"/>
              </w:rPr>
              <w:t>40</w:t>
            </w:r>
            <w:r w:rsidR="00766282" w:rsidRPr="003A6B80">
              <w:rPr>
                <w:rFonts w:eastAsiaTheme="minorEastAsia" w:hint="eastAsia"/>
                <w:sz w:val="18"/>
                <w:szCs w:val="18"/>
                <w:lang w:val="en-GB" w:eastAsia="zh-CN"/>
              </w:rPr>
              <w:t>5,</w:t>
            </w:r>
            <w:r w:rsidR="00766282" w:rsidRPr="003A6B80">
              <w:rPr>
                <w:rFonts w:eastAsiaTheme="minorEastAsia"/>
                <w:sz w:val="18"/>
                <w:szCs w:val="18"/>
                <w:lang w:val="en-GB" w:eastAsia="zh-CN"/>
              </w:rPr>
              <w:t>261</w:t>
            </w:r>
            <w:r w:rsidR="00766282" w:rsidRPr="003A6B80">
              <w:rPr>
                <w:rFonts w:eastAsiaTheme="minorEastAsia" w:hint="eastAsia"/>
                <w:sz w:val="18"/>
                <w:szCs w:val="18"/>
                <w:lang w:val="en-GB" w:eastAsia="zh-CN"/>
              </w:rPr>
              <w:t xml:space="preserve"> </w:t>
            </w:r>
            <w:r w:rsidR="00766282" w:rsidRPr="003A6B80">
              <w:rPr>
                <w:rFonts w:eastAsiaTheme="minorEastAsia"/>
                <w:sz w:val="18"/>
                <w:szCs w:val="18"/>
                <w:lang w:val="en-GB" w:eastAsia="zh-CN"/>
              </w:rPr>
              <w:t>controls</w:t>
            </w:r>
            <w:r>
              <w:rPr>
                <w:rFonts w:eastAsiaTheme="minorEastAsia" w:hint="eastAsia"/>
                <w:sz w:val="18"/>
                <w:szCs w:val="18"/>
                <w:lang w:val="en-GB" w:eastAsia="zh-CN"/>
              </w:rPr>
              <w:t>”</w:t>
            </w:r>
          </w:p>
        </w:tc>
      </w:tr>
      <w:tr w:rsidR="00D8098C" w:rsidRPr="00B853C6" w14:paraId="04B065C7" w14:textId="72F11B68" w:rsidTr="00A3631D">
        <w:tc>
          <w:tcPr>
            <w:tcW w:w="588"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528"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1427" w:type="dxa"/>
            <w:shd w:val="clear" w:color="auto" w:fill="EEEEEE"/>
          </w:tcPr>
          <w:p w14:paraId="2CDB28F5" w14:textId="6610A118" w:rsidR="00D8098C" w:rsidRPr="006C0AB0" w:rsidRDefault="006C0AB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4-7</w:t>
            </w:r>
          </w:p>
        </w:tc>
        <w:tc>
          <w:tcPr>
            <w:tcW w:w="4137" w:type="dxa"/>
            <w:shd w:val="clear" w:color="auto" w:fill="EEEEEE"/>
          </w:tcPr>
          <w:p w14:paraId="1D5E3DF2" w14:textId="77777777" w:rsidR="00766282" w:rsidRPr="00766282" w:rsidRDefault="00766282" w:rsidP="00766282">
            <w:pPr>
              <w:spacing w:beforeLines="40" w:before="96" w:afterLines="40" w:after="96" w:line="24" w:lineRule="atLeast"/>
              <w:rPr>
                <w:rFonts w:eastAsiaTheme="minorEastAsia"/>
                <w:sz w:val="18"/>
                <w:szCs w:val="18"/>
                <w:lang w:val="en-GB" w:eastAsia="zh-CN"/>
              </w:rPr>
            </w:pPr>
            <w:r w:rsidRPr="00766282">
              <w:rPr>
                <w:rFonts w:eastAsiaTheme="minorEastAsia" w:hint="eastAsia"/>
                <w:sz w:val="18"/>
                <w:szCs w:val="18"/>
                <w:lang w:val="en-GB" w:eastAsia="zh-CN"/>
              </w:rPr>
              <w:t>“</w:t>
            </w:r>
            <w:r w:rsidRPr="00766282">
              <w:rPr>
                <w:rFonts w:eastAsiaTheme="minorEastAsia"/>
                <w:sz w:val="18"/>
                <w:szCs w:val="18"/>
                <w:lang w:val="en-GB" w:eastAsia="zh-CN"/>
              </w:rPr>
              <w:t>SNPs associated with T2D were selected at the genome-wide significance threshold (P &lt; 5 × 10–8), and significant SNPs were further subjected to LD clumping (window = 10,000 kb; r² &lt; 0.001) to obtain independent instrumental variables (IVs).”</w:t>
            </w:r>
          </w:p>
          <w:p w14:paraId="437B2FC0" w14:textId="77777777" w:rsidR="00766282" w:rsidRPr="00766282" w:rsidRDefault="00766282" w:rsidP="00766282">
            <w:pPr>
              <w:spacing w:beforeLines="40" w:before="96" w:afterLines="40" w:after="96" w:line="24" w:lineRule="atLeast"/>
              <w:rPr>
                <w:rFonts w:eastAsiaTheme="minorEastAsia"/>
                <w:sz w:val="18"/>
                <w:szCs w:val="18"/>
                <w:lang w:val="en-GB" w:eastAsia="zh-CN"/>
              </w:rPr>
            </w:pPr>
            <w:r w:rsidRPr="00766282">
              <w:rPr>
                <w:rFonts w:eastAsiaTheme="minorEastAsia" w:hint="eastAsia"/>
                <w:sz w:val="18"/>
                <w:szCs w:val="18"/>
                <w:lang w:val="en-GB" w:eastAsia="zh-CN"/>
              </w:rPr>
              <w:t>“</w:t>
            </w:r>
            <w:r w:rsidRPr="00766282">
              <w:rPr>
                <w:rFonts w:eastAsiaTheme="minorEastAsia"/>
                <w:sz w:val="18"/>
                <w:szCs w:val="18"/>
                <w:lang w:val="en-GB" w:eastAsia="zh-CN"/>
              </w:rPr>
              <w:t>To minimize potential bias, we harmonized the exposure and outcome datasets to ensure alignment of effect alleles across datasets.”</w:t>
            </w:r>
          </w:p>
          <w:p w14:paraId="26B556E6" w14:textId="67E3B37C" w:rsidR="00766282" w:rsidRPr="00766282" w:rsidRDefault="00766282" w:rsidP="00766282">
            <w:pPr>
              <w:spacing w:beforeLines="40" w:before="96" w:afterLines="40" w:after="96" w:line="24" w:lineRule="atLeast"/>
              <w:rPr>
                <w:rFonts w:eastAsiaTheme="minorEastAsia"/>
                <w:sz w:val="18"/>
                <w:szCs w:val="18"/>
                <w:lang w:val="en-GB" w:eastAsia="zh-CN"/>
              </w:rPr>
            </w:pPr>
            <w:r w:rsidRPr="00766282">
              <w:rPr>
                <w:rFonts w:eastAsiaTheme="minorEastAsia" w:hint="eastAsia"/>
                <w:sz w:val="18"/>
                <w:szCs w:val="18"/>
                <w:lang w:val="en-GB" w:eastAsia="zh-CN"/>
              </w:rPr>
              <w:t>“</w:t>
            </w:r>
            <w:r w:rsidRPr="00766282">
              <w:rPr>
                <w:rFonts w:eastAsiaTheme="minorEastAsia"/>
                <w:sz w:val="18"/>
                <w:szCs w:val="18"/>
                <w:lang w:val="en-GB" w:eastAsia="zh-CN"/>
              </w:rPr>
              <w:t>For each protein, cis-pQTL variants were selected as instrumental variables, with the cis region defined as variants located within ±1 Mb of the transcription start site…”</w:t>
            </w:r>
          </w:p>
        </w:tc>
      </w:tr>
      <w:tr w:rsidR="00D8098C" w:rsidRPr="00B853C6" w14:paraId="215DDE8E" w14:textId="5C8C984B" w:rsidTr="00A3631D">
        <w:tc>
          <w:tcPr>
            <w:tcW w:w="588" w:type="dxa"/>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528" w:type="dxa"/>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1427" w:type="dxa"/>
          </w:tcPr>
          <w:p w14:paraId="37FB656C" w14:textId="096A25F4" w:rsidR="00D8098C" w:rsidRPr="00A1236D" w:rsidRDefault="00766282"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heme="minorEastAsia" w:hint="eastAsia"/>
                <w:sz w:val="18"/>
                <w:szCs w:val="18"/>
                <w:lang w:val="en-GB" w:eastAsia="zh-CN"/>
              </w:rPr>
              <w:t>4-7</w:t>
            </w:r>
          </w:p>
        </w:tc>
        <w:tc>
          <w:tcPr>
            <w:tcW w:w="4137" w:type="dxa"/>
          </w:tcPr>
          <w:p w14:paraId="18BB4B57" w14:textId="18D461C0" w:rsidR="00D8098C" w:rsidRDefault="00766282"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766282">
              <w:rPr>
                <w:rFonts w:eastAsia="Times New Roman"/>
                <w:sz w:val="18"/>
                <w:szCs w:val="18"/>
                <w:shd w:val="clear" w:color="auto" w:fill="FFFFFF"/>
                <w:lang w:eastAsia="en-GB"/>
              </w:rPr>
              <w:t>“The GWAS summary statistics for CAD…”</w:t>
            </w:r>
            <w:r w:rsidRPr="00766282">
              <w:rPr>
                <w:rFonts w:eastAsia="Times New Roman"/>
                <w:sz w:val="18"/>
                <w:szCs w:val="18"/>
                <w:shd w:val="clear" w:color="auto" w:fill="FFFFFF"/>
                <w:lang w:eastAsia="en-GB"/>
              </w:rPr>
              <w:br/>
              <w:t>“The GWAS summary statistics for T2D…”</w:t>
            </w:r>
            <w:r w:rsidRPr="00766282">
              <w:rPr>
                <w:rFonts w:eastAsia="Times New Roman"/>
                <w:sz w:val="18"/>
                <w:szCs w:val="18"/>
                <w:shd w:val="clear" w:color="auto" w:fill="FFFFFF"/>
                <w:lang w:eastAsia="en-GB"/>
              </w:rPr>
              <w:br/>
              <w:t>“Summary statistics for T2D were obtained from FinnGen release R12…”</w:t>
            </w:r>
            <w:r w:rsidRPr="00766282">
              <w:rPr>
                <w:rFonts w:eastAsia="Times New Roman"/>
                <w:sz w:val="18"/>
                <w:szCs w:val="18"/>
                <w:shd w:val="clear" w:color="auto" w:fill="FFFFFF"/>
                <w:lang w:eastAsia="en-GB"/>
              </w:rPr>
              <w:br/>
              <w:t>“We obtained summary-level brain single-cell eQTL data…”</w:t>
            </w:r>
          </w:p>
        </w:tc>
      </w:tr>
      <w:tr w:rsidR="00D8098C" w:rsidRPr="00B853C6" w14:paraId="69A6C8B1" w14:textId="39D94CE4" w:rsidTr="00A3631D">
        <w:tc>
          <w:tcPr>
            <w:tcW w:w="588"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528"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1427" w:type="dxa"/>
            <w:shd w:val="clear" w:color="auto" w:fill="EEEEEE"/>
          </w:tcPr>
          <w:p w14:paraId="2754FA07" w14:textId="7FBE460B" w:rsidR="00D8098C" w:rsidRPr="006C0AB0" w:rsidRDefault="006C0AB0"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4</w:t>
            </w:r>
            <w:r w:rsidR="00766282">
              <w:rPr>
                <w:rFonts w:eastAsiaTheme="minorEastAsia" w:hint="eastAsia"/>
                <w:sz w:val="18"/>
                <w:szCs w:val="18"/>
                <w:shd w:val="clear" w:color="auto" w:fill="FFFFFF"/>
                <w:lang w:val="en-GB" w:eastAsia="zh-CN"/>
              </w:rPr>
              <w:t>.16</w:t>
            </w:r>
          </w:p>
        </w:tc>
        <w:tc>
          <w:tcPr>
            <w:tcW w:w="4137" w:type="dxa"/>
            <w:shd w:val="clear" w:color="auto" w:fill="EEEEEE"/>
          </w:tcPr>
          <w:p w14:paraId="4D3D75A2" w14:textId="77777777" w:rsidR="00766282" w:rsidRPr="00371607" w:rsidRDefault="00766282" w:rsidP="00371607">
            <w:pPr>
              <w:spacing w:beforeLines="40" w:before="96" w:afterLines="40" w:after="96" w:line="24" w:lineRule="atLeast"/>
              <w:textAlignment w:val="baseline"/>
              <w:rPr>
                <w:rFonts w:eastAsiaTheme="minorEastAsia"/>
                <w:sz w:val="18"/>
                <w:szCs w:val="18"/>
                <w:lang w:val="en-GB" w:eastAsia="zh-CN"/>
              </w:rPr>
            </w:pPr>
            <w:r w:rsidRPr="00371607">
              <w:rPr>
                <w:rFonts w:eastAsiaTheme="minorEastAsia" w:hint="eastAsia"/>
                <w:sz w:val="18"/>
                <w:szCs w:val="18"/>
                <w:lang w:val="en-GB" w:eastAsia="zh-CN"/>
              </w:rPr>
              <w:t>“</w:t>
            </w:r>
            <w:r w:rsidRPr="00371607">
              <w:rPr>
                <w:rFonts w:eastAsiaTheme="minorEastAsia"/>
                <w:sz w:val="18"/>
                <w:szCs w:val="18"/>
                <w:lang w:val="en-GB" w:eastAsia="zh-CN"/>
              </w:rPr>
              <w:t>All GWAS summary statistics used in this study were obtained from publicly available, de-identified resources that permit research use under their respective data access terms. Therefore, no additional permission was required for the present secondary analysis.”</w:t>
            </w:r>
          </w:p>
          <w:p w14:paraId="49D69C25" w14:textId="77777777" w:rsidR="00766282" w:rsidRPr="00371607" w:rsidRDefault="00766282" w:rsidP="00371607">
            <w:pPr>
              <w:spacing w:beforeLines="40" w:before="96" w:afterLines="40" w:after="96" w:line="24" w:lineRule="atLeast"/>
              <w:textAlignment w:val="baseline"/>
              <w:rPr>
                <w:rFonts w:eastAsiaTheme="minorEastAsia"/>
                <w:sz w:val="18"/>
                <w:szCs w:val="18"/>
                <w:lang w:val="en-GB" w:eastAsia="zh-CN"/>
              </w:rPr>
            </w:pPr>
            <w:r w:rsidRPr="00371607">
              <w:rPr>
                <w:rFonts w:eastAsiaTheme="minorEastAsia" w:hint="eastAsia"/>
                <w:sz w:val="18"/>
                <w:szCs w:val="18"/>
                <w:lang w:val="en-GB" w:eastAsia="zh-CN"/>
              </w:rPr>
              <w:lastRenderedPageBreak/>
              <w:t>“</w:t>
            </w:r>
            <w:r w:rsidRPr="00371607">
              <w:rPr>
                <w:rFonts w:eastAsiaTheme="minorEastAsia"/>
                <w:sz w:val="18"/>
                <w:szCs w:val="18"/>
                <w:lang w:val="en-GB" w:eastAsia="zh-CN"/>
              </w:rPr>
              <w:t>The original studies had obtained approval from the relevant institutional review boards, and informed consent had been obtained from all participants.”</w:t>
            </w:r>
          </w:p>
          <w:p w14:paraId="6067A95B" w14:textId="49311E8B" w:rsidR="00D8098C" w:rsidRPr="00371607" w:rsidRDefault="00766282" w:rsidP="00766282">
            <w:pPr>
              <w:spacing w:beforeLines="40" w:before="96" w:afterLines="40" w:after="96" w:line="24" w:lineRule="atLeast"/>
              <w:ind w:firstLineChars="200" w:firstLine="360"/>
              <w:textAlignment w:val="baseline"/>
              <w:rPr>
                <w:rFonts w:eastAsiaTheme="minorEastAsia"/>
                <w:sz w:val="18"/>
                <w:szCs w:val="18"/>
                <w:lang w:val="en-GB" w:eastAsia="zh-CN"/>
              </w:rPr>
            </w:pPr>
            <w:r w:rsidRPr="00371607">
              <w:rPr>
                <w:rFonts w:eastAsiaTheme="minorEastAsia" w:hint="eastAsia"/>
                <w:sz w:val="18"/>
                <w:szCs w:val="18"/>
                <w:lang w:val="en-GB" w:eastAsia="zh-CN"/>
              </w:rPr>
              <w:t>“</w:t>
            </w:r>
            <w:r w:rsidRPr="00371607">
              <w:rPr>
                <w:rFonts w:eastAsiaTheme="minorEastAsia"/>
                <w:sz w:val="18"/>
                <w:szCs w:val="18"/>
                <w:lang w:val="en-GB" w:eastAsia="zh-CN"/>
              </w:rPr>
              <w:t>Ethics approval and consent to participate: Not applicable. All data used in this study were publicly available…”</w:t>
            </w:r>
          </w:p>
        </w:tc>
      </w:tr>
      <w:tr w:rsidR="00D8098C" w:rsidRPr="00B853C6" w14:paraId="23EA53EC" w14:textId="1D3E4E77" w:rsidTr="00A3631D">
        <w:tc>
          <w:tcPr>
            <w:tcW w:w="588" w:type="dxa"/>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5</w:t>
            </w:r>
          </w:p>
        </w:tc>
        <w:tc>
          <w:tcPr>
            <w:tcW w:w="1810" w:type="dxa"/>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6528" w:type="dxa"/>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1427" w:type="dxa"/>
          </w:tcPr>
          <w:p w14:paraId="6A2AE76D" w14:textId="4144DFE2" w:rsidR="00D8098C" w:rsidRPr="00766282" w:rsidRDefault="0076628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137" w:type="dxa"/>
          </w:tcPr>
          <w:p w14:paraId="7A54DE1B" w14:textId="286FC4ED" w:rsidR="00D8098C" w:rsidRDefault="007D0B9E" w:rsidP="00426603">
            <w:pPr>
              <w:spacing w:beforeLines="40" w:before="96" w:afterLines="40" w:after="96" w:line="24" w:lineRule="atLeast"/>
              <w:rPr>
                <w:rFonts w:eastAsia="Times New Roman"/>
                <w:sz w:val="18"/>
                <w:szCs w:val="18"/>
                <w:lang w:val="en-GB" w:eastAsia="en-GB"/>
              </w:rPr>
            </w:pPr>
            <w:r>
              <w:rPr>
                <w:rFonts w:asciiTheme="minorEastAsia" w:eastAsiaTheme="minorEastAsia" w:hAnsiTheme="minorEastAsia" w:hint="eastAsia"/>
                <w:sz w:val="18"/>
                <w:szCs w:val="18"/>
                <w:lang w:val="en-GB" w:eastAsia="zh-CN"/>
              </w:rPr>
              <w:t>“</w:t>
            </w:r>
            <w:r w:rsidRPr="00371607">
              <w:rPr>
                <w:rFonts w:eastAsiaTheme="minorEastAsia"/>
                <w:sz w:val="18"/>
                <w:szCs w:val="18"/>
                <w:lang w:val="en-GB" w:eastAsia="zh-CN"/>
              </w:rPr>
              <w:t>MR analyses were based on the three core instrumental variable assumptions: (i) the genetic instruments are strongly associated with the exposure (relevance), (ii) the instruments are independent of confounders (independence), and (iii) the instruments affect the outcome only through the exposure (exclusion restriction).</w:t>
            </w:r>
            <w:r>
              <w:rPr>
                <w:rFonts w:asciiTheme="minorEastAsia" w:eastAsiaTheme="minorEastAsia" w:hAnsiTheme="minorEastAsia" w:hint="eastAsia"/>
                <w:sz w:val="18"/>
                <w:szCs w:val="18"/>
                <w:lang w:val="en-GB" w:eastAsia="zh-CN"/>
              </w:rPr>
              <w:t>”</w:t>
            </w:r>
          </w:p>
        </w:tc>
      </w:tr>
      <w:tr w:rsidR="00D8098C" w:rsidRPr="00B853C6" w14:paraId="6209F8C8" w14:textId="78A53B40" w:rsidTr="00A3631D">
        <w:tc>
          <w:tcPr>
            <w:tcW w:w="588"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10"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6528"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1427" w:type="dxa"/>
            <w:shd w:val="clear" w:color="auto" w:fill="EEEEEE"/>
          </w:tcPr>
          <w:p w14:paraId="0D1191B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37" w:type="dxa"/>
            <w:shd w:val="clear" w:color="auto" w:fill="EEEEEE"/>
          </w:tcPr>
          <w:p w14:paraId="75DF0C4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346E621" w14:textId="11B8B572" w:rsidTr="00A3631D">
        <w:tc>
          <w:tcPr>
            <w:tcW w:w="588" w:type="dxa"/>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528" w:type="dxa"/>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1427" w:type="dxa"/>
          </w:tcPr>
          <w:p w14:paraId="22720A53" w14:textId="3B0B87B3" w:rsidR="00D8098C" w:rsidRPr="00766282" w:rsidRDefault="0076628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137" w:type="dxa"/>
          </w:tcPr>
          <w:p w14:paraId="76159846" w14:textId="6766A358" w:rsidR="00D8098C" w:rsidRDefault="007D0B9E" w:rsidP="00426603">
            <w:pPr>
              <w:spacing w:beforeLines="40" w:before="96" w:afterLines="40" w:after="96" w:line="24" w:lineRule="atLeast"/>
              <w:rPr>
                <w:rFonts w:eastAsia="Times New Roman"/>
                <w:sz w:val="18"/>
                <w:szCs w:val="18"/>
                <w:lang w:val="en-GB" w:eastAsia="en-GB"/>
              </w:rPr>
            </w:pPr>
            <w:r>
              <w:rPr>
                <w:rFonts w:asciiTheme="minorEastAsia" w:eastAsiaTheme="minorEastAsia" w:hAnsiTheme="minorEastAsia" w:hint="eastAsia"/>
                <w:sz w:val="18"/>
                <w:szCs w:val="18"/>
                <w:lang w:val="en-GB" w:eastAsia="zh-CN"/>
              </w:rPr>
              <w:t>“</w:t>
            </w:r>
            <w:r w:rsidRPr="00571976">
              <w:rPr>
                <w:rFonts w:eastAsiaTheme="minorEastAsia"/>
                <w:sz w:val="18"/>
                <w:szCs w:val="18"/>
                <w:lang w:val="en-GB" w:eastAsia="zh-CN"/>
              </w:rPr>
              <w:t>Effect sizes were expressed as odds ratios (OR) with 95% confidence intervals (CI).</w:t>
            </w:r>
            <w:r>
              <w:rPr>
                <w:rFonts w:asciiTheme="minorEastAsia" w:eastAsiaTheme="minorEastAsia" w:hAnsiTheme="minorEastAsia" w:hint="eastAsia"/>
                <w:sz w:val="18"/>
                <w:szCs w:val="18"/>
                <w:lang w:val="en-GB" w:eastAsia="zh-CN"/>
              </w:rPr>
              <w:t>”</w:t>
            </w:r>
          </w:p>
        </w:tc>
      </w:tr>
      <w:tr w:rsidR="00D8098C" w:rsidRPr="00B853C6" w14:paraId="642A4D4B" w14:textId="4880F3BA" w:rsidTr="00A3631D">
        <w:tc>
          <w:tcPr>
            <w:tcW w:w="588"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528"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1427" w:type="dxa"/>
            <w:shd w:val="clear" w:color="auto" w:fill="EEEEEE"/>
          </w:tcPr>
          <w:p w14:paraId="0DAE64B0" w14:textId="27004A84" w:rsidR="00D8098C" w:rsidRPr="00766282" w:rsidRDefault="0076628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6-7</w:t>
            </w:r>
          </w:p>
        </w:tc>
        <w:tc>
          <w:tcPr>
            <w:tcW w:w="4137" w:type="dxa"/>
            <w:shd w:val="clear" w:color="auto" w:fill="EEEEEE"/>
          </w:tcPr>
          <w:p w14:paraId="1612F89F" w14:textId="16C1AAA4" w:rsidR="00D8098C" w:rsidRDefault="00766282" w:rsidP="00426603">
            <w:pPr>
              <w:spacing w:beforeLines="40" w:before="96" w:afterLines="40" w:after="96" w:line="24" w:lineRule="atLeast"/>
              <w:rPr>
                <w:rFonts w:eastAsia="Times New Roman"/>
                <w:sz w:val="18"/>
                <w:szCs w:val="18"/>
                <w:lang w:val="en-GB" w:eastAsia="en-GB"/>
              </w:rPr>
            </w:pPr>
            <w:r w:rsidRPr="00371607">
              <w:rPr>
                <w:rFonts w:eastAsiaTheme="minorEastAsia"/>
                <w:sz w:val="18"/>
                <w:szCs w:val="18"/>
                <w:lang w:val="en-GB" w:eastAsia="zh-CN"/>
              </w:rPr>
              <w:t>“SNPs associated with T2D were selected at the genome-wide significance threshold (P &lt; 5 × 10–8)…”</w:t>
            </w:r>
            <w:r w:rsidRPr="00371607">
              <w:rPr>
                <w:rFonts w:eastAsiaTheme="minorEastAsia"/>
                <w:sz w:val="18"/>
                <w:szCs w:val="18"/>
                <w:lang w:val="en-GB" w:eastAsia="zh-CN"/>
              </w:rPr>
              <w:br/>
              <w:t>“…LD clumping (window = 10,000 kb; r² &lt; 0.001)…”</w:t>
            </w:r>
            <w:r w:rsidRPr="00371607">
              <w:rPr>
                <w:rFonts w:eastAsiaTheme="minorEastAsia"/>
                <w:sz w:val="18"/>
                <w:szCs w:val="18"/>
                <w:lang w:val="en-GB" w:eastAsia="zh-CN"/>
              </w:rPr>
              <w:br/>
              <w:t>“cis-pQTL variants were selected as instrumental variables…”</w:t>
            </w:r>
            <w:r w:rsidRPr="00371607">
              <w:rPr>
                <w:rFonts w:eastAsiaTheme="minorEastAsia"/>
                <w:sz w:val="18"/>
                <w:szCs w:val="18"/>
                <w:lang w:val="en-GB" w:eastAsia="zh-CN"/>
              </w:rPr>
              <w:br/>
              <w:t>“SNPs with strong colocalization evidence (PPH4 &gt; 0.8) were preferentially included as candidate IVs…”</w:t>
            </w:r>
          </w:p>
        </w:tc>
      </w:tr>
      <w:tr w:rsidR="00D8098C" w:rsidRPr="00B853C6" w14:paraId="70378831" w14:textId="0868B0A4" w:rsidTr="00A3631D">
        <w:tc>
          <w:tcPr>
            <w:tcW w:w="588" w:type="dxa"/>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528" w:type="dxa"/>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1427" w:type="dxa"/>
          </w:tcPr>
          <w:p w14:paraId="7B7E7C35" w14:textId="3C94D855" w:rsidR="00D8098C" w:rsidRPr="00766282" w:rsidRDefault="0076628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137" w:type="dxa"/>
          </w:tcPr>
          <w:p w14:paraId="334D44EB" w14:textId="37E34762" w:rsidR="00D8098C" w:rsidRDefault="00766282" w:rsidP="00426603">
            <w:pPr>
              <w:spacing w:beforeLines="40" w:before="96" w:afterLines="40" w:after="96" w:line="24" w:lineRule="atLeast"/>
              <w:rPr>
                <w:rFonts w:eastAsia="Times New Roman"/>
                <w:sz w:val="18"/>
                <w:szCs w:val="18"/>
                <w:lang w:val="en-GB" w:eastAsia="en-GB"/>
              </w:rPr>
            </w:pPr>
            <w:r w:rsidRPr="00766282">
              <w:rPr>
                <w:rFonts w:eastAsia="Times New Roman"/>
                <w:sz w:val="18"/>
                <w:szCs w:val="18"/>
                <w:lang w:eastAsia="en-GB"/>
              </w:rPr>
              <w:t>“MR analysis was conducted using five complementary methods: inverse-variance weighted (IVW) analysis was used as the primary approach, whereas MR-Egger, weighted median, weighted mode, and simple mode were used as sensitivity analyses…”</w:t>
            </w:r>
            <w:r w:rsidRPr="00766282">
              <w:rPr>
                <w:rFonts w:eastAsia="Times New Roman"/>
                <w:sz w:val="18"/>
                <w:szCs w:val="18"/>
                <w:lang w:eastAsia="en-GB"/>
              </w:rPr>
              <w:br/>
              <w:t>“Causal effects were estimated using the IVW or Wald ratio method.”</w:t>
            </w:r>
          </w:p>
        </w:tc>
      </w:tr>
      <w:tr w:rsidR="00D8098C" w:rsidRPr="00B853C6" w14:paraId="0D8F3A7E" w14:textId="14623463" w:rsidTr="00A3631D">
        <w:tc>
          <w:tcPr>
            <w:tcW w:w="588"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528"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1427" w:type="dxa"/>
            <w:shd w:val="clear" w:color="auto" w:fill="EEEEEE"/>
          </w:tcPr>
          <w:p w14:paraId="297C3632" w14:textId="71D49EB2" w:rsidR="00D8098C" w:rsidRPr="003A6B80" w:rsidRDefault="003A6B8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137" w:type="dxa"/>
            <w:shd w:val="clear" w:color="auto" w:fill="EEEEEE"/>
          </w:tcPr>
          <w:p w14:paraId="16808665" w14:textId="284C2042" w:rsidR="00D8098C" w:rsidRPr="00371607" w:rsidRDefault="007D0B9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w:t>
            </w:r>
            <w:r w:rsidRPr="00371607">
              <w:rPr>
                <w:rFonts w:eastAsiaTheme="minorEastAsia"/>
                <w:sz w:val="18"/>
                <w:szCs w:val="18"/>
                <w:lang w:val="en-GB" w:eastAsia="zh-CN"/>
              </w:rPr>
              <w:t xml:space="preserve">No individual-level missing data imputation was required because all analyses were based on publicly available summary statistics; variants unavailable in the corresponding outcome </w:t>
            </w:r>
            <w:r w:rsidRPr="00371607">
              <w:rPr>
                <w:rFonts w:eastAsiaTheme="minorEastAsia"/>
                <w:sz w:val="18"/>
                <w:szCs w:val="18"/>
                <w:lang w:val="en-GB" w:eastAsia="zh-CN"/>
              </w:rPr>
              <w:lastRenderedPageBreak/>
              <w:t>datasets or failing harmonization/quality control were excluded from the relevant analyses.</w:t>
            </w:r>
            <w:r>
              <w:rPr>
                <w:rFonts w:eastAsiaTheme="minorEastAsia" w:hint="eastAsia"/>
                <w:sz w:val="18"/>
                <w:szCs w:val="18"/>
                <w:lang w:val="en-GB" w:eastAsia="zh-CN"/>
              </w:rPr>
              <w:t>”</w:t>
            </w:r>
          </w:p>
        </w:tc>
      </w:tr>
      <w:tr w:rsidR="00D8098C" w:rsidRPr="00B853C6" w14:paraId="77F037B8" w14:textId="6696FA54" w:rsidTr="00A3631D">
        <w:tc>
          <w:tcPr>
            <w:tcW w:w="588" w:type="dxa"/>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528" w:type="dxa"/>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1427" w:type="dxa"/>
          </w:tcPr>
          <w:p w14:paraId="6B5C4982" w14:textId="2CBF9F47" w:rsidR="00D8098C" w:rsidRPr="003A6B80" w:rsidRDefault="003A6B8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4-7</w:t>
            </w:r>
          </w:p>
        </w:tc>
        <w:tc>
          <w:tcPr>
            <w:tcW w:w="4137" w:type="dxa"/>
          </w:tcPr>
          <w:p w14:paraId="490E44D4" w14:textId="35908CBC" w:rsidR="00D8098C" w:rsidRDefault="003A6B80" w:rsidP="00426603">
            <w:pPr>
              <w:spacing w:beforeLines="40" w:before="96" w:afterLines="40" w:after="96" w:line="24" w:lineRule="atLeast"/>
              <w:rPr>
                <w:rFonts w:eastAsia="Times New Roman"/>
                <w:sz w:val="18"/>
                <w:szCs w:val="18"/>
                <w:lang w:val="en-GB" w:eastAsia="en-GB"/>
              </w:rPr>
            </w:pPr>
            <w:r w:rsidRPr="003A6B80">
              <w:rPr>
                <w:rFonts w:eastAsia="Times New Roman"/>
                <w:sz w:val="18"/>
                <w:szCs w:val="18"/>
                <w:lang w:eastAsia="en-GB"/>
              </w:rPr>
              <w:t>“Enrichment significance was assessed with multiple-testing correction using the false discovery rate (FDR).”</w:t>
            </w:r>
            <w:r w:rsidRPr="003A6B80">
              <w:rPr>
                <w:rFonts w:eastAsia="Times New Roman"/>
                <w:sz w:val="18"/>
                <w:szCs w:val="18"/>
                <w:lang w:eastAsia="en-GB"/>
              </w:rPr>
              <w:br/>
              <w:t>“Significantly associated genes were identified using FDR correction.”</w:t>
            </w:r>
            <w:r w:rsidRPr="003A6B80">
              <w:rPr>
                <w:rFonts w:eastAsia="Times New Roman"/>
                <w:sz w:val="18"/>
                <w:szCs w:val="18"/>
                <w:lang w:eastAsia="en-GB"/>
              </w:rPr>
              <w:br/>
              <w:t>“After FDR correction…”</w:t>
            </w:r>
            <w:r w:rsidRPr="003A6B80">
              <w:rPr>
                <w:rFonts w:eastAsia="Times New Roman"/>
                <w:sz w:val="18"/>
                <w:szCs w:val="18"/>
                <w:lang w:eastAsia="en-GB"/>
              </w:rPr>
              <w:br/>
              <w:t>“Statistical significance was determined using FDR correction.”</w:t>
            </w:r>
          </w:p>
        </w:tc>
      </w:tr>
      <w:tr w:rsidR="00D8098C" w:rsidRPr="00B853C6" w14:paraId="585043CE" w14:textId="4922F612" w:rsidTr="00A3631D">
        <w:tc>
          <w:tcPr>
            <w:tcW w:w="588"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10"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528"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1427" w:type="dxa"/>
            <w:shd w:val="clear" w:color="auto" w:fill="EEEEEE"/>
          </w:tcPr>
          <w:p w14:paraId="61C50F74" w14:textId="16C6586F" w:rsidR="00D8098C" w:rsidRPr="003A6B80" w:rsidRDefault="003A6B80" w:rsidP="00426603">
            <w:pPr>
              <w:tabs>
                <w:tab w:val="left" w:pos="162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6-7</w:t>
            </w:r>
          </w:p>
        </w:tc>
        <w:tc>
          <w:tcPr>
            <w:tcW w:w="4137" w:type="dxa"/>
            <w:shd w:val="clear" w:color="auto" w:fill="EEEEEE"/>
          </w:tcPr>
          <w:p w14:paraId="5D46DB2B" w14:textId="61F3BA33" w:rsidR="00D8098C" w:rsidRDefault="003A6B80" w:rsidP="00426603">
            <w:pPr>
              <w:tabs>
                <w:tab w:val="left" w:pos="1620"/>
              </w:tabs>
              <w:spacing w:beforeLines="40" w:before="96" w:afterLines="40" w:after="96" w:line="24" w:lineRule="atLeast"/>
              <w:rPr>
                <w:rFonts w:eastAsia="Times New Roman"/>
                <w:sz w:val="18"/>
                <w:szCs w:val="18"/>
                <w:lang w:val="en-GB" w:eastAsia="en-GB"/>
              </w:rPr>
            </w:pPr>
            <w:r w:rsidRPr="003A6B80">
              <w:rPr>
                <w:rFonts w:eastAsia="Times New Roman"/>
                <w:sz w:val="18"/>
                <w:szCs w:val="18"/>
                <w:lang w:eastAsia="en-GB"/>
              </w:rPr>
              <w:t>“</w:t>
            </w:r>
            <w:r w:rsidRPr="00371607">
              <w:rPr>
                <w:rFonts w:eastAsiaTheme="minorEastAsia"/>
                <w:sz w:val="18"/>
                <w:szCs w:val="18"/>
                <w:lang w:val="en-GB" w:eastAsia="zh-CN"/>
              </w:rPr>
              <w:t>MR-Egger, weighted median, weighted mode, and simple mode were used as sensitivity analyses to assess the robustness of the causal inference.”</w:t>
            </w:r>
            <w:r w:rsidRPr="00371607">
              <w:rPr>
                <w:rFonts w:eastAsiaTheme="minorEastAsia"/>
                <w:sz w:val="18"/>
                <w:szCs w:val="18"/>
                <w:lang w:val="en-GB" w:eastAsia="zh-CN"/>
              </w:rPr>
              <w:br/>
              <w:t>“In oligodendrocyte precursor cells … without evidence of heterogeneity (Cochran’s Q P = 0.807).”</w:t>
            </w:r>
          </w:p>
        </w:tc>
      </w:tr>
      <w:tr w:rsidR="00D8098C" w:rsidRPr="00B853C6" w14:paraId="383932D9" w14:textId="2C1AFE56" w:rsidTr="00A3631D">
        <w:tc>
          <w:tcPr>
            <w:tcW w:w="588" w:type="dxa"/>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10" w:type="dxa"/>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6528" w:type="dxa"/>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1427" w:type="dxa"/>
          </w:tcPr>
          <w:p w14:paraId="4B9B6FF5" w14:textId="523B4615" w:rsidR="00D8098C" w:rsidRPr="003A6B80" w:rsidRDefault="003A6B8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137" w:type="dxa"/>
          </w:tcPr>
          <w:p w14:paraId="229BFDFD" w14:textId="33D59671" w:rsidR="00D8098C" w:rsidRDefault="003A6B80" w:rsidP="00426603">
            <w:pPr>
              <w:spacing w:beforeLines="40" w:before="96" w:afterLines="40" w:after="96" w:line="24" w:lineRule="atLeast"/>
              <w:rPr>
                <w:rFonts w:eastAsia="Times New Roman"/>
                <w:sz w:val="18"/>
                <w:szCs w:val="18"/>
                <w:lang w:val="en-GB" w:eastAsia="en-GB"/>
              </w:rPr>
            </w:pPr>
            <w:r w:rsidRPr="00371607">
              <w:rPr>
                <w:rFonts w:eastAsiaTheme="minorEastAsia" w:hint="eastAsia"/>
                <w:sz w:val="18"/>
                <w:szCs w:val="18"/>
                <w:lang w:val="en-GB" w:eastAsia="zh-CN"/>
              </w:rPr>
              <w:t>“</w:t>
            </w:r>
            <w:r w:rsidRPr="00371607">
              <w:rPr>
                <w:rFonts w:eastAsiaTheme="minorEastAsia"/>
                <w:sz w:val="18"/>
                <w:szCs w:val="18"/>
                <w:lang w:val="en-GB" w:eastAsia="zh-CN"/>
              </w:rPr>
              <w:t>MR analysis was conducted using five complementary methods: inverse-variance weighted (IVW) analysis was used as the primary approach, whereas MR-Egger, weighted median, weighted mode, and simple mode were used as sensitivity analyses…”</w:t>
            </w:r>
          </w:p>
        </w:tc>
      </w:tr>
      <w:tr w:rsidR="00D8098C" w:rsidRPr="00B853C6" w14:paraId="55C7A410" w14:textId="0BAB653A" w:rsidTr="00A3631D">
        <w:tc>
          <w:tcPr>
            <w:tcW w:w="588"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10"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6528"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427"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37"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A3631D">
        <w:tc>
          <w:tcPr>
            <w:tcW w:w="588" w:type="dxa"/>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528" w:type="dxa"/>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1427" w:type="dxa"/>
          </w:tcPr>
          <w:p w14:paraId="305BB821" w14:textId="760B2BA1" w:rsidR="00D8098C" w:rsidRPr="003A6B80" w:rsidRDefault="00C83EC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137" w:type="dxa"/>
          </w:tcPr>
          <w:p w14:paraId="79626260" w14:textId="7E1E853A" w:rsidR="00D8098C" w:rsidRPr="007D0B9E" w:rsidRDefault="007D0B9E" w:rsidP="003A6B80">
            <w:pPr>
              <w:rPr>
                <w:rFonts w:eastAsiaTheme="minorEastAsia"/>
                <w:sz w:val="18"/>
                <w:szCs w:val="18"/>
                <w:lang w:val="en-GB" w:eastAsia="zh-CN"/>
              </w:rPr>
            </w:pPr>
            <w:r w:rsidRPr="007D0B9E">
              <w:rPr>
                <w:rFonts w:eastAsiaTheme="minorEastAsia" w:hint="eastAsia"/>
                <w:sz w:val="18"/>
                <w:szCs w:val="18"/>
                <w:lang w:val="en-GB" w:eastAsia="zh-CN"/>
              </w:rPr>
              <w:t>“</w:t>
            </w:r>
            <w:r w:rsidRPr="007D0B9E">
              <w:rPr>
                <w:rFonts w:eastAsiaTheme="minorEastAsia"/>
                <w:sz w:val="18"/>
                <w:szCs w:val="18"/>
                <w:lang w:val="en-GB" w:eastAsia="zh-CN"/>
              </w:rPr>
              <w:t>To investigate the potential causal relationship between T2D and CAD, we conducted Mendelian randomization (MR) analysis using the TwoSampleMR package in R.</w:t>
            </w:r>
            <w:r w:rsidRPr="007D0B9E">
              <w:rPr>
                <w:rFonts w:eastAsiaTheme="minorEastAsia" w:hint="eastAsia"/>
                <w:sz w:val="18"/>
                <w:szCs w:val="18"/>
                <w:lang w:val="en-GB" w:eastAsia="zh-CN"/>
              </w:rPr>
              <w:t>”</w:t>
            </w:r>
          </w:p>
        </w:tc>
      </w:tr>
      <w:tr w:rsidR="00D8098C" w:rsidRPr="00B853C6" w14:paraId="6A631D93" w14:textId="2BD5AA8E" w:rsidTr="00A3631D">
        <w:tc>
          <w:tcPr>
            <w:tcW w:w="588"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528"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1427" w:type="dxa"/>
            <w:tcBorders>
              <w:bottom w:val="single" w:sz="6" w:space="0" w:color="7F7F7F"/>
            </w:tcBorders>
            <w:shd w:val="clear" w:color="auto" w:fill="EEEEEE"/>
          </w:tcPr>
          <w:p w14:paraId="2325504F" w14:textId="364C467E" w:rsidR="00D8098C" w:rsidRPr="003A6B80" w:rsidRDefault="003A6B80"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p>
        </w:tc>
        <w:tc>
          <w:tcPr>
            <w:tcW w:w="4137" w:type="dxa"/>
            <w:tcBorders>
              <w:bottom w:val="single" w:sz="6" w:space="0" w:color="7F7F7F"/>
            </w:tcBorders>
            <w:shd w:val="clear" w:color="auto" w:fill="EEEEEE"/>
          </w:tcPr>
          <w:p w14:paraId="3EFCD231" w14:textId="07EB09A7" w:rsidR="00D8098C" w:rsidRDefault="003A6B80" w:rsidP="00426603">
            <w:pPr>
              <w:spacing w:beforeLines="40" w:before="96" w:afterLines="40" w:after="96" w:line="24" w:lineRule="atLeast"/>
              <w:rPr>
                <w:rFonts w:eastAsia="Times New Roman"/>
                <w:sz w:val="18"/>
                <w:szCs w:val="18"/>
                <w:lang w:val="en-GB" w:eastAsia="en-GB"/>
              </w:rPr>
            </w:pPr>
            <w:r w:rsidRPr="003A6B80">
              <w:rPr>
                <w:rFonts w:eastAsia="Times New Roman"/>
                <w:sz w:val="18"/>
                <w:szCs w:val="18"/>
                <w:lang w:eastAsia="en-GB"/>
              </w:rPr>
              <w:t>This study was not pre-registered.</w:t>
            </w:r>
          </w:p>
        </w:tc>
      </w:tr>
      <w:tr w:rsidR="00D8098C" w:rsidRPr="00B853C6" w14:paraId="040F15E5" w14:textId="3B11C618" w:rsidTr="00A3631D">
        <w:tc>
          <w:tcPr>
            <w:tcW w:w="588" w:type="dxa"/>
            <w:tcBorders>
              <w:top w:val="single" w:sz="6" w:space="0" w:color="7F7F7F"/>
            </w:tcBorders>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6528" w:type="dxa"/>
            <w:tcBorders>
              <w:top w:val="single" w:sz="6" w:space="0" w:color="7F7F7F"/>
            </w:tcBorders>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427"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37"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A3631D">
        <w:tc>
          <w:tcPr>
            <w:tcW w:w="588"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10"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6528"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427"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37"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A3631D">
        <w:tc>
          <w:tcPr>
            <w:tcW w:w="588" w:type="dxa"/>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528" w:type="dxa"/>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1427" w:type="dxa"/>
          </w:tcPr>
          <w:p w14:paraId="7AF8CC23" w14:textId="117AE086" w:rsidR="00D8098C" w:rsidRPr="009F5338" w:rsidRDefault="009F5338"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4</w:t>
            </w:r>
          </w:p>
        </w:tc>
        <w:tc>
          <w:tcPr>
            <w:tcW w:w="4137" w:type="dxa"/>
          </w:tcPr>
          <w:p w14:paraId="00D65497" w14:textId="2B766683" w:rsidR="00D8098C" w:rsidRDefault="009F5338" w:rsidP="00426603">
            <w:pPr>
              <w:spacing w:beforeLines="40" w:before="96" w:afterLines="40" w:after="96" w:line="24" w:lineRule="atLeast"/>
              <w:rPr>
                <w:rFonts w:eastAsia="Times New Roman"/>
                <w:sz w:val="18"/>
                <w:szCs w:val="18"/>
                <w:lang w:val="en-GB" w:eastAsia="en-GB"/>
              </w:rPr>
            </w:pPr>
            <w:r w:rsidRPr="009F5338">
              <w:rPr>
                <w:rFonts w:eastAsia="Times New Roman"/>
                <w:sz w:val="18"/>
                <w:szCs w:val="18"/>
                <w:lang w:eastAsia="en-GB"/>
              </w:rPr>
              <w:t>“The workflow of the study is shown in Figure 1.”</w:t>
            </w:r>
            <w:r w:rsidRPr="009F5338">
              <w:rPr>
                <w:rFonts w:eastAsia="Times New Roman"/>
                <w:sz w:val="18"/>
                <w:szCs w:val="18"/>
                <w:lang w:eastAsia="en-GB"/>
              </w:rPr>
              <w:br/>
              <w:t>“…1,165,690 participants, including 181,522 CAD cases…”</w:t>
            </w:r>
            <w:r w:rsidRPr="009F5338">
              <w:rPr>
                <w:rFonts w:eastAsia="Times New Roman"/>
                <w:sz w:val="18"/>
                <w:szCs w:val="18"/>
                <w:lang w:eastAsia="en-GB"/>
              </w:rPr>
              <w:br/>
              <w:t>“…460,679 individuals … including 55,418 T2D cases and 405,261 controls…”</w:t>
            </w:r>
          </w:p>
        </w:tc>
      </w:tr>
      <w:tr w:rsidR="00D8098C" w:rsidRPr="00B853C6" w14:paraId="0765C344" w14:textId="3B2EDCCF" w:rsidTr="00A3631D">
        <w:tc>
          <w:tcPr>
            <w:tcW w:w="588"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528"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1427" w:type="dxa"/>
            <w:shd w:val="clear" w:color="auto" w:fill="EEEEEE"/>
          </w:tcPr>
          <w:p w14:paraId="03BBA613" w14:textId="01353369" w:rsidR="00D8098C" w:rsidRPr="009F5338" w:rsidRDefault="009F5338"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7-14</w:t>
            </w:r>
          </w:p>
        </w:tc>
        <w:tc>
          <w:tcPr>
            <w:tcW w:w="4137" w:type="dxa"/>
            <w:shd w:val="clear" w:color="auto" w:fill="EEEEEE"/>
          </w:tcPr>
          <w:p w14:paraId="0FD9D468" w14:textId="7A458680" w:rsidR="00D8098C" w:rsidRDefault="009F5338" w:rsidP="00426603">
            <w:pPr>
              <w:spacing w:beforeLines="40" w:before="96" w:afterLines="40" w:after="96" w:line="24" w:lineRule="atLeast"/>
              <w:rPr>
                <w:rFonts w:eastAsia="Times New Roman"/>
                <w:sz w:val="18"/>
                <w:szCs w:val="18"/>
                <w:lang w:val="en-GB" w:eastAsia="en-GB"/>
              </w:rPr>
            </w:pPr>
            <w:r w:rsidRPr="00371607">
              <w:rPr>
                <w:rFonts w:eastAsiaTheme="minorEastAsia"/>
                <w:sz w:val="18"/>
                <w:szCs w:val="18"/>
                <w:lang w:val="en-GB" w:eastAsia="zh-CN"/>
              </w:rPr>
              <w:t>“The SNP heritability of T2D and CAD were 9.3% … and 3.2% … respectively.”</w:t>
            </w:r>
            <w:r w:rsidRPr="00371607">
              <w:rPr>
                <w:rFonts w:eastAsiaTheme="minorEastAsia"/>
                <w:sz w:val="18"/>
                <w:szCs w:val="18"/>
                <w:lang w:val="en-GB" w:eastAsia="zh-CN"/>
              </w:rPr>
              <w:br/>
              <w:t>“T2D and CAD showed a significant positive genome-wide genetic correlation (rg = 0.370, P &lt; 0.05).”</w:t>
            </w:r>
          </w:p>
        </w:tc>
      </w:tr>
      <w:tr w:rsidR="00D8098C" w:rsidRPr="00B853C6" w14:paraId="48F10342" w14:textId="398F2C24" w:rsidTr="00A3631D">
        <w:tc>
          <w:tcPr>
            <w:tcW w:w="588" w:type="dxa"/>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528" w:type="dxa"/>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1427" w:type="dxa"/>
          </w:tcPr>
          <w:p w14:paraId="10F6EF39"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37" w:type="dxa"/>
          </w:tcPr>
          <w:p w14:paraId="449D40FD" w14:textId="1078A7F5" w:rsidR="00D8098C" w:rsidRDefault="009F5338" w:rsidP="00426603">
            <w:pPr>
              <w:spacing w:beforeLines="40" w:before="96" w:afterLines="40" w:after="96" w:line="24" w:lineRule="atLeast"/>
              <w:rPr>
                <w:rFonts w:eastAsia="Times New Roman"/>
                <w:sz w:val="18"/>
                <w:szCs w:val="18"/>
                <w:lang w:val="en-GB" w:eastAsia="en-GB"/>
              </w:rPr>
            </w:pPr>
            <w:r w:rsidRPr="009F5338">
              <w:rPr>
                <w:rFonts w:eastAsia="Times New Roman"/>
                <w:sz w:val="18"/>
                <w:szCs w:val="18"/>
                <w:lang w:eastAsia="en-GB"/>
              </w:rPr>
              <w:t>Not reported / Not applicable based on the available summary statistics.”</w:t>
            </w:r>
          </w:p>
        </w:tc>
      </w:tr>
      <w:tr w:rsidR="00D8098C" w:rsidRPr="00B853C6" w14:paraId="51930A8C" w14:textId="221D5A9E" w:rsidTr="00A3631D">
        <w:tc>
          <w:tcPr>
            <w:tcW w:w="588"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528"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i.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1427" w:type="dxa"/>
            <w:shd w:val="clear" w:color="auto" w:fill="EEEEEE"/>
          </w:tcPr>
          <w:p w14:paraId="4948EE3D" w14:textId="031F361E" w:rsidR="00D8098C" w:rsidRPr="009F5338" w:rsidRDefault="009F5338"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6.10</w:t>
            </w:r>
          </w:p>
        </w:tc>
        <w:tc>
          <w:tcPr>
            <w:tcW w:w="4137" w:type="dxa"/>
            <w:shd w:val="clear" w:color="auto" w:fill="EEEEEE"/>
          </w:tcPr>
          <w:p w14:paraId="303A2B00" w14:textId="42905B05" w:rsidR="00D8098C" w:rsidRPr="009F5338" w:rsidRDefault="009F5338" w:rsidP="009F5338">
            <w:pPr>
              <w:pStyle w:val="a7"/>
              <w:numPr>
                <w:ilvl w:val="0"/>
                <w:numId w:val="1"/>
              </w:numPr>
              <w:spacing w:beforeLines="40" w:before="96" w:afterLines="40" w:after="96" w:line="24" w:lineRule="atLeast"/>
              <w:ind w:firstLineChars="0"/>
              <w:rPr>
                <w:rFonts w:eastAsiaTheme="minorEastAsia"/>
                <w:sz w:val="18"/>
                <w:szCs w:val="18"/>
                <w:lang w:eastAsia="zh-CN"/>
              </w:rPr>
            </w:pPr>
            <w:r w:rsidRPr="009F5338">
              <w:rPr>
                <w:rFonts w:eastAsia="Times New Roman"/>
                <w:sz w:val="18"/>
                <w:szCs w:val="18"/>
                <w:lang w:eastAsia="en-GB"/>
              </w:rPr>
              <w:t>“The GWAS summary statistics for CAD … participants were predominantly of European ancestry (&gt;95%).”</w:t>
            </w:r>
            <w:r w:rsidRPr="009F5338">
              <w:rPr>
                <w:rFonts w:eastAsia="Times New Roman"/>
                <w:sz w:val="18"/>
                <w:szCs w:val="18"/>
                <w:lang w:eastAsia="en-GB"/>
              </w:rPr>
              <w:br/>
              <w:t>“The GWAS summary statistics for T2D … comprised 460,679 individuals of Finnish ancestry…”</w:t>
            </w:r>
          </w:p>
          <w:p w14:paraId="5B2A1A71" w14:textId="12055909" w:rsidR="009F5338" w:rsidRPr="009F5338" w:rsidRDefault="009F5338" w:rsidP="009F5338">
            <w:pPr>
              <w:pStyle w:val="a7"/>
              <w:numPr>
                <w:ilvl w:val="0"/>
                <w:numId w:val="1"/>
              </w:numPr>
              <w:spacing w:beforeLines="40" w:before="96" w:afterLines="40" w:after="96" w:line="24" w:lineRule="atLeast"/>
              <w:ind w:firstLineChars="0"/>
              <w:rPr>
                <w:rFonts w:eastAsiaTheme="minorEastAsia"/>
                <w:sz w:val="18"/>
                <w:szCs w:val="18"/>
                <w:lang w:val="en-GB" w:eastAsia="zh-CN"/>
              </w:rPr>
            </w:pPr>
            <w:r w:rsidRPr="009F5338">
              <w:rPr>
                <w:rFonts w:eastAsiaTheme="minorEastAsia"/>
                <w:sz w:val="18"/>
                <w:szCs w:val="18"/>
                <w:lang w:eastAsia="zh-CN"/>
              </w:rPr>
              <w:t>“By accounting for trait correlation and potential sample overlap…”</w:t>
            </w:r>
          </w:p>
        </w:tc>
      </w:tr>
      <w:tr w:rsidR="00D8098C" w:rsidRPr="00B853C6" w14:paraId="52CFCA59" w14:textId="5AC9CE3E" w:rsidTr="00A3631D">
        <w:tc>
          <w:tcPr>
            <w:tcW w:w="588" w:type="dxa"/>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10" w:type="dxa"/>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6528" w:type="dxa"/>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427"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37"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A3631D">
        <w:tc>
          <w:tcPr>
            <w:tcW w:w="588"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528"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1427" w:type="dxa"/>
            <w:shd w:val="clear" w:color="auto" w:fill="EEEEEE"/>
          </w:tcPr>
          <w:p w14:paraId="7F1B8B69" w14:textId="3F318D2D" w:rsidR="00D8098C" w:rsidRPr="00A1236D" w:rsidRDefault="00981292" w:rsidP="00426603">
            <w:pPr>
              <w:spacing w:beforeLines="40" w:before="96" w:afterLines="40" w:after="96" w:line="24" w:lineRule="atLeast"/>
              <w:rPr>
                <w:rFonts w:eastAsia="Times New Roman"/>
                <w:sz w:val="18"/>
                <w:szCs w:val="18"/>
                <w:lang w:val="en-GB" w:eastAsia="en-GB"/>
              </w:rPr>
            </w:pPr>
            <w:r w:rsidRPr="00981292">
              <w:rPr>
                <w:rFonts w:eastAsia="Times New Roman"/>
                <w:sz w:val="18"/>
                <w:szCs w:val="18"/>
                <w:lang w:eastAsia="en-GB"/>
              </w:rPr>
              <w:t>Supplementary Tables</w:t>
            </w:r>
          </w:p>
        </w:tc>
        <w:tc>
          <w:tcPr>
            <w:tcW w:w="4137" w:type="dxa"/>
            <w:shd w:val="clear" w:color="auto" w:fill="EEEEEE"/>
          </w:tcPr>
          <w:p w14:paraId="7BCA1C07" w14:textId="3138DE94" w:rsidR="00D8098C" w:rsidRDefault="009F5338" w:rsidP="00426603">
            <w:pPr>
              <w:spacing w:beforeLines="40" w:before="96" w:afterLines="40" w:after="96" w:line="24" w:lineRule="atLeast"/>
              <w:rPr>
                <w:rFonts w:eastAsia="Times New Roman"/>
                <w:sz w:val="18"/>
                <w:szCs w:val="18"/>
                <w:lang w:val="en-GB" w:eastAsia="en-GB"/>
              </w:rPr>
            </w:pPr>
            <w:r w:rsidRPr="009F5338">
              <w:rPr>
                <w:rFonts w:eastAsia="Times New Roman"/>
                <w:sz w:val="18"/>
                <w:szCs w:val="18"/>
                <w:lang w:eastAsia="en-GB"/>
              </w:rPr>
              <w:t>“SNPs associated with T2D were selected…”</w:t>
            </w:r>
            <w:r w:rsidRPr="009F5338">
              <w:rPr>
                <w:rFonts w:eastAsia="Times New Roman"/>
                <w:sz w:val="18"/>
                <w:szCs w:val="18"/>
                <w:lang w:eastAsia="en-GB"/>
              </w:rPr>
              <w:br/>
              <w:t>“For each protein, cis-pQTL variants were selected as instrumental variables…”</w:t>
            </w:r>
          </w:p>
        </w:tc>
      </w:tr>
      <w:tr w:rsidR="00D8098C" w:rsidRPr="00B853C6" w14:paraId="2FAEFE68" w14:textId="09D82DE1" w:rsidTr="00A3631D">
        <w:tc>
          <w:tcPr>
            <w:tcW w:w="588" w:type="dxa"/>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528" w:type="dxa"/>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1427" w:type="dxa"/>
          </w:tcPr>
          <w:p w14:paraId="1E1B567F" w14:textId="7FE7AB77" w:rsidR="00D8098C" w:rsidRPr="004715C2" w:rsidRDefault="004715C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137" w:type="dxa"/>
          </w:tcPr>
          <w:p w14:paraId="4564CEDB" w14:textId="748EBA29" w:rsidR="00D8098C" w:rsidRDefault="009F5338" w:rsidP="009F5338">
            <w:pPr>
              <w:spacing w:beforeLines="40" w:before="96" w:afterLines="40" w:after="96" w:line="24" w:lineRule="atLeast"/>
              <w:rPr>
                <w:rFonts w:eastAsia="Times New Roman"/>
                <w:sz w:val="18"/>
                <w:szCs w:val="18"/>
                <w:lang w:val="en-GB" w:eastAsia="en-GB"/>
              </w:rPr>
            </w:pPr>
            <w:r w:rsidRPr="009F5338">
              <w:rPr>
                <w:rFonts w:eastAsia="Times New Roman"/>
                <w:sz w:val="18"/>
                <w:szCs w:val="18"/>
                <w:lang w:eastAsia="en-GB"/>
              </w:rPr>
              <w:t>“Two-sample MR showed a significant positive association between T2D and CAD (OR = 1.14, 95% CI 1.10–1.18).”</w:t>
            </w:r>
            <w:r w:rsidRPr="009F5338">
              <w:rPr>
                <w:rFonts w:eastAsia="Times New Roman"/>
                <w:sz w:val="18"/>
                <w:szCs w:val="18"/>
                <w:lang w:eastAsia="en-GB"/>
              </w:rPr>
              <w:br/>
              <w:t>“In oligodendrocyte precursor cells, T2D was associated with a significant positive causal effect on CAD (OR = 1.18, 95% CI 1.04–1.33, P = 0.0093).”</w:t>
            </w:r>
          </w:p>
        </w:tc>
      </w:tr>
      <w:tr w:rsidR="00D8098C" w:rsidRPr="00B853C6" w14:paraId="1FAC379E" w14:textId="0C198578" w:rsidTr="00A3631D">
        <w:tc>
          <w:tcPr>
            <w:tcW w:w="588"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528"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1427" w:type="dxa"/>
            <w:shd w:val="clear" w:color="auto" w:fill="EEEEEE"/>
          </w:tcPr>
          <w:p w14:paraId="326BA5CA" w14:textId="4C9300A9" w:rsidR="00D8098C" w:rsidRPr="00A1236D" w:rsidRDefault="004715C2" w:rsidP="00426603">
            <w:pPr>
              <w:spacing w:beforeLines="40" w:before="96" w:afterLines="40" w:after="96" w:line="24" w:lineRule="atLeast"/>
              <w:rPr>
                <w:rFonts w:eastAsia="Times New Roman"/>
                <w:sz w:val="18"/>
                <w:szCs w:val="18"/>
                <w:lang w:val="en-GB" w:eastAsia="en-GB"/>
              </w:rPr>
            </w:pPr>
            <w:r w:rsidRPr="009F5338">
              <w:rPr>
                <w:rFonts w:eastAsia="Times New Roman"/>
                <w:sz w:val="18"/>
                <w:szCs w:val="18"/>
                <w:lang w:eastAsia="en-GB"/>
              </w:rPr>
              <w:t>Not applicable.</w:t>
            </w:r>
          </w:p>
        </w:tc>
        <w:tc>
          <w:tcPr>
            <w:tcW w:w="4137" w:type="dxa"/>
            <w:shd w:val="clear" w:color="auto" w:fill="EEEEEE"/>
          </w:tcPr>
          <w:p w14:paraId="4A2216FF" w14:textId="74762AF7" w:rsidR="00D8098C" w:rsidRDefault="009F5338" w:rsidP="00426603">
            <w:pPr>
              <w:spacing w:beforeLines="40" w:before="96" w:afterLines="40" w:after="96" w:line="24" w:lineRule="atLeast"/>
              <w:rPr>
                <w:rFonts w:eastAsia="Times New Roman"/>
                <w:sz w:val="18"/>
                <w:szCs w:val="18"/>
                <w:lang w:val="en-GB" w:eastAsia="en-GB"/>
              </w:rPr>
            </w:pPr>
            <w:r w:rsidRPr="009F5338">
              <w:rPr>
                <w:rFonts w:eastAsia="Times New Roman"/>
                <w:sz w:val="18"/>
                <w:szCs w:val="18"/>
                <w:lang w:eastAsia="en-GB"/>
              </w:rPr>
              <w:t>Not applicable.</w:t>
            </w:r>
          </w:p>
        </w:tc>
      </w:tr>
      <w:tr w:rsidR="00D8098C" w:rsidRPr="00B853C6" w14:paraId="00F87C74" w14:textId="30F32A00" w:rsidTr="00A3631D">
        <w:tc>
          <w:tcPr>
            <w:tcW w:w="588" w:type="dxa"/>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528" w:type="dxa"/>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1427" w:type="dxa"/>
          </w:tcPr>
          <w:p w14:paraId="777DAC23" w14:textId="1FD3EC3F" w:rsidR="00D8098C" w:rsidRPr="009F5338" w:rsidRDefault="004715C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r w:rsidR="009F5338">
              <w:rPr>
                <w:rFonts w:eastAsiaTheme="minorEastAsia" w:hint="eastAsia"/>
                <w:sz w:val="18"/>
                <w:szCs w:val="18"/>
                <w:lang w:val="en-GB" w:eastAsia="zh-CN"/>
              </w:rPr>
              <w:t>11</w:t>
            </w:r>
            <w:r>
              <w:rPr>
                <w:rFonts w:eastAsiaTheme="minorEastAsia" w:hint="eastAsia"/>
                <w:sz w:val="18"/>
                <w:szCs w:val="18"/>
                <w:lang w:val="en-GB" w:eastAsia="zh-CN"/>
              </w:rPr>
              <w:t>-12</w:t>
            </w:r>
          </w:p>
        </w:tc>
        <w:tc>
          <w:tcPr>
            <w:tcW w:w="4137" w:type="dxa"/>
          </w:tcPr>
          <w:p w14:paraId="7B9F0A4D" w14:textId="46522A2B" w:rsidR="00D8098C" w:rsidRDefault="009F5338" w:rsidP="00426603">
            <w:pPr>
              <w:spacing w:beforeLines="40" w:before="96" w:afterLines="40" w:after="96" w:line="24" w:lineRule="atLeast"/>
              <w:rPr>
                <w:rFonts w:eastAsia="Times New Roman"/>
                <w:sz w:val="18"/>
                <w:szCs w:val="18"/>
                <w:lang w:val="en-GB" w:eastAsia="en-GB"/>
              </w:rPr>
            </w:pPr>
            <w:r w:rsidRPr="009F5338">
              <w:rPr>
                <w:rFonts w:eastAsia="Times New Roman"/>
                <w:sz w:val="18"/>
                <w:szCs w:val="18"/>
                <w:lang w:eastAsia="en-GB"/>
              </w:rPr>
              <w:t>Supplementary Figure</w:t>
            </w:r>
          </w:p>
        </w:tc>
      </w:tr>
      <w:tr w:rsidR="00D8098C" w:rsidRPr="00B853C6" w14:paraId="62E6DFEA" w14:textId="107C6F5B" w:rsidTr="00A3631D">
        <w:tc>
          <w:tcPr>
            <w:tcW w:w="588"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10"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528"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427"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37"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A3631D">
        <w:tc>
          <w:tcPr>
            <w:tcW w:w="588" w:type="dxa"/>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528" w:type="dxa"/>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1427" w:type="dxa"/>
          </w:tcPr>
          <w:p w14:paraId="6E2D56F0" w14:textId="12D96BDC" w:rsidR="00D8098C" w:rsidRPr="004715C2" w:rsidRDefault="004715C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137" w:type="dxa"/>
          </w:tcPr>
          <w:p w14:paraId="5E7081D1" w14:textId="258C26CB" w:rsidR="00D8098C" w:rsidRDefault="004715C2" w:rsidP="00426603">
            <w:pPr>
              <w:spacing w:beforeLines="40" w:before="96" w:afterLines="40" w:after="96" w:line="24" w:lineRule="atLeast"/>
              <w:rPr>
                <w:rFonts w:eastAsia="Times New Roman"/>
                <w:sz w:val="18"/>
                <w:szCs w:val="18"/>
                <w:lang w:val="en-GB" w:eastAsia="en-GB"/>
              </w:rPr>
            </w:pPr>
            <w:r w:rsidRPr="004715C2">
              <w:rPr>
                <w:rFonts w:eastAsia="Times New Roman"/>
                <w:sz w:val="18"/>
                <w:szCs w:val="18"/>
                <w:lang w:eastAsia="en-GB"/>
              </w:rPr>
              <w:t>“MR-Egger, weighted median, weighted mode, and simple mode were used as sensitivity analyses…”</w:t>
            </w:r>
          </w:p>
        </w:tc>
      </w:tr>
      <w:tr w:rsidR="00D8098C" w:rsidRPr="00B853C6" w14:paraId="7BDA55CD" w14:textId="6465618D" w:rsidTr="00A3631D">
        <w:tc>
          <w:tcPr>
            <w:tcW w:w="588"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528"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1427" w:type="dxa"/>
            <w:shd w:val="clear" w:color="auto" w:fill="EEEEEE"/>
          </w:tcPr>
          <w:p w14:paraId="2D6E39C6" w14:textId="5BEA487F" w:rsidR="00D8098C" w:rsidRPr="004715C2" w:rsidRDefault="004715C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14</w:t>
            </w:r>
          </w:p>
        </w:tc>
        <w:tc>
          <w:tcPr>
            <w:tcW w:w="4137" w:type="dxa"/>
            <w:shd w:val="clear" w:color="auto" w:fill="EEEEEE"/>
          </w:tcPr>
          <w:p w14:paraId="205C4ED8" w14:textId="23CA54E1" w:rsidR="00D8098C" w:rsidRDefault="004715C2" w:rsidP="00426603">
            <w:pPr>
              <w:spacing w:beforeLines="40" w:before="96" w:afterLines="40" w:after="96" w:line="24" w:lineRule="atLeast"/>
              <w:rPr>
                <w:rFonts w:eastAsia="Times New Roman"/>
                <w:sz w:val="18"/>
                <w:szCs w:val="18"/>
                <w:lang w:val="en-GB" w:eastAsia="en-GB"/>
              </w:rPr>
            </w:pPr>
            <w:r w:rsidRPr="004715C2">
              <w:rPr>
                <w:rFonts w:eastAsia="Times New Roman"/>
                <w:sz w:val="18"/>
                <w:szCs w:val="18"/>
                <w:lang w:eastAsia="en-GB"/>
              </w:rPr>
              <w:t>“…without evidence of heterogeneity (Cochran’s Q P = 0.807).”</w:t>
            </w:r>
            <w:r w:rsidRPr="004715C2">
              <w:rPr>
                <w:rFonts w:eastAsia="Times New Roman"/>
                <w:sz w:val="18"/>
                <w:szCs w:val="18"/>
                <w:lang w:eastAsia="en-GB"/>
              </w:rPr>
              <w:br/>
              <w:t>“…Cochran’s Q P = 0.368.”</w:t>
            </w:r>
          </w:p>
        </w:tc>
      </w:tr>
      <w:tr w:rsidR="00D8098C" w:rsidRPr="00B853C6" w14:paraId="23F1C43D" w14:textId="6396118D" w:rsidTr="00A3631D">
        <w:tc>
          <w:tcPr>
            <w:tcW w:w="588" w:type="dxa"/>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10" w:type="dxa"/>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6528" w:type="dxa"/>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427"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37"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A3631D">
        <w:tc>
          <w:tcPr>
            <w:tcW w:w="588"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528"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1427" w:type="dxa"/>
            <w:shd w:val="clear" w:color="auto" w:fill="EEEEEE"/>
          </w:tcPr>
          <w:p w14:paraId="39DB2F0E" w14:textId="0811BB2C" w:rsidR="00D8098C" w:rsidRPr="004715C2" w:rsidRDefault="004715C2"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137" w:type="dxa"/>
            <w:shd w:val="clear" w:color="auto" w:fill="EEEEEE"/>
          </w:tcPr>
          <w:p w14:paraId="73386906" w14:textId="49E47891" w:rsidR="00D8098C" w:rsidRDefault="004715C2" w:rsidP="00426603">
            <w:pPr>
              <w:spacing w:beforeLines="40" w:before="96" w:afterLines="40" w:after="96" w:line="24" w:lineRule="atLeast"/>
              <w:rPr>
                <w:rFonts w:eastAsia="Times New Roman"/>
                <w:sz w:val="18"/>
                <w:szCs w:val="18"/>
                <w:lang w:val="en-GB" w:eastAsia="en-GB"/>
              </w:rPr>
            </w:pPr>
            <w:r w:rsidRPr="004715C2">
              <w:rPr>
                <w:rFonts w:eastAsia="Times New Roman"/>
                <w:sz w:val="18"/>
                <w:szCs w:val="18"/>
                <w:lang w:eastAsia="en-GB"/>
              </w:rPr>
              <w:t>“…MR-Egger, weighted median, weighted mode, and simple mode were used as sensitivity analyses…”</w:t>
            </w:r>
          </w:p>
        </w:tc>
      </w:tr>
      <w:tr w:rsidR="00D8098C" w:rsidRPr="00B853C6" w14:paraId="3696A9F1" w14:textId="63B96DDA" w:rsidTr="00A3631D">
        <w:tc>
          <w:tcPr>
            <w:tcW w:w="588" w:type="dxa"/>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528" w:type="dxa"/>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1427" w:type="dxa"/>
          </w:tcPr>
          <w:p w14:paraId="447F5BF5" w14:textId="21344FD2" w:rsidR="00D8098C" w:rsidRPr="00A3631D" w:rsidRDefault="00A3631D"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7-14</w:t>
            </w:r>
          </w:p>
        </w:tc>
        <w:tc>
          <w:tcPr>
            <w:tcW w:w="4137" w:type="dxa"/>
          </w:tcPr>
          <w:p w14:paraId="5BB83735" w14:textId="11D4B9A7" w:rsidR="00D8098C" w:rsidRDefault="00A3631D" w:rsidP="00A3631D">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“As a supplementary analysis, we further performed MTWAS…”</w:t>
            </w:r>
            <w:r w:rsidRPr="00A3631D">
              <w:rPr>
                <w:rFonts w:eastAsia="Times New Roman"/>
                <w:sz w:val="18"/>
                <w:szCs w:val="18"/>
                <w:lang w:eastAsia="en-GB"/>
              </w:rPr>
              <w:br/>
              <w:t>“To further investigate their roles … we performed mediation analysis…”</w:t>
            </w:r>
            <w:r w:rsidRPr="00A3631D">
              <w:rPr>
                <w:rFonts w:eastAsia="Times New Roman"/>
                <w:sz w:val="18"/>
                <w:szCs w:val="18"/>
                <w:lang w:eastAsia="en-GB"/>
              </w:rPr>
              <w:br/>
              <w:t>“PheWAS analysis revealed no apparent off-target associations…”</w:t>
            </w:r>
          </w:p>
        </w:tc>
      </w:tr>
      <w:tr w:rsidR="00D8098C" w:rsidRPr="00B853C6" w14:paraId="1650BAB8" w14:textId="79D11DE7" w:rsidTr="00A3631D">
        <w:tc>
          <w:tcPr>
            <w:tcW w:w="588"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6EAD995A" w14:textId="77777777" w:rsidR="00D8098C" w:rsidRPr="00F5127A" w:rsidRDefault="00D8098C" w:rsidP="00426603">
            <w:pPr>
              <w:spacing w:beforeLines="40" w:before="96" w:afterLines="40" w:after="96" w:line="24" w:lineRule="atLeast"/>
              <w:jc w:val="right"/>
              <w:rPr>
                <w:rFonts w:eastAsia="Cambria"/>
                <w:color w:val="000000" w:themeColor="text1"/>
                <w:sz w:val="18"/>
                <w:szCs w:val="18"/>
                <w:lang w:val="en-GB" w:eastAsia="en-US"/>
              </w:rPr>
            </w:pPr>
            <w:r w:rsidRPr="00F5127A">
              <w:rPr>
                <w:rFonts w:eastAsia="Cambria"/>
                <w:color w:val="000000" w:themeColor="text1"/>
                <w:sz w:val="18"/>
                <w:szCs w:val="18"/>
                <w:lang w:val="en-GB" w:eastAsia="en-US"/>
              </w:rPr>
              <w:t>c)</w:t>
            </w:r>
          </w:p>
        </w:tc>
        <w:tc>
          <w:tcPr>
            <w:tcW w:w="6528" w:type="dxa"/>
            <w:shd w:val="clear" w:color="auto" w:fill="EEEEEE"/>
          </w:tcPr>
          <w:p w14:paraId="14E0FCD9" w14:textId="77777777" w:rsidR="00D8098C" w:rsidRPr="00F5127A" w:rsidRDefault="00D8098C" w:rsidP="00426603">
            <w:pPr>
              <w:spacing w:beforeLines="40" w:before="96" w:afterLines="40" w:after="96" w:line="24" w:lineRule="atLeast"/>
              <w:rPr>
                <w:rFonts w:eastAsia="Times New Roman"/>
                <w:color w:val="000000" w:themeColor="text1"/>
                <w:sz w:val="18"/>
                <w:szCs w:val="18"/>
                <w:lang w:val="en-GB" w:eastAsia="en-GB"/>
              </w:rPr>
            </w:pPr>
            <w:r w:rsidRPr="00F5127A">
              <w:rPr>
                <w:rFonts w:eastAsia="Times New Roman"/>
                <w:color w:val="000000" w:themeColor="text1"/>
                <w:sz w:val="18"/>
                <w:szCs w:val="18"/>
                <w:lang w:val="en-GB" w:eastAsia="en-GB"/>
              </w:rPr>
              <w:t>Report any assessment of direction of causal relationship (e.g., bidirectional MR)</w:t>
            </w:r>
          </w:p>
        </w:tc>
        <w:tc>
          <w:tcPr>
            <w:tcW w:w="1427" w:type="dxa"/>
            <w:shd w:val="clear" w:color="auto" w:fill="EEEEEE"/>
          </w:tcPr>
          <w:p w14:paraId="03D1A085" w14:textId="2D4A8D26" w:rsidR="00D8098C" w:rsidRPr="00F5127A" w:rsidRDefault="00F5127A"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137" w:type="dxa"/>
            <w:shd w:val="clear" w:color="auto" w:fill="EEEEEE"/>
          </w:tcPr>
          <w:p w14:paraId="66751F07" w14:textId="79BF54C5" w:rsidR="00D8098C" w:rsidRPr="00F5127A" w:rsidRDefault="00F5127A" w:rsidP="00426603">
            <w:pPr>
              <w:spacing w:beforeLines="40" w:before="96" w:afterLines="40" w:after="96" w:line="24" w:lineRule="atLeast"/>
              <w:rPr>
                <w:rFonts w:eastAsiaTheme="minorEastAsia"/>
                <w:sz w:val="18"/>
                <w:szCs w:val="18"/>
                <w:lang w:val="en-US" w:eastAsia="zh-CN"/>
              </w:rPr>
            </w:pPr>
            <w:r>
              <w:rPr>
                <w:rFonts w:eastAsiaTheme="minorEastAsia"/>
                <w:sz w:val="18"/>
                <w:szCs w:val="18"/>
                <w:lang w:val="en-GB" w:eastAsia="zh-CN"/>
              </w:rPr>
              <w:t>“</w:t>
            </w:r>
            <w:r w:rsidRPr="00F5127A">
              <w:rPr>
                <w:rFonts w:eastAsiaTheme="minorEastAsia"/>
                <w:sz w:val="18"/>
                <w:szCs w:val="18"/>
                <w:lang w:val="en-US" w:eastAsia="zh-CN"/>
              </w:rPr>
              <w:t>We did not perform reverse-direction or bidirectional Mendelian randomization analyses.</w:t>
            </w:r>
            <w:r>
              <w:rPr>
                <w:rFonts w:eastAsiaTheme="minorEastAsia"/>
                <w:sz w:val="18"/>
                <w:szCs w:val="18"/>
                <w:lang w:val="en-GB" w:eastAsia="zh-CN"/>
              </w:rPr>
              <w:t>”</w:t>
            </w:r>
          </w:p>
        </w:tc>
      </w:tr>
      <w:tr w:rsidR="00D8098C" w:rsidRPr="00B853C6" w14:paraId="2034ACF7" w14:textId="19A8CB33" w:rsidTr="00A3631D">
        <w:tc>
          <w:tcPr>
            <w:tcW w:w="588" w:type="dxa"/>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528" w:type="dxa"/>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1427" w:type="dxa"/>
          </w:tcPr>
          <w:p w14:paraId="528F9F4C" w14:textId="7E789243" w:rsidR="00D8098C" w:rsidRPr="00A3631D" w:rsidRDefault="00A3631D"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14</w:t>
            </w:r>
          </w:p>
        </w:tc>
        <w:tc>
          <w:tcPr>
            <w:tcW w:w="4137" w:type="dxa"/>
          </w:tcPr>
          <w:p w14:paraId="7B882C5B" w14:textId="458AD206" w:rsidR="00D8098C" w:rsidRDefault="00A3631D" w:rsidP="00426603">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“Previous studies have reported positive genetic correlation and local correlated regions between T2D and CAD [18]…”</w:t>
            </w:r>
          </w:p>
        </w:tc>
      </w:tr>
      <w:tr w:rsidR="00D8098C" w:rsidRPr="00B853C6" w14:paraId="3E7CFBFC" w14:textId="3F99A047" w:rsidTr="00A3631D">
        <w:tc>
          <w:tcPr>
            <w:tcW w:w="588"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528"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1427" w:type="dxa"/>
            <w:tcBorders>
              <w:bottom w:val="single" w:sz="6" w:space="0" w:color="7F7F7F"/>
            </w:tcBorders>
            <w:shd w:val="clear" w:color="auto" w:fill="EEEEEE"/>
          </w:tcPr>
          <w:p w14:paraId="33892A6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37" w:type="dxa"/>
            <w:tcBorders>
              <w:bottom w:val="single" w:sz="6" w:space="0" w:color="7F7F7F"/>
            </w:tcBorders>
            <w:shd w:val="clear" w:color="auto" w:fill="EEEEEE"/>
          </w:tcPr>
          <w:p w14:paraId="03A6AB93" w14:textId="219AB28D" w:rsidR="00D8098C" w:rsidRDefault="00A3631D" w:rsidP="00426603">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Supplementary Figure 3</w:t>
            </w:r>
          </w:p>
        </w:tc>
      </w:tr>
      <w:tr w:rsidR="00D8098C" w:rsidRPr="00B853C6" w14:paraId="5B7D2773" w14:textId="7D8D257A" w:rsidTr="00A3631D">
        <w:tc>
          <w:tcPr>
            <w:tcW w:w="588" w:type="dxa"/>
            <w:tcBorders>
              <w:top w:val="single" w:sz="6" w:space="0" w:color="7F7F7F"/>
            </w:tcBorders>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6528" w:type="dxa"/>
            <w:tcBorders>
              <w:top w:val="single" w:sz="6" w:space="0" w:color="7F7F7F"/>
            </w:tcBorders>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427"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37"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A3631D" w:rsidRPr="00B853C6" w14:paraId="1800AF05" w14:textId="4BEA2748" w:rsidTr="00A3631D">
        <w:tc>
          <w:tcPr>
            <w:tcW w:w="588" w:type="dxa"/>
            <w:shd w:val="clear" w:color="auto" w:fill="EEEEEE"/>
          </w:tcPr>
          <w:p w14:paraId="6B5F5286" w14:textId="77777777" w:rsidR="00A3631D" w:rsidRPr="00F0337F" w:rsidRDefault="00A3631D" w:rsidP="00A3631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10" w:type="dxa"/>
            <w:shd w:val="clear" w:color="auto" w:fill="EEEEEE"/>
          </w:tcPr>
          <w:p w14:paraId="42EDC029"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6528" w:type="dxa"/>
            <w:shd w:val="clear" w:color="auto" w:fill="EEEEEE"/>
          </w:tcPr>
          <w:p w14:paraId="35F1CADF" w14:textId="77777777" w:rsidR="00A3631D" w:rsidRPr="00A1236D" w:rsidRDefault="00A3631D" w:rsidP="00A3631D">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1427" w:type="dxa"/>
            <w:shd w:val="clear" w:color="auto" w:fill="EEEEEE"/>
          </w:tcPr>
          <w:p w14:paraId="2C7117BF" w14:textId="53BFBB72" w:rsidR="00A3631D" w:rsidRPr="00A3631D" w:rsidRDefault="00A3631D" w:rsidP="00A3631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14</w:t>
            </w:r>
          </w:p>
        </w:tc>
        <w:tc>
          <w:tcPr>
            <w:tcW w:w="4137" w:type="dxa"/>
            <w:shd w:val="clear" w:color="auto" w:fill="EEEEEE"/>
          </w:tcPr>
          <w:p w14:paraId="70F1DDE7" w14:textId="45B468D8" w:rsidR="00A3631D" w:rsidRDefault="00A3631D" w:rsidP="00A3631D">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“We identified significant global and local genetic correlations…”</w:t>
            </w:r>
            <w:r w:rsidRPr="00A3631D">
              <w:rPr>
                <w:rFonts w:eastAsia="Times New Roman"/>
                <w:sz w:val="18"/>
                <w:szCs w:val="18"/>
                <w:lang w:eastAsia="en-GB"/>
              </w:rPr>
              <w:br/>
              <w:t>“…highlighted GCKR, HSF1, and QPCTL as candidate effector genes.”</w:t>
            </w:r>
            <w:r w:rsidRPr="00A3631D">
              <w:rPr>
                <w:rFonts w:eastAsia="Times New Roman"/>
                <w:sz w:val="18"/>
                <w:szCs w:val="18"/>
                <w:lang w:eastAsia="en-GB"/>
              </w:rPr>
              <w:br/>
              <w:t>“…csMR analysis identified oligodendrocyte precursor cells as a cell-type context warranting further investigation.”</w:t>
            </w:r>
          </w:p>
        </w:tc>
      </w:tr>
      <w:tr w:rsidR="00A3631D" w:rsidRPr="00B853C6" w14:paraId="06BFAFA4" w14:textId="151FB6CE" w:rsidTr="00A3631D">
        <w:tc>
          <w:tcPr>
            <w:tcW w:w="588" w:type="dxa"/>
          </w:tcPr>
          <w:p w14:paraId="6D471CC5" w14:textId="77777777" w:rsidR="00A3631D" w:rsidRPr="00F0337F" w:rsidRDefault="00A3631D" w:rsidP="00A3631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10" w:type="dxa"/>
          </w:tcPr>
          <w:p w14:paraId="5C27961E"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6528" w:type="dxa"/>
          </w:tcPr>
          <w:p w14:paraId="75B6F41B" w14:textId="77777777" w:rsidR="00A3631D" w:rsidRPr="00A1236D" w:rsidRDefault="00A3631D" w:rsidP="00A3631D">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1427" w:type="dxa"/>
          </w:tcPr>
          <w:p w14:paraId="201D4281" w14:textId="3E0B671E" w:rsidR="00A3631D" w:rsidRPr="00A3631D" w:rsidRDefault="00A3631D" w:rsidP="00A3631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15</w:t>
            </w:r>
          </w:p>
        </w:tc>
        <w:tc>
          <w:tcPr>
            <w:tcW w:w="4137" w:type="dxa"/>
          </w:tcPr>
          <w:p w14:paraId="7CB4BA33" w14:textId="5306877B" w:rsidR="00A3631D" w:rsidRDefault="00A3631D" w:rsidP="00A3631D">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“Several limitations should also be acknowledged. First, our inferences were mainly based on European ancestry summary-level genetic data…”</w:t>
            </w:r>
            <w:r w:rsidRPr="00A3631D">
              <w:rPr>
                <w:rFonts w:eastAsia="Times New Roman"/>
                <w:sz w:val="18"/>
                <w:szCs w:val="18"/>
                <w:lang w:eastAsia="en-GB"/>
              </w:rPr>
              <w:br/>
              <w:t>“Second, TWAS and pQTL analyses are constrained…”</w:t>
            </w:r>
            <w:r w:rsidRPr="00A3631D">
              <w:rPr>
                <w:rFonts w:eastAsia="Times New Roman"/>
                <w:sz w:val="18"/>
                <w:szCs w:val="18"/>
                <w:lang w:eastAsia="en-GB"/>
              </w:rPr>
              <w:br/>
              <w:t xml:space="preserve">“Third, the functional significance of the </w:t>
            </w:r>
            <w:r w:rsidRPr="00A3631D">
              <w:rPr>
                <w:rFonts w:eastAsia="Times New Roman"/>
                <w:sz w:val="18"/>
                <w:szCs w:val="18"/>
                <w:lang w:eastAsia="en-GB"/>
              </w:rPr>
              <w:lastRenderedPageBreak/>
              <w:t>prioritized proteins and the OPC signal requires further validation.”</w:t>
            </w:r>
          </w:p>
        </w:tc>
      </w:tr>
      <w:tr w:rsidR="00A3631D" w:rsidRPr="00B853C6" w14:paraId="71F8B8B5" w14:textId="34C247AC" w:rsidTr="00A3631D">
        <w:tc>
          <w:tcPr>
            <w:tcW w:w="588" w:type="dxa"/>
            <w:shd w:val="clear" w:color="auto" w:fill="EEEEEE"/>
          </w:tcPr>
          <w:p w14:paraId="02C1D590" w14:textId="77777777" w:rsidR="00A3631D" w:rsidRPr="00F0337F" w:rsidRDefault="00A3631D" w:rsidP="00A3631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16</w:t>
            </w:r>
          </w:p>
        </w:tc>
        <w:tc>
          <w:tcPr>
            <w:tcW w:w="1810" w:type="dxa"/>
            <w:shd w:val="clear" w:color="auto" w:fill="EEEEEE"/>
          </w:tcPr>
          <w:p w14:paraId="612AA484"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6528" w:type="dxa"/>
            <w:shd w:val="clear" w:color="auto" w:fill="EEEEEE"/>
          </w:tcPr>
          <w:p w14:paraId="3BF6466E" w14:textId="77777777" w:rsidR="00A3631D" w:rsidRPr="00A1236D" w:rsidRDefault="00A3631D" w:rsidP="00A3631D">
            <w:pPr>
              <w:spacing w:beforeLines="40" w:before="96" w:afterLines="40" w:after="96" w:line="24" w:lineRule="atLeast"/>
              <w:rPr>
                <w:rFonts w:eastAsia="Cambria"/>
                <w:sz w:val="18"/>
                <w:szCs w:val="18"/>
                <w:lang w:val="en-GB" w:eastAsia="en-US"/>
              </w:rPr>
            </w:pPr>
          </w:p>
        </w:tc>
        <w:tc>
          <w:tcPr>
            <w:tcW w:w="1427" w:type="dxa"/>
            <w:shd w:val="clear" w:color="auto" w:fill="EEEEEE"/>
          </w:tcPr>
          <w:p w14:paraId="4B5179B2" w14:textId="77777777" w:rsidR="00A3631D" w:rsidRPr="00A1236D" w:rsidRDefault="00A3631D" w:rsidP="00A3631D">
            <w:pPr>
              <w:spacing w:beforeLines="40" w:before="96" w:afterLines="40" w:after="96" w:line="24" w:lineRule="atLeast"/>
              <w:rPr>
                <w:rFonts w:eastAsia="Cambria"/>
                <w:sz w:val="18"/>
                <w:szCs w:val="18"/>
                <w:lang w:val="en-GB" w:eastAsia="en-US"/>
              </w:rPr>
            </w:pPr>
          </w:p>
        </w:tc>
        <w:tc>
          <w:tcPr>
            <w:tcW w:w="4137" w:type="dxa"/>
            <w:shd w:val="clear" w:color="auto" w:fill="EEEEEE"/>
          </w:tcPr>
          <w:p w14:paraId="1C445080" w14:textId="65FDC1F3" w:rsidR="00A3631D" w:rsidRDefault="00A3631D" w:rsidP="00A3631D">
            <w:pPr>
              <w:spacing w:beforeLines="40" w:before="96" w:afterLines="40" w:after="96" w:line="24" w:lineRule="atLeast"/>
              <w:rPr>
                <w:rFonts w:eastAsia="Cambria"/>
                <w:sz w:val="18"/>
                <w:szCs w:val="18"/>
                <w:lang w:val="en-GB" w:eastAsia="en-US"/>
              </w:rPr>
            </w:pPr>
          </w:p>
        </w:tc>
      </w:tr>
      <w:tr w:rsidR="00A3631D" w:rsidRPr="00B853C6" w14:paraId="62E6D51A" w14:textId="140D03A2" w:rsidTr="00A3631D">
        <w:tc>
          <w:tcPr>
            <w:tcW w:w="588" w:type="dxa"/>
          </w:tcPr>
          <w:p w14:paraId="6DD2F448" w14:textId="77777777" w:rsidR="00A3631D" w:rsidRPr="00F0337F" w:rsidRDefault="00A3631D" w:rsidP="00A3631D">
            <w:pPr>
              <w:spacing w:beforeLines="40" w:before="96" w:afterLines="40" w:after="96" w:line="24" w:lineRule="atLeast"/>
              <w:jc w:val="right"/>
              <w:rPr>
                <w:rFonts w:eastAsia="Cambria"/>
                <w:b/>
                <w:bCs/>
                <w:sz w:val="18"/>
                <w:szCs w:val="18"/>
                <w:lang w:val="en-GB" w:eastAsia="en-US"/>
              </w:rPr>
            </w:pPr>
          </w:p>
        </w:tc>
        <w:tc>
          <w:tcPr>
            <w:tcW w:w="1810" w:type="dxa"/>
          </w:tcPr>
          <w:p w14:paraId="50F26A29" w14:textId="77777777" w:rsidR="00A3631D" w:rsidRPr="00F0337F" w:rsidRDefault="00A3631D" w:rsidP="00A3631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528" w:type="dxa"/>
          </w:tcPr>
          <w:p w14:paraId="7EDF9868" w14:textId="096ED659" w:rsidR="00A3631D" w:rsidRPr="00A1236D" w:rsidRDefault="00A3631D" w:rsidP="00A3631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1427" w:type="dxa"/>
          </w:tcPr>
          <w:p w14:paraId="565CC165" w14:textId="73259DFE" w:rsidR="00A3631D" w:rsidRPr="00A3631D" w:rsidRDefault="00A3631D" w:rsidP="00A3631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14</w:t>
            </w:r>
          </w:p>
        </w:tc>
        <w:tc>
          <w:tcPr>
            <w:tcW w:w="4137" w:type="dxa"/>
          </w:tcPr>
          <w:p w14:paraId="5251245C" w14:textId="49FFA494" w:rsidR="00A3631D" w:rsidRDefault="00A3631D" w:rsidP="00A3631D">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“The coexistence of T2D and CAD is better understood as a biologically interconnected cardiometabolic state…”</w:t>
            </w:r>
          </w:p>
        </w:tc>
      </w:tr>
      <w:tr w:rsidR="00A3631D" w:rsidRPr="00B853C6" w14:paraId="156B69E5" w14:textId="453FC5BE" w:rsidTr="00A3631D">
        <w:tc>
          <w:tcPr>
            <w:tcW w:w="588" w:type="dxa"/>
            <w:shd w:val="clear" w:color="auto" w:fill="EEEEEE"/>
          </w:tcPr>
          <w:p w14:paraId="4C8A2215" w14:textId="77777777" w:rsidR="00A3631D" w:rsidRPr="00F0337F" w:rsidRDefault="00A3631D" w:rsidP="00A3631D">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6A4A5F16" w14:textId="77777777" w:rsidR="00A3631D" w:rsidRPr="00F0337F" w:rsidRDefault="00A3631D" w:rsidP="00A3631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528" w:type="dxa"/>
            <w:shd w:val="clear" w:color="auto" w:fill="EEEEEE"/>
          </w:tcPr>
          <w:p w14:paraId="422EB891" w14:textId="2CE58431" w:rsidR="00A3631D" w:rsidRPr="00A1236D" w:rsidRDefault="00A3631D" w:rsidP="00A3631D">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w:t>
            </w:r>
            <w:r>
              <w:rPr>
                <w:rFonts w:eastAsiaTheme="minorEastAsia" w:hint="eastAsia"/>
                <w:sz w:val="18"/>
                <w:szCs w:val="18"/>
                <w:lang w:val="en-GB" w:eastAsia="zh-CN"/>
              </w:rPr>
              <w:t>14</w:t>
            </w:r>
            <w:r w:rsidRPr="00A1236D">
              <w:rPr>
                <w:rFonts w:eastAsia="Times New Roman"/>
                <w:sz w:val="18"/>
                <w:szCs w:val="18"/>
                <w:lang w:val="en-GB" w:eastAsia="en-GB"/>
              </w:rPr>
              <w:t xml:space="preserve">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1427" w:type="dxa"/>
            <w:shd w:val="clear" w:color="auto" w:fill="EEEEEE"/>
          </w:tcPr>
          <w:p w14:paraId="2FA4AA4D" w14:textId="08583DE6" w:rsidR="00A3631D" w:rsidRPr="00A3631D" w:rsidRDefault="00A3631D" w:rsidP="00A3631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14-15</w:t>
            </w:r>
          </w:p>
        </w:tc>
        <w:tc>
          <w:tcPr>
            <w:tcW w:w="4137" w:type="dxa"/>
            <w:shd w:val="clear" w:color="auto" w:fill="EEEEEE"/>
          </w:tcPr>
          <w:p w14:paraId="18E2D5E0" w14:textId="2276A26D" w:rsidR="00A3631D" w:rsidRDefault="00A3631D" w:rsidP="00A3631D">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“GCKR implicates the canonical glucose–lipid coupling axis…”</w:t>
            </w:r>
            <w:r w:rsidRPr="00A3631D">
              <w:rPr>
                <w:rFonts w:eastAsia="Times New Roman"/>
                <w:sz w:val="18"/>
                <w:szCs w:val="18"/>
                <w:lang w:eastAsia="en-GB"/>
              </w:rPr>
              <w:br/>
              <w:t>“Skeletal muscle HSF1 has been shown…”</w:t>
            </w:r>
            <w:r w:rsidRPr="00A3631D">
              <w:rPr>
                <w:rFonts w:eastAsia="Times New Roman"/>
                <w:sz w:val="18"/>
                <w:szCs w:val="18"/>
                <w:lang w:eastAsia="en-GB"/>
              </w:rPr>
              <w:br/>
              <w:t>“QPCTL may contribute to vascular inflammation…”</w:t>
            </w:r>
          </w:p>
          <w:p w14:paraId="3A91F000" w14:textId="46999792" w:rsidR="00A3631D" w:rsidRPr="00A3631D" w:rsidRDefault="00A3631D" w:rsidP="00A3631D">
            <w:pPr>
              <w:ind w:firstLineChars="200" w:firstLine="360"/>
              <w:rPr>
                <w:rFonts w:eastAsia="Times New Roman"/>
                <w:sz w:val="18"/>
                <w:szCs w:val="18"/>
                <w:lang w:val="en-GB" w:eastAsia="en-GB"/>
              </w:rPr>
            </w:pPr>
          </w:p>
        </w:tc>
      </w:tr>
      <w:tr w:rsidR="00A3631D" w:rsidRPr="00B853C6" w14:paraId="203390A0" w14:textId="367D17C4" w:rsidTr="00A3631D">
        <w:tc>
          <w:tcPr>
            <w:tcW w:w="588" w:type="dxa"/>
          </w:tcPr>
          <w:p w14:paraId="54CA3A27" w14:textId="77777777" w:rsidR="00A3631D" w:rsidRPr="00F0337F" w:rsidRDefault="00A3631D" w:rsidP="00A3631D">
            <w:pPr>
              <w:spacing w:beforeLines="40" w:before="96" w:afterLines="40" w:after="96" w:line="24" w:lineRule="atLeast"/>
              <w:jc w:val="right"/>
              <w:rPr>
                <w:rFonts w:eastAsia="Cambria"/>
                <w:b/>
                <w:bCs/>
                <w:sz w:val="18"/>
                <w:szCs w:val="18"/>
                <w:lang w:val="en-GB" w:eastAsia="en-US"/>
              </w:rPr>
            </w:pPr>
          </w:p>
        </w:tc>
        <w:tc>
          <w:tcPr>
            <w:tcW w:w="1810" w:type="dxa"/>
          </w:tcPr>
          <w:p w14:paraId="6D25BA57" w14:textId="77777777" w:rsidR="00A3631D" w:rsidRPr="00F0337F" w:rsidRDefault="00A3631D" w:rsidP="00A3631D">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528" w:type="dxa"/>
          </w:tcPr>
          <w:p w14:paraId="5B6A8315" w14:textId="77777777" w:rsidR="00A3631D" w:rsidRPr="00A1236D" w:rsidRDefault="00A3631D" w:rsidP="00A3631D">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1427" w:type="dxa"/>
          </w:tcPr>
          <w:p w14:paraId="32FCF028" w14:textId="04D907D0" w:rsidR="00A3631D" w:rsidRPr="00A3631D" w:rsidRDefault="00A3631D" w:rsidP="00A3631D">
            <w:pPr>
              <w:tabs>
                <w:tab w:val="left" w:pos="135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14-15</w:t>
            </w:r>
          </w:p>
        </w:tc>
        <w:tc>
          <w:tcPr>
            <w:tcW w:w="4137" w:type="dxa"/>
          </w:tcPr>
          <w:p w14:paraId="78058AE6" w14:textId="464D53A8" w:rsidR="00A3631D" w:rsidRDefault="00A3631D" w:rsidP="00A3631D">
            <w:pPr>
              <w:tabs>
                <w:tab w:val="left" w:pos="1350"/>
              </w:tabs>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“…highlighted GCKR, HSF1, and QPCTL as candidate effector genes.”</w:t>
            </w:r>
            <w:r w:rsidRPr="00A3631D">
              <w:rPr>
                <w:rFonts w:eastAsia="Times New Roman"/>
                <w:sz w:val="18"/>
                <w:szCs w:val="18"/>
                <w:lang w:eastAsia="en-GB"/>
              </w:rPr>
              <w:br/>
              <w:t>“…provides a framework for subsequent target validation and the development of precision therapeutic strategies.”</w:t>
            </w:r>
          </w:p>
        </w:tc>
      </w:tr>
      <w:tr w:rsidR="00A3631D" w:rsidRPr="00B853C6" w14:paraId="71FDAFC1" w14:textId="00A47F15" w:rsidTr="00A3631D">
        <w:tc>
          <w:tcPr>
            <w:tcW w:w="588" w:type="dxa"/>
            <w:tcBorders>
              <w:bottom w:val="single" w:sz="6" w:space="0" w:color="7F7F7F"/>
            </w:tcBorders>
            <w:shd w:val="clear" w:color="auto" w:fill="EEEEEE"/>
          </w:tcPr>
          <w:p w14:paraId="7540155A" w14:textId="77777777" w:rsidR="00A3631D" w:rsidRPr="00F0337F" w:rsidRDefault="00A3631D" w:rsidP="00A3631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10" w:type="dxa"/>
            <w:tcBorders>
              <w:bottom w:val="single" w:sz="6" w:space="0" w:color="7F7F7F"/>
            </w:tcBorders>
            <w:shd w:val="clear" w:color="auto" w:fill="EEEEEE"/>
          </w:tcPr>
          <w:p w14:paraId="3680059F"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6528" w:type="dxa"/>
            <w:tcBorders>
              <w:bottom w:val="single" w:sz="6" w:space="0" w:color="7F7F7F"/>
            </w:tcBorders>
            <w:shd w:val="clear" w:color="auto" w:fill="EEEEEE"/>
          </w:tcPr>
          <w:p w14:paraId="68647C33" w14:textId="77777777" w:rsidR="00A3631D" w:rsidRPr="00A1236D" w:rsidRDefault="00A3631D" w:rsidP="00A3631D">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1427" w:type="dxa"/>
            <w:tcBorders>
              <w:bottom w:val="single" w:sz="6" w:space="0" w:color="7F7F7F"/>
            </w:tcBorders>
            <w:shd w:val="clear" w:color="auto" w:fill="EEEEEE"/>
          </w:tcPr>
          <w:p w14:paraId="3ACD3D08" w14:textId="19519B10" w:rsidR="00A3631D" w:rsidRPr="00A3631D" w:rsidRDefault="00A3631D" w:rsidP="00A3631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15</w:t>
            </w:r>
          </w:p>
        </w:tc>
        <w:tc>
          <w:tcPr>
            <w:tcW w:w="4137" w:type="dxa"/>
            <w:tcBorders>
              <w:bottom w:val="single" w:sz="6" w:space="0" w:color="7F7F7F"/>
            </w:tcBorders>
            <w:shd w:val="clear" w:color="auto" w:fill="EEEEEE"/>
          </w:tcPr>
          <w:p w14:paraId="41ABF5A9" w14:textId="2A7FBFEF" w:rsidR="00A3631D" w:rsidRDefault="00A3631D" w:rsidP="00A3631D">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“First, our inferences were mainly based on European ancestry summary-level genetic data … and their generalizability to populations of other ancestries may therefore be limited.”</w:t>
            </w:r>
          </w:p>
        </w:tc>
      </w:tr>
      <w:tr w:rsidR="00A3631D" w:rsidRPr="00B853C6" w14:paraId="57884E75" w14:textId="6FD41AE6" w:rsidTr="00A3631D">
        <w:tc>
          <w:tcPr>
            <w:tcW w:w="588" w:type="dxa"/>
            <w:tcBorders>
              <w:top w:val="single" w:sz="6" w:space="0" w:color="7F7F7F"/>
            </w:tcBorders>
          </w:tcPr>
          <w:p w14:paraId="2C4C694A" w14:textId="77777777" w:rsidR="00A3631D" w:rsidRPr="00F0337F" w:rsidRDefault="00A3631D" w:rsidP="00A3631D">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tcPr>
          <w:p w14:paraId="0A6FFE33"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6528" w:type="dxa"/>
            <w:tcBorders>
              <w:top w:val="single" w:sz="6" w:space="0" w:color="7F7F7F"/>
            </w:tcBorders>
          </w:tcPr>
          <w:p w14:paraId="0577947E" w14:textId="77777777" w:rsidR="00A3631D" w:rsidRPr="00F0337F" w:rsidRDefault="00A3631D" w:rsidP="00A3631D">
            <w:pPr>
              <w:spacing w:beforeLines="40" w:before="96" w:afterLines="40" w:after="96" w:line="24" w:lineRule="atLeast"/>
              <w:rPr>
                <w:rFonts w:eastAsia="Cambria"/>
                <w:sz w:val="18"/>
                <w:szCs w:val="18"/>
                <w:lang w:val="en-GB" w:eastAsia="en-US"/>
              </w:rPr>
            </w:pPr>
          </w:p>
        </w:tc>
        <w:tc>
          <w:tcPr>
            <w:tcW w:w="1427" w:type="dxa"/>
            <w:tcBorders>
              <w:top w:val="single" w:sz="6" w:space="0" w:color="7F7F7F"/>
            </w:tcBorders>
          </w:tcPr>
          <w:p w14:paraId="7561574C" w14:textId="77777777" w:rsidR="00A3631D" w:rsidRPr="00F0337F" w:rsidRDefault="00A3631D" w:rsidP="00A3631D">
            <w:pPr>
              <w:spacing w:beforeLines="40" w:before="96" w:afterLines="40" w:after="96" w:line="24" w:lineRule="atLeast"/>
              <w:rPr>
                <w:rFonts w:eastAsia="Cambria"/>
                <w:sz w:val="18"/>
                <w:szCs w:val="18"/>
                <w:lang w:val="en-GB" w:eastAsia="en-US"/>
              </w:rPr>
            </w:pPr>
          </w:p>
        </w:tc>
        <w:tc>
          <w:tcPr>
            <w:tcW w:w="4137" w:type="dxa"/>
            <w:tcBorders>
              <w:top w:val="single" w:sz="6" w:space="0" w:color="7F7F7F"/>
            </w:tcBorders>
          </w:tcPr>
          <w:p w14:paraId="3718ED5B" w14:textId="77777777" w:rsidR="00A3631D" w:rsidRDefault="00A3631D" w:rsidP="00A3631D">
            <w:pPr>
              <w:spacing w:beforeLines="40" w:before="96" w:afterLines="40" w:after="96" w:line="24" w:lineRule="atLeast"/>
              <w:rPr>
                <w:rFonts w:eastAsia="Cambria"/>
                <w:sz w:val="18"/>
                <w:szCs w:val="18"/>
                <w:lang w:val="en-GB" w:eastAsia="en-US"/>
              </w:rPr>
            </w:pPr>
          </w:p>
        </w:tc>
      </w:tr>
      <w:tr w:rsidR="00A3631D" w:rsidRPr="00B853C6" w14:paraId="0014C6D1" w14:textId="2FC4D004" w:rsidTr="00A3631D">
        <w:tc>
          <w:tcPr>
            <w:tcW w:w="588" w:type="dxa"/>
            <w:shd w:val="clear" w:color="auto" w:fill="EEEEEE"/>
          </w:tcPr>
          <w:p w14:paraId="2336D08C" w14:textId="77777777" w:rsidR="00A3631D" w:rsidRPr="00F0337F" w:rsidRDefault="00A3631D" w:rsidP="00A3631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10" w:type="dxa"/>
            <w:shd w:val="clear" w:color="auto" w:fill="EEEEEE"/>
          </w:tcPr>
          <w:p w14:paraId="08EB4FDF" w14:textId="77777777" w:rsidR="00A3631D" w:rsidRPr="00F0337F" w:rsidRDefault="00A3631D" w:rsidP="00A3631D">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6528" w:type="dxa"/>
            <w:shd w:val="clear" w:color="auto" w:fill="EEEEEE"/>
          </w:tcPr>
          <w:p w14:paraId="4663DCA7"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1427" w:type="dxa"/>
            <w:shd w:val="clear" w:color="auto" w:fill="EEEEEE"/>
          </w:tcPr>
          <w:p w14:paraId="33E2D855" w14:textId="7B6E5FC6" w:rsidR="00A3631D" w:rsidRPr="00A3631D" w:rsidRDefault="00A3631D" w:rsidP="00A3631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16</w:t>
            </w:r>
          </w:p>
        </w:tc>
        <w:tc>
          <w:tcPr>
            <w:tcW w:w="4137" w:type="dxa"/>
            <w:shd w:val="clear" w:color="auto" w:fill="EEEEEE"/>
          </w:tcPr>
          <w:p w14:paraId="2C6CE5FF" w14:textId="4D01339B" w:rsidR="00A3631D" w:rsidRDefault="00A3631D" w:rsidP="00A3631D">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“All analyses were based on publicly available data, and the corresponding data sources can be found in the article.”</w:t>
            </w:r>
          </w:p>
        </w:tc>
      </w:tr>
      <w:tr w:rsidR="00A3631D" w:rsidRPr="00B853C6" w14:paraId="1B22CB41" w14:textId="102364C9" w:rsidTr="00A3631D">
        <w:tc>
          <w:tcPr>
            <w:tcW w:w="588" w:type="dxa"/>
          </w:tcPr>
          <w:p w14:paraId="381BF2BA" w14:textId="77777777" w:rsidR="00A3631D" w:rsidRPr="00F0337F" w:rsidRDefault="00A3631D" w:rsidP="00A3631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10" w:type="dxa"/>
          </w:tcPr>
          <w:p w14:paraId="233BA942"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6528" w:type="dxa"/>
          </w:tcPr>
          <w:p w14:paraId="42D9085E"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1427" w:type="dxa"/>
          </w:tcPr>
          <w:p w14:paraId="5725EE6D" w14:textId="7CEF104A" w:rsidR="00A3631D" w:rsidRPr="00A3631D" w:rsidRDefault="00A3631D" w:rsidP="00A3631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16</w:t>
            </w:r>
          </w:p>
        </w:tc>
        <w:tc>
          <w:tcPr>
            <w:tcW w:w="4137" w:type="dxa"/>
          </w:tcPr>
          <w:p w14:paraId="38DE3AA7" w14:textId="58A63773" w:rsidR="00A3631D" w:rsidRDefault="00A3631D" w:rsidP="00A3631D">
            <w:pPr>
              <w:spacing w:beforeLines="40" w:before="96" w:afterLines="40" w:after="96" w:line="24" w:lineRule="atLeast"/>
              <w:rPr>
                <w:rFonts w:eastAsia="Times New Roman"/>
                <w:sz w:val="18"/>
                <w:szCs w:val="18"/>
                <w:lang w:val="en-GB" w:eastAsia="en-GB"/>
              </w:rPr>
            </w:pPr>
            <w:r w:rsidRPr="00A3631D">
              <w:rPr>
                <w:rFonts w:eastAsia="Times New Roman"/>
                <w:sz w:val="18"/>
                <w:szCs w:val="18"/>
                <w:lang w:eastAsia="en-GB"/>
              </w:rPr>
              <w:t>“The authors declare that they don’t have any conflict of interest to declare.”</w:t>
            </w:r>
          </w:p>
        </w:tc>
      </w:tr>
      <w:tr w:rsidR="00A3631D" w:rsidRPr="00B853C6" w14:paraId="1BFE6A86" w14:textId="26747AA0" w:rsidTr="00A3631D">
        <w:tc>
          <w:tcPr>
            <w:tcW w:w="588" w:type="dxa"/>
            <w:tcBorders>
              <w:bottom w:val="single" w:sz="6" w:space="0" w:color="7F7F7F"/>
            </w:tcBorders>
            <w:shd w:val="clear" w:color="auto" w:fill="EEEEEE"/>
          </w:tcPr>
          <w:p w14:paraId="20DC2C92" w14:textId="77777777" w:rsidR="00A3631D" w:rsidRPr="00F0337F" w:rsidRDefault="00A3631D" w:rsidP="00A3631D">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10" w:type="dxa"/>
            <w:tcBorders>
              <w:bottom w:val="single" w:sz="6" w:space="0" w:color="7F7F7F"/>
            </w:tcBorders>
            <w:shd w:val="clear" w:color="auto" w:fill="EEEEEE"/>
          </w:tcPr>
          <w:p w14:paraId="39A69A1B"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6528" w:type="dxa"/>
            <w:tcBorders>
              <w:bottom w:val="single" w:sz="6" w:space="0" w:color="7F7F7F"/>
            </w:tcBorders>
            <w:shd w:val="clear" w:color="auto" w:fill="EEEEEE"/>
          </w:tcPr>
          <w:p w14:paraId="4772D912" w14:textId="77777777" w:rsidR="00A3631D" w:rsidRPr="00F0337F" w:rsidRDefault="00A3631D" w:rsidP="00A3631D">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1427" w:type="dxa"/>
            <w:tcBorders>
              <w:bottom w:val="single" w:sz="6" w:space="0" w:color="7F7F7F"/>
            </w:tcBorders>
            <w:shd w:val="clear" w:color="auto" w:fill="EEEEEE"/>
          </w:tcPr>
          <w:p w14:paraId="1B63BC8B" w14:textId="27ECB2EB" w:rsidR="00A3631D" w:rsidRPr="00996E20" w:rsidRDefault="00996E20" w:rsidP="00A3631D">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16</w:t>
            </w:r>
          </w:p>
        </w:tc>
        <w:tc>
          <w:tcPr>
            <w:tcW w:w="4137" w:type="dxa"/>
            <w:tcBorders>
              <w:bottom w:val="single" w:sz="6" w:space="0" w:color="7F7F7F"/>
            </w:tcBorders>
            <w:shd w:val="clear" w:color="auto" w:fill="EEEEEE"/>
          </w:tcPr>
          <w:p w14:paraId="5D9123A4" w14:textId="48D36414" w:rsidR="00A3631D" w:rsidRPr="00996E20" w:rsidRDefault="00996E20" w:rsidP="00996E20">
            <w:pPr>
              <w:spacing w:beforeLines="40" w:before="96" w:afterLines="40" w:after="96" w:line="24" w:lineRule="atLeast"/>
              <w:rPr>
                <w:rFonts w:eastAsiaTheme="minorEastAsia"/>
                <w:sz w:val="18"/>
                <w:szCs w:val="18"/>
                <w:lang w:val="en-US" w:eastAsia="zh-CN"/>
              </w:rPr>
            </w:pPr>
            <w:r w:rsidRPr="00996E20">
              <w:rPr>
                <w:rFonts w:eastAsia="Times New Roman"/>
                <w:sz w:val="18"/>
                <w:szCs w:val="18"/>
                <w:lang w:val="en-US" w:eastAsia="en-GB"/>
              </w:rPr>
              <w:t>“The authors declare that they don’t have any conflict of interest to declare.”</w:t>
            </w:r>
          </w:p>
        </w:tc>
      </w:tr>
    </w:tbl>
    <w:p w14:paraId="386115B2" w14:textId="17D6D8D3" w:rsidR="003B2FE7" w:rsidRPr="009854A9" w:rsidRDefault="00D65199" w:rsidP="005520ED">
      <w:pPr>
        <w:spacing w:before="240" w:after="240"/>
        <w:rPr>
          <w:sz w:val="19"/>
          <w:szCs w:val="19"/>
        </w:rPr>
      </w:pPr>
      <w:r w:rsidRPr="009854A9">
        <w:rPr>
          <w:sz w:val="19"/>
          <w:szCs w:val="19"/>
        </w:rPr>
        <w:t>This checklist is copyrighted by the Equator Network under the Creative Commons Attribution 3.0 Unported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lastRenderedPageBreak/>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1"/>
      <w:footerReference w:type="default" r:id="rId12"/>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82895" w14:textId="77777777" w:rsidR="00DD6A5A" w:rsidRDefault="00DD6A5A">
      <w:pPr>
        <w:spacing w:line="240" w:lineRule="auto"/>
      </w:pPr>
      <w:r>
        <w:separator/>
      </w:r>
    </w:p>
  </w:endnote>
  <w:endnote w:type="continuationSeparator" w:id="0">
    <w:p w14:paraId="332DB77B" w14:textId="77777777" w:rsidR="00DD6A5A" w:rsidRDefault="00DD6A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A166" w14:textId="77777777" w:rsidR="003B2FE7" w:rsidRDefault="003B2FE7" w:rsidP="00A365E5">
    <w:pPr>
      <w:pStyle w:val="a3"/>
      <w:framePr w:wrap="none" w:vAnchor="text" w:hAnchor="margin" w:xAlign="right" w:y="1"/>
      <w:rPr>
        <w:rStyle w:val="a5"/>
      </w:rPr>
    </w:pPr>
  </w:p>
  <w:p w14:paraId="40A0897E" w14:textId="77777777" w:rsidR="003B2FE7" w:rsidRDefault="003B2FE7"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7B5E" w14:textId="0AA16358" w:rsidR="003B2FE7"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3B2FE7" w:rsidRDefault="003B2FE7"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AF81A" w14:textId="77777777" w:rsidR="00DD6A5A" w:rsidRDefault="00DD6A5A">
      <w:pPr>
        <w:spacing w:line="240" w:lineRule="auto"/>
      </w:pPr>
      <w:r>
        <w:separator/>
      </w:r>
    </w:p>
  </w:footnote>
  <w:footnote w:type="continuationSeparator" w:id="0">
    <w:p w14:paraId="42BB3B74" w14:textId="77777777" w:rsidR="00DD6A5A" w:rsidRDefault="00DD6A5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02C6A"/>
    <w:multiLevelType w:val="hybridMultilevel"/>
    <w:tmpl w:val="D05A96D6"/>
    <w:lvl w:ilvl="0" w:tplc="1A6AB85A">
      <w:start w:val="1"/>
      <w:numFmt w:val="lowerRoman"/>
      <w:lvlText w:val="%1."/>
      <w:lvlJc w:val="left"/>
      <w:pPr>
        <w:ind w:left="818" w:hanging="720"/>
      </w:pPr>
      <w:rPr>
        <w:rFonts w:eastAsia="Times New Roman" w:hint="default"/>
      </w:rPr>
    </w:lvl>
    <w:lvl w:ilvl="1" w:tplc="04090019" w:tentative="1">
      <w:start w:val="1"/>
      <w:numFmt w:val="lowerLetter"/>
      <w:lvlText w:val="%2)"/>
      <w:lvlJc w:val="left"/>
      <w:pPr>
        <w:ind w:left="978" w:hanging="440"/>
      </w:pPr>
    </w:lvl>
    <w:lvl w:ilvl="2" w:tplc="0409001B" w:tentative="1">
      <w:start w:val="1"/>
      <w:numFmt w:val="lowerRoman"/>
      <w:lvlText w:val="%3."/>
      <w:lvlJc w:val="right"/>
      <w:pPr>
        <w:ind w:left="1418" w:hanging="440"/>
      </w:pPr>
    </w:lvl>
    <w:lvl w:ilvl="3" w:tplc="0409000F" w:tentative="1">
      <w:start w:val="1"/>
      <w:numFmt w:val="decimal"/>
      <w:lvlText w:val="%4."/>
      <w:lvlJc w:val="left"/>
      <w:pPr>
        <w:ind w:left="1858" w:hanging="440"/>
      </w:pPr>
    </w:lvl>
    <w:lvl w:ilvl="4" w:tplc="04090019" w:tentative="1">
      <w:start w:val="1"/>
      <w:numFmt w:val="lowerLetter"/>
      <w:lvlText w:val="%5)"/>
      <w:lvlJc w:val="left"/>
      <w:pPr>
        <w:ind w:left="2298" w:hanging="440"/>
      </w:pPr>
    </w:lvl>
    <w:lvl w:ilvl="5" w:tplc="0409001B" w:tentative="1">
      <w:start w:val="1"/>
      <w:numFmt w:val="lowerRoman"/>
      <w:lvlText w:val="%6."/>
      <w:lvlJc w:val="right"/>
      <w:pPr>
        <w:ind w:left="2738" w:hanging="440"/>
      </w:pPr>
    </w:lvl>
    <w:lvl w:ilvl="6" w:tplc="0409000F" w:tentative="1">
      <w:start w:val="1"/>
      <w:numFmt w:val="decimal"/>
      <w:lvlText w:val="%7."/>
      <w:lvlJc w:val="left"/>
      <w:pPr>
        <w:ind w:left="3178" w:hanging="440"/>
      </w:pPr>
    </w:lvl>
    <w:lvl w:ilvl="7" w:tplc="04090019" w:tentative="1">
      <w:start w:val="1"/>
      <w:numFmt w:val="lowerLetter"/>
      <w:lvlText w:val="%8)"/>
      <w:lvlJc w:val="left"/>
      <w:pPr>
        <w:ind w:left="3618" w:hanging="440"/>
      </w:pPr>
    </w:lvl>
    <w:lvl w:ilvl="8" w:tplc="0409001B" w:tentative="1">
      <w:start w:val="1"/>
      <w:numFmt w:val="lowerRoman"/>
      <w:lvlText w:val="%9."/>
      <w:lvlJc w:val="right"/>
      <w:pPr>
        <w:ind w:left="4058" w:hanging="440"/>
      </w:pPr>
    </w:lvl>
  </w:abstractNum>
  <w:num w:numId="1" w16cid:durableId="1073696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A4CE8"/>
    <w:rsid w:val="002663E6"/>
    <w:rsid w:val="00371607"/>
    <w:rsid w:val="003A6B80"/>
    <w:rsid w:val="003B2FE7"/>
    <w:rsid w:val="003D447D"/>
    <w:rsid w:val="003D47DD"/>
    <w:rsid w:val="0041601C"/>
    <w:rsid w:val="004715C2"/>
    <w:rsid w:val="004B5CBB"/>
    <w:rsid w:val="004E11D4"/>
    <w:rsid w:val="00514462"/>
    <w:rsid w:val="005520ED"/>
    <w:rsid w:val="00571976"/>
    <w:rsid w:val="005A0D0D"/>
    <w:rsid w:val="00685D31"/>
    <w:rsid w:val="006912BF"/>
    <w:rsid w:val="006A41D0"/>
    <w:rsid w:val="006B08D5"/>
    <w:rsid w:val="006C0AB0"/>
    <w:rsid w:val="00766282"/>
    <w:rsid w:val="007952AE"/>
    <w:rsid w:val="007D0B9E"/>
    <w:rsid w:val="00804498"/>
    <w:rsid w:val="008C1756"/>
    <w:rsid w:val="00914C56"/>
    <w:rsid w:val="00950729"/>
    <w:rsid w:val="00961626"/>
    <w:rsid w:val="00981292"/>
    <w:rsid w:val="009854A9"/>
    <w:rsid w:val="00996E20"/>
    <w:rsid w:val="009A1E15"/>
    <w:rsid w:val="009E033F"/>
    <w:rsid w:val="009F5338"/>
    <w:rsid w:val="00A3631D"/>
    <w:rsid w:val="00BB6328"/>
    <w:rsid w:val="00C47E6E"/>
    <w:rsid w:val="00C83EC2"/>
    <w:rsid w:val="00D65199"/>
    <w:rsid w:val="00D8098C"/>
    <w:rsid w:val="00DD6A5A"/>
    <w:rsid w:val="00ED48A3"/>
    <w:rsid w:val="00EF4B94"/>
    <w:rsid w:val="00F5127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List Paragraph"/>
    <w:basedOn w:val="a"/>
    <w:uiPriority w:val="34"/>
    <w:qFormat/>
    <w:rsid w:val="009F5338"/>
    <w:pPr>
      <w:ind w:firstLineChars="200" w:firstLine="420"/>
    </w:pPr>
  </w:style>
  <w:style w:type="paragraph" w:styleId="a8">
    <w:name w:val="Normal (Web)"/>
    <w:basedOn w:val="a"/>
    <w:uiPriority w:val="99"/>
    <w:semiHidden/>
    <w:unhideWhenUsed/>
    <w:rsid w:val="00F5127A"/>
    <w:rPr>
      <w:rFonts w:ascii="Times New Roman" w:hAnsi="Times New Roman" w:cs="Times New Roman"/>
      <w:sz w:val="24"/>
      <w:szCs w:val="24"/>
    </w:rPr>
  </w:style>
  <w:style w:type="paragraph" w:styleId="a9">
    <w:name w:val="header"/>
    <w:basedOn w:val="a"/>
    <w:link w:val="aa"/>
    <w:uiPriority w:val="99"/>
    <w:unhideWhenUsed/>
    <w:rsid w:val="00371607"/>
    <w:pPr>
      <w:tabs>
        <w:tab w:val="center" w:pos="4153"/>
        <w:tab w:val="right" w:pos="8306"/>
      </w:tabs>
      <w:snapToGrid w:val="0"/>
      <w:spacing w:line="240" w:lineRule="auto"/>
      <w:jc w:val="center"/>
    </w:pPr>
    <w:rPr>
      <w:sz w:val="18"/>
      <w:szCs w:val="18"/>
    </w:rPr>
  </w:style>
  <w:style w:type="character" w:customStyle="1" w:styleId="aa">
    <w:name w:val="页眉 字符"/>
    <w:basedOn w:val="a0"/>
    <w:link w:val="a9"/>
    <w:uiPriority w:val="99"/>
    <w:rsid w:val="00371607"/>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8</Pages>
  <Words>3141</Words>
  <Characters>18690</Characters>
  <Application>Microsoft Office Word</Application>
  <DocSecurity>0</DocSecurity>
  <Lines>747</Lines>
  <Paragraphs>335</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21496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Xuan Sun</cp:lastModifiedBy>
  <cp:revision>6</cp:revision>
  <cp:lastPrinted>2021-09-28T07:08:00Z</cp:lastPrinted>
  <dcterms:created xsi:type="dcterms:W3CDTF">2022-04-07T08:09:00Z</dcterms:created>
  <dcterms:modified xsi:type="dcterms:W3CDTF">2026-04-08T15:48:00Z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