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555621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210"/>
        <w:jc w:val="left"/>
        <w:textAlignment w:val="auto"/>
        <w:rPr>
          <w:rFonts w:hint="default" w:ascii="Times New Roman" w:hAnsi="Times New Roman" w:eastAsia="宋体" w:cs="Times New Roman"/>
          <w:b/>
          <w:bCs/>
          <w:color w:val="000000" w:themeColor="text1"/>
          <w:kern w:val="0"/>
          <w:sz w:val="20"/>
          <w:szCs w:val="20"/>
          <w:lang w:bidi="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kern w:val="0"/>
          <w:sz w:val="20"/>
          <w:szCs w:val="20"/>
          <w:lang w:bidi="ar"/>
          <w14:textFill>
            <w14:solidFill>
              <w14:schemeClr w14:val="tx1"/>
            </w14:solidFill>
          </w14:textFill>
        </w:rPr>
        <w:t>Supplementary Materials</w:t>
      </w:r>
    </w:p>
    <w:p w14:paraId="216E43D3">
      <w:pPr>
        <w:widowControl/>
        <w:shd w:val="clear" w:color="auto" w:fill="FFFFFF"/>
        <w:spacing w:after="210"/>
        <w:jc w:val="left"/>
        <w:rPr>
          <w:rFonts w:hint="default" w:ascii="Times New Roman" w:hAnsi="Times New Roman" w:eastAsia="宋体" w:cs="Times New Roman"/>
          <w:color w:val="000000" w:themeColor="text1"/>
          <w:kern w:val="0"/>
          <w:sz w:val="18"/>
          <w:szCs w:val="18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kern w:val="0"/>
          <w:sz w:val="18"/>
          <w:szCs w:val="18"/>
          <w:lang w:val="en-US" w:eastAsia="zh-CN" w:bidi="ar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6332220</wp:posOffset>
            </wp:positionV>
            <wp:extent cx="6391275" cy="2030095"/>
            <wp:effectExtent l="0" t="0" r="9525" b="1905"/>
            <wp:wrapTopAndBottom/>
            <wp:docPr id="8" name="图片 8" descr="Supplementary 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upplementary Figure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color w:val="000000" w:themeColor="text1"/>
          <w:sz w:val="18"/>
          <w:szCs w:val="1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59055</wp:posOffset>
            </wp:positionV>
            <wp:extent cx="5627370" cy="5441950"/>
            <wp:effectExtent l="0" t="0" r="11430" b="6350"/>
            <wp:wrapTopAndBottom/>
            <wp:docPr id="2" name="图片 2" descr="Supplementary Figure 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ry Figure 1 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7370" cy="544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kern w:val="0"/>
          <w:sz w:val="18"/>
          <w:szCs w:val="18"/>
          <w:lang w:bidi="ar"/>
          <w14:textFill>
            <w14:solidFill>
              <w14:schemeClr w14:val="tx1"/>
            </w14:solidFill>
          </w14:textFill>
        </w:rPr>
        <w:t>Supplementary Figure 1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18"/>
          <w:szCs w:val="18"/>
          <w:lang w:bidi="ar"/>
          <w14:textFill>
            <w14:solidFill>
              <w14:schemeClr w14:val="tx1"/>
            </w14:solidFill>
          </w14:textFill>
        </w:rPr>
        <w:t xml:space="preserve"> Baseline and therapeutic characteristics of subgroups. ECOG PS Eastern Cooperative Oncology Group performance status, CR complete response, PR partial response, TFI therapy-free interval, PCI prophylactic cranial irradiation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18"/>
          <w:szCs w:val="18"/>
          <w:lang w:val="en-US" w:eastAsia="zh-CN" w:bidi="ar"/>
          <w14:textFill>
            <w14:solidFill>
              <w14:schemeClr w14:val="tx1"/>
            </w14:solidFill>
          </w14:textFill>
        </w:rPr>
        <w:t>.</w:t>
      </w:r>
    </w:p>
    <w:p w14:paraId="1AE32600">
      <w:pPr>
        <w:widowControl/>
        <w:shd w:val="clear" w:color="auto" w:fill="FFFFFF"/>
        <w:spacing w:after="210"/>
        <w:jc w:val="left"/>
        <w:rPr>
          <w:rFonts w:hint="default" w:ascii="Times New Roman" w:hAnsi="Times New Roman" w:eastAsia="宋体" w:cs="Times New Roman"/>
          <w:color w:val="000000" w:themeColor="text1"/>
          <w:kern w:val="0"/>
          <w:sz w:val="18"/>
          <w:szCs w:val="18"/>
          <w:lang w:val="en-US" w:eastAsia="zh-CN" w:bidi="ar"/>
          <w14:textFill>
            <w14:solidFill>
              <w14:schemeClr w14:val="tx1"/>
            </w14:solidFill>
          </w14:textFill>
        </w:rPr>
      </w:pPr>
    </w:p>
    <w:p w14:paraId="129FF854">
      <w:pPr>
        <w:widowControl/>
        <w:shd w:val="clear" w:color="auto" w:fill="FFFFFF"/>
        <w:spacing w:after="210"/>
        <w:jc w:val="left"/>
        <w:rPr>
          <w:rFonts w:hint="default" w:ascii="Times New Roman" w:hAnsi="Times New Roman" w:eastAsia="宋体" w:cs="Times New Roman"/>
          <w:color w:val="000000" w:themeColor="text1"/>
          <w:kern w:val="0"/>
          <w:sz w:val="18"/>
          <w:szCs w:val="18"/>
          <w:lang w:bidi="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kern w:val="0"/>
          <w:sz w:val="18"/>
          <w:szCs w:val="18"/>
          <w:lang w:bidi="ar"/>
          <w14:textFill>
            <w14:solidFill>
              <w14:schemeClr w14:val="tx1"/>
            </w14:solidFill>
          </w14:textFill>
        </w:rPr>
        <w:t xml:space="preserve">Supplementary Figure 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kern w:val="0"/>
          <w:sz w:val="18"/>
          <w:szCs w:val="18"/>
          <w:lang w:val="en-US" w:eastAsia="zh-CN" w:bidi="ar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kern w:val="0"/>
          <w:sz w:val="18"/>
          <w:szCs w:val="18"/>
          <w:lang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18"/>
          <w:szCs w:val="18"/>
          <w:lang w:bidi="ar"/>
          <w14:textFill>
            <w14:solidFill>
              <w14:schemeClr w14:val="tx1"/>
            </w14:solidFill>
          </w14:textFill>
        </w:rPr>
        <w:t xml:space="preserve">Associations of PFS2/PFS1 with treatment strategies and response. (A) Correlation between PFS2/PFS1 and overall survival. (B) Survival comparison stratified by median PFS2/PFS1. (C) Distribution of PFS2/PFS1 across rechallenge and non-rechallenge cohorts. </w:t>
      </w:r>
    </w:p>
    <w:p w14:paraId="7BA0B653">
      <w:pPr>
        <w:widowControl/>
        <w:shd w:val="clear" w:color="auto" w:fill="FFFFFF"/>
        <w:spacing w:after="210"/>
        <w:jc w:val="left"/>
        <w:rPr>
          <w:rFonts w:hint="eastAsia" w:ascii="Times New Roman" w:hAnsi="Times New Roman" w:eastAsia="宋体" w:cs="Times New Roman"/>
          <w:color w:val="000000" w:themeColor="text1"/>
          <w:kern w:val="0"/>
          <w:sz w:val="18"/>
          <w:szCs w:val="18"/>
          <w:lang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kern w:val="0"/>
          <w:sz w:val="18"/>
          <w:szCs w:val="18"/>
          <w:lang w:eastAsia="zh-CN" w:bidi="ar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26735" cy="6395720"/>
            <wp:effectExtent l="0" t="0" r="12065" b="5080"/>
            <wp:docPr id="4" name="图片 4" descr="Supplementary 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upplementary Fig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639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136D2">
      <w:pPr>
        <w:widowControl/>
        <w:shd w:val="clear" w:color="auto" w:fill="FFFFFF"/>
        <w:spacing w:after="210"/>
        <w:jc w:val="left"/>
        <w:rPr>
          <w:rFonts w:hint="default" w:ascii="Times New Roman" w:hAnsi="Times New Roman" w:eastAsia="宋体" w:cs="Times New Roman"/>
          <w:color w:val="000000" w:themeColor="text1"/>
          <w:kern w:val="0"/>
          <w:sz w:val="18"/>
          <w:szCs w:val="18"/>
          <w:lang w:bidi="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kern w:val="0"/>
          <w:sz w:val="18"/>
          <w:szCs w:val="18"/>
          <w:lang w:bidi="ar"/>
          <w14:textFill>
            <w14:solidFill>
              <w14:schemeClr w14:val="tx1"/>
            </w14:solidFill>
          </w14:textFill>
        </w:rPr>
        <w:t xml:space="preserve">Supplementary Figure 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kern w:val="0"/>
          <w:sz w:val="18"/>
          <w:szCs w:val="18"/>
          <w:lang w:val="en-US" w:eastAsia="zh-CN" w:bidi="ar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18"/>
          <w:szCs w:val="18"/>
          <w:lang w:bidi="ar"/>
          <w14:textFill>
            <w14:solidFill>
              <w14:schemeClr w14:val="tx1"/>
            </w14:solidFill>
          </w14:textFill>
        </w:rPr>
        <w:t xml:space="preserve"> Exploratory subgroup analysis of OS in the rechallenge and other-treatment cohorts.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 w:val="18"/>
          <w:szCs w:val="18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18"/>
          <w:szCs w:val="18"/>
          <w:lang w:bidi="ar"/>
          <w14:textFill>
            <w14:solidFill>
              <w14:schemeClr w14:val="tx1"/>
            </w14:solidFill>
          </w14:textFill>
        </w:rPr>
        <w:t>ECOG PS Eastern Cooperative Oncology Group performance status, CR complete response, PR partial response, TFI therapy-free interval, PCI prophylactic cranial irradiation</w:t>
      </w:r>
    </w:p>
    <w:p w14:paraId="3195060E">
      <w:pPr>
        <w:widowControl/>
        <w:shd w:val="clear" w:color="auto" w:fill="FFFFFF"/>
        <w:spacing w:after="210"/>
        <w:jc w:val="left"/>
        <w:rPr>
          <w:rFonts w:hint="default" w:ascii="Times New Roman" w:hAnsi="Times New Roman" w:eastAsia="宋体" w:cs="Times New Roman"/>
          <w:color w:val="000000" w:themeColor="text1"/>
          <w:kern w:val="0"/>
          <w:sz w:val="18"/>
          <w:szCs w:val="18"/>
          <w:lang w:bidi="ar"/>
          <w14:textFill>
            <w14:solidFill>
              <w14:schemeClr w14:val="tx1"/>
            </w14:solidFill>
          </w14:textFill>
        </w:rPr>
      </w:pPr>
    </w:p>
    <w:p w14:paraId="14834F8F">
      <w:pPr>
        <w:widowControl/>
        <w:shd w:val="clear" w:color="auto" w:fill="FFFFFF"/>
        <w:spacing w:after="210"/>
        <w:jc w:val="left"/>
        <w:rPr>
          <w:rFonts w:hint="default" w:ascii="Times New Roman" w:hAnsi="Times New Roman" w:eastAsia="宋体" w:cs="Times New Roman"/>
          <w:color w:val="000000" w:themeColor="text1"/>
          <w:kern w:val="0"/>
          <w:sz w:val="18"/>
          <w:szCs w:val="18"/>
          <w:lang w:bidi="ar"/>
          <w14:textFill>
            <w14:solidFill>
              <w14:schemeClr w14:val="tx1"/>
            </w14:solidFill>
          </w14:textFill>
        </w:rPr>
      </w:pPr>
    </w:p>
    <w:p w14:paraId="1805C98C">
      <w:pPr>
        <w:widowControl/>
        <w:shd w:val="clear" w:color="auto" w:fill="FFFFFF"/>
        <w:spacing w:after="210"/>
        <w:jc w:val="left"/>
        <w:rPr>
          <w:rFonts w:hint="default" w:ascii="Times New Roman" w:hAnsi="Times New Roman" w:eastAsia="宋体" w:cs="Times New Roman"/>
          <w:color w:val="000000" w:themeColor="text1"/>
          <w:kern w:val="0"/>
          <w:sz w:val="18"/>
          <w:szCs w:val="18"/>
          <w:lang w:bidi="ar"/>
          <w14:textFill>
            <w14:solidFill>
              <w14:schemeClr w14:val="tx1"/>
            </w14:solidFill>
          </w14:textFill>
        </w:rPr>
      </w:pPr>
    </w:p>
    <w:p w14:paraId="495B182C">
      <w:pPr>
        <w:widowControl/>
        <w:shd w:val="clear" w:color="auto" w:fill="FFFFFF"/>
        <w:spacing w:after="210"/>
        <w:jc w:val="left"/>
        <w:rPr>
          <w:rFonts w:hint="default" w:ascii="Times New Roman" w:hAnsi="Times New Roman" w:eastAsia="宋体" w:cs="Times New Roman"/>
          <w:color w:val="000000" w:themeColor="text1"/>
          <w:kern w:val="0"/>
          <w:sz w:val="18"/>
          <w:szCs w:val="18"/>
          <w:lang w:bidi="ar"/>
          <w14:textFill>
            <w14:solidFill>
              <w14:schemeClr w14:val="tx1"/>
            </w14:solidFill>
          </w14:textFill>
        </w:rPr>
      </w:pPr>
    </w:p>
    <w:p w14:paraId="1412FD7B">
      <w:pPr>
        <w:widowControl/>
        <w:shd w:val="clear" w:color="auto" w:fill="FFFFFF"/>
        <w:spacing w:after="210"/>
        <w:jc w:val="left"/>
        <w:rPr>
          <w:rFonts w:hint="eastAsia" w:ascii="Times New Roman" w:hAnsi="Times New Roman" w:eastAsia="宋体" w:cs="Times New Roman"/>
          <w:color w:val="000000" w:themeColor="text1"/>
          <w:kern w:val="0"/>
          <w:sz w:val="18"/>
          <w:szCs w:val="18"/>
          <w:lang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kern w:val="0"/>
          <w:sz w:val="18"/>
          <w:szCs w:val="18"/>
          <w:lang w:eastAsia="zh-CN" w:bidi="ar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512435" cy="5960745"/>
            <wp:effectExtent l="0" t="0" r="12065" b="8255"/>
            <wp:docPr id="5" name="图片 5" descr="Supplementary Fig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upplementary Fig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2435" cy="596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14B63">
      <w:pPr>
        <w:widowControl/>
        <w:shd w:val="clear" w:color="auto" w:fill="FFFFFF"/>
        <w:spacing w:after="210"/>
        <w:jc w:val="left"/>
        <w:rPr>
          <w:rFonts w:hint="default" w:ascii="Times New Roman" w:hAnsi="Times New Roman" w:eastAsia="宋体" w:cs="Times New Roman"/>
          <w:color w:val="000000" w:themeColor="text1"/>
          <w:kern w:val="0"/>
          <w:sz w:val="18"/>
          <w:szCs w:val="18"/>
          <w:lang w:bidi="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kern w:val="0"/>
          <w:sz w:val="18"/>
          <w:szCs w:val="18"/>
          <w:lang w:bidi="ar"/>
          <w14:textFill>
            <w14:solidFill>
              <w14:schemeClr w14:val="tx1"/>
            </w14:solidFill>
          </w14:textFill>
        </w:rPr>
        <w:t xml:space="preserve">Supplementary Figure 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kern w:val="0"/>
          <w:sz w:val="18"/>
          <w:szCs w:val="18"/>
          <w:lang w:val="en-US" w:eastAsia="zh-CN" w:bidi="ar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18"/>
          <w:szCs w:val="18"/>
          <w:lang w:bidi="ar"/>
          <w14:textFill>
            <w14:solidFill>
              <w14:schemeClr w14:val="tx1"/>
            </w14:solidFill>
          </w14:textFill>
        </w:rPr>
        <w:t xml:space="preserve"> Exploratory subgroup analysis of PFS in the rechallenge and other-treatment cohorts. ECOG PS Eastern Cooperative Oncology Group performance status, CR complete response, PR partial response, TFI therapy-free interval, PCI prophylactic cranial irradiation</w:t>
      </w:r>
    </w:p>
    <w:p w14:paraId="2234F5DC">
      <w:pPr>
        <w:widowControl/>
        <w:shd w:val="clear" w:color="auto" w:fill="FFFFFF"/>
        <w:spacing w:after="210"/>
        <w:jc w:val="left"/>
        <w:rPr>
          <w:rFonts w:hint="default" w:ascii="Times New Roman" w:hAnsi="Times New Roman" w:eastAsia="宋体" w:cs="Times New Roman"/>
          <w:color w:val="000000" w:themeColor="text1"/>
          <w:kern w:val="0"/>
          <w:sz w:val="18"/>
          <w:szCs w:val="18"/>
          <w:lang w:bidi="ar"/>
          <w14:textFill>
            <w14:solidFill>
              <w14:schemeClr w14:val="tx1"/>
            </w14:solidFill>
          </w14:textFill>
        </w:rPr>
      </w:pPr>
    </w:p>
    <w:p w14:paraId="342E87C0">
      <w:pPr>
        <w:widowControl/>
        <w:shd w:val="clear" w:color="auto" w:fill="FFFFFF"/>
        <w:spacing w:after="210"/>
        <w:jc w:val="left"/>
        <w:rPr>
          <w:rFonts w:hint="default" w:ascii="Times New Roman" w:hAnsi="Times New Roman" w:eastAsia="宋体" w:cs="Times New Roman"/>
          <w:color w:val="000000" w:themeColor="text1"/>
          <w:kern w:val="0"/>
          <w:sz w:val="18"/>
          <w:szCs w:val="18"/>
          <w:lang w:bidi="ar"/>
          <w14:textFill>
            <w14:solidFill>
              <w14:schemeClr w14:val="tx1"/>
            </w14:solidFill>
          </w14:textFill>
        </w:rPr>
      </w:pPr>
    </w:p>
    <w:p w14:paraId="504A8E5E">
      <w:pPr>
        <w:widowControl/>
        <w:shd w:val="clear" w:color="auto" w:fill="FFFFFF"/>
        <w:spacing w:after="210"/>
        <w:jc w:val="left"/>
        <w:rPr>
          <w:rFonts w:hint="default" w:ascii="Times New Roman" w:hAnsi="Times New Roman" w:eastAsia="宋体" w:cs="Times New Roman"/>
          <w:color w:val="000000" w:themeColor="text1"/>
          <w:kern w:val="0"/>
          <w:sz w:val="18"/>
          <w:szCs w:val="18"/>
          <w:lang w:bidi="ar"/>
          <w14:textFill>
            <w14:solidFill>
              <w14:schemeClr w14:val="tx1"/>
            </w14:solidFill>
          </w14:textFill>
        </w:rPr>
      </w:pPr>
    </w:p>
    <w:p w14:paraId="63F6005E">
      <w:pPr>
        <w:widowControl/>
        <w:shd w:val="clear" w:color="auto" w:fill="FFFFFF"/>
        <w:spacing w:after="210"/>
        <w:jc w:val="left"/>
        <w:rPr>
          <w:rFonts w:hint="default" w:ascii="Times New Roman" w:hAnsi="Times New Roman" w:eastAsia="宋体" w:cs="Times New Roman"/>
          <w:color w:val="000000" w:themeColor="text1"/>
          <w:kern w:val="0"/>
          <w:sz w:val="18"/>
          <w:szCs w:val="18"/>
          <w:lang w:bidi="ar"/>
          <w14:textFill>
            <w14:solidFill>
              <w14:schemeClr w14:val="tx1"/>
            </w14:solidFill>
          </w14:textFill>
        </w:rPr>
      </w:pPr>
    </w:p>
    <w:p w14:paraId="391FC820">
      <w:pPr>
        <w:widowControl/>
        <w:shd w:val="clear" w:color="auto" w:fill="FFFFFF"/>
        <w:spacing w:after="210"/>
        <w:jc w:val="left"/>
        <w:rPr>
          <w:rFonts w:hint="default" w:ascii="Times New Roman" w:hAnsi="Times New Roman" w:eastAsia="宋体" w:cs="Times New Roman"/>
          <w:color w:val="000000" w:themeColor="text1"/>
          <w:kern w:val="0"/>
          <w:sz w:val="18"/>
          <w:szCs w:val="18"/>
          <w:lang w:bidi="ar"/>
          <w14:textFill>
            <w14:solidFill>
              <w14:schemeClr w14:val="tx1"/>
            </w14:solidFill>
          </w14:textFill>
        </w:rPr>
      </w:pPr>
    </w:p>
    <w:p w14:paraId="78A6B695">
      <w:pPr>
        <w:widowControl/>
        <w:shd w:val="clear" w:color="auto" w:fill="FFFFFF"/>
        <w:spacing w:after="210"/>
        <w:jc w:val="left"/>
        <w:rPr>
          <w:rFonts w:hint="default" w:ascii="Times New Roman" w:hAnsi="Times New Roman" w:eastAsia="宋体" w:cs="Times New Roman"/>
          <w:color w:val="000000" w:themeColor="text1"/>
          <w:kern w:val="0"/>
          <w:sz w:val="18"/>
          <w:szCs w:val="18"/>
          <w:lang w:bidi="ar"/>
          <w14:textFill>
            <w14:solidFill>
              <w14:schemeClr w14:val="tx1"/>
            </w14:solidFill>
          </w14:textFill>
        </w:rPr>
      </w:pPr>
    </w:p>
    <w:p w14:paraId="47E61A32">
      <w:pPr>
        <w:widowControl/>
        <w:shd w:val="clear" w:color="auto" w:fill="FFFFFF"/>
        <w:spacing w:after="210"/>
        <w:jc w:val="left"/>
        <w:rPr>
          <w:rFonts w:hint="eastAsia" w:ascii="Times New Roman" w:hAnsi="Times New Roman" w:eastAsia="宋体" w:cs="Times New Roman"/>
          <w:color w:val="000000" w:themeColor="text1"/>
          <w:sz w:val="18"/>
          <w:szCs w:val="1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18"/>
          <w:szCs w:val="1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150" cy="6307455"/>
            <wp:effectExtent l="0" t="0" r="6350" b="4445"/>
            <wp:docPr id="6" name="图片 6" descr="Supplementary Fig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upplementary Fig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30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7CCF1">
      <w:pPr>
        <w:widowControl/>
        <w:shd w:val="clear" w:color="auto" w:fill="FFFFFF"/>
        <w:spacing w:after="210"/>
        <w:jc w:val="left"/>
        <w:rPr>
          <w:rFonts w:hint="eastAsia" w:ascii="Times New Roman" w:hAnsi="Times New Roman" w:eastAsia="宋体" w:cs="Times New Roman"/>
          <w:color w:val="000000" w:themeColor="text1"/>
          <w:kern w:val="0"/>
          <w:sz w:val="18"/>
          <w:szCs w:val="18"/>
          <w:lang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kern w:val="0"/>
          <w:sz w:val="18"/>
          <w:szCs w:val="18"/>
          <w:lang w:bidi="ar"/>
          <w14:textFill>
            <w14:solidFill>
              <w14:schemeClr w14:val="tx1"/>
            </w14:solidFill>
          </w14:textFill>
        </w:rPr>
        <w:t xml:space="preserve">Supplementary Figure 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kern w:val="0"/>
          <w:sz w:val="18"/>
          <w:szCs w:val="18"/>
          <w:lang w:val="en-US" w:eastAsia="zh-CN" w:bidi="ar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18"/>
          <w:szCs w:val="18"/>
          <w:lang w:bidi="ar"/>
          <w14:textFill>
            <w14:solidFill>
              <w14:schemeClr w14:val="tx1"/>
            </w14:solidFill>
          </w14:textFill>
        </w:rPr>
        <w:t xml:space="preserve"> Exploratory subgroup analysis of 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 w:val="18"/>
          <w:szCs w:val="18"/>
          <w:lang w:val="en-US" w:eastAsia="zh-CN" w:bidi="ar"/>
          <w14:textFill>
            <w14:solidFill>
              <w14:schemeClr w14:val="tx1"/>
            </w14:solidFill>
          </w14:textFill>
        </w:rPr>
        <w:t>OS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18"/>
          <w:szCs w:val="18"/>
          <w:lang w:bidi="ar"/>
          <w14:textFill>
            <w14:solidFill>
              <w14:schemeClr w14:val="tx1"/>
            </w14:solidFill>
          </w14:textFill>
        </w:rPr>
        <w:t xml:space="preserve"> in the EPEC+IO rechallenge and EPEC cohorts.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 w:val="18"/>
          <w:szCs w:val="18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18"/>
          <w:szCs w:val="18"/>
          <w:lang w:bidi="ar"/>
          <w14:textFill>
            <w14:solidFill>
              <w14:schemeClr w14:val="tx1"/>
            </w14:solidFill>
          </w14:textFill>
        </w:rPr>
        <w:t>ECOG PS Eastern Cooperative Oncology Group performance status, CR complete response, PR partial response, TFI therapy-free interval, PCI prophylactic cranial irradiation</w:t>
      </w:r>
    </w:p>
    <w:p w14:paraId="4217C896">
      <w:pPr>
        <w:widowControl/>
        <w:shd w:val="clear" w:color="auto" w:fill="FFFFFF"/>
        <w:spacing w:after="210"/>
        <w:jc w:val="left"/>
        <w:rPr>
          <w:rFonts w:hint="default" w:ascii="Times New Roman" w:hAnsi="Times New Roman" w:eastAsia="宋体" w:cs="Times New Roman"/>
          <w:color w:val="000000" w:themeColor="text1"/>
          <w:kern w:val="0"/>
          <w:sz w:val="18"/>
          <w:szCs w:val="18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kern w:val="0"/>
          <w:sz w:val="18"/>
          <w:szCs w:val="18"/>
          <w:lang w:eastAsia="zh-CN" w:bidi="ar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0</wp:posOffset>
            </wp:positionV>
            <wp:extent cx="5264150" cy="6307455"/>
            <wp:effectExtent l="0" t="0" r="6350" b="4445"/>
            <wp:wrapTopAndBottom/>
            <wp:docPr id="7" name="图片 7" descr="Supplementary Fig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upplementary Figure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30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kern w:val="0"/>
          <w:sz w:val="18"/>
          <w:szCs w:val="18"/>
          <w:lang w:bidi="ar"/>
          <w14:textFill>
            <w14:solidFill>
              <w14:schemeClr w14:val="tx1"/>
            </w14:solidFill>
          </w14:textFill>
        </w:rPr>
        <w:t xml:space="preserve">Supplementary Figure 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kern w:val="0"/>
          <w:sz w:val="18"/>
          <w:szCs w:val="18"/>
          <w:lang w:val="en-US" w:eastAsia="zh-CN" w:bidi="ar"/>
          <w14:textFill>
            <w14:solidFill>
              <w14:schemeClr w14:val="tx1"/>
            </w14:solidFill>
          </w14:textFill>
        </w:rPr>
        <w:t>6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18"/>
          <w:szCs w:val="18"/>
          <w:lang w:bidi="ar"/>
          <w14:textFill>
            <w14:solidFill>
              <w14:schemeClr w14:val="tx1"/>
            </w14:solidFill>
          </w14:textFill>
        </w:rPr>
        <w:t xml:space="preserve"> Exploratory subgroup analysis of 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 w:val="18"/>
          <w:szCs w:val="18"/>
          <w:lang w:val="en-US" w:eastAsia="zh-CN" w:bidi="ar"/>
          <w14:textFill>
            <w14:solidFill>
              <w14:schemeClr w14:val="tx1"/>
            </w14:solidFill>
          </w14:textFill>
        </w:rPr>
        <w:t>PFS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18"/>
          <w:szCs w:val="18"/>
          <w:lang w:bidi="ar"/>
          <w14:textFill>
            <w14:solidFill>
              <w14:schemeClr w14:val="tx1"/>
            </w14:solidFill>
          </w14:textFill>
        </w:rPr>
        <w:t xml:space="preserve"> in the EPEC+IO rechallenge and EPEC cohorts.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 w:val="18"/>
          <w:szCs w:val="18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18"/>
          <w:szCs w:val="18"/>
          <w:lang w:bidi="ar"/>
          <w14:textFill>
            <w14:solidFill>
              <w14:schemeClr w14:val="tx1"/>
            </w14:solidFill>
          </w14:textFill>
        </w:rPr>
        <w:t>ECOG PS Eastern Cooperative Oncology Group performance status, CR complete response, PR partial response, TFI therapy-free interval, PCI prophylactic cranial irradiation</w:t>
      </w:r>
    </w:p>
    <w:p w14:paraId="25938BEA">
      <w:pPr>
        <w:widowControl/>
        <w:shd w:val="clear" w:color="auto" w:fill="FFFFFF"/>
        <w:spacing w:after="210"/>
        <w:jc w:val="left"/>
        <w:rPr>
          <w:rFonts w:hint="default" w:ascii="Times New Roman" w:hAnsi="Times New Roman" w:eastAsia="宋体" w:cs="Times New Roman"/>
          <w:color w:val="000000" w:themeColor="text1"/>
          <w:kern w:val="0"/>
          <w:sz w:val="18"/>
          <w:szCs w:val="18"/>
          <w:lang w:bidi="ar"/>
          <w14:textFill>
            <w14:solidFill>
              <w14:schemeClr w14:val="tx1"/>
            </w14:solidFill>
          </w14:textFill>
        </w:rPr>
      </w:pPr>
    </w:p>
    <w:p w14:paraId="64AE45C4">
      <w:pPr>
        <w:widowControl/>
        <w:shd w:val="clear" w:color="auto" w:fill="FFFFFF"/>
        <w:spacing w:after="210"/>
        <w:jc w:val="left"/>
        <w:rPr>
          <w:rFonts w:hint="default" w:ascii="Times New Roman" w:hAnsi="Times New Roman" w:eastAsia="宋体" w:cs="Times New Roman"/>
          <w:color w:val="000000" w:themeColor="text1"/>
          <w:kern w:val="0"/>
          <w:sz w:val="18"/>
          <w:szCs w:val="18"/>
          <w:lang w:bidi="ar"/>
          <w14:textFill>
            <w14:solidFill>
              <w14:schemeClr w14:val="tx1"/>
            </w14:solidFill>
          </w14:textFill>
        </w:rPr>
      </w:pPr>
    </w:p>
    <w:p w14:paraId="2B61B693">
      <w:pPr>
        <w:widowControl/>
        <w:shd w:val="clear" w:color="auto" w:fill="FFFFFF"/>
        <w:spacing w:after="210"/>
        <w:jc w:val="left"/>
        <w:rPr>
          <w:rFonts w:hint="default" w:ascii="Times New Roman" w:hAnsi="Times New Roman" w:eastAsia="宋体" w:cs="Times New Roman"/>
          <w:color w:val="000000" w:themeColor="text1"/>
          <w:kern w:val="0"/>
          <w:sz w:val="18"/>
          <w:szCs w:val="18"/>
          <w:lang w:val="en-US" w:eastAsia="zh-CN" w:bidi="ar"/>
          <w14:textFill>
            <w14:solidFill>
              <w14:schemeClr w14:val="tx1"/>
            </w14:solidFill>
          </w14:textFill>
        </w:rPr>
      </w:pPr>
    </w:p>
    <w:p w14:paraId="4903C9A4">
      <w:pPr>
        <w:widowControl/>
        <w:shd w:val="clear" w:color="auto" w:fill="FFFFFF"/>
        <w:spacing w:after="210"/>
        <w:jc w:val="left"/>
        <w:rPr>
          <w:rFonts w:hint="eastAsia" w:ascii="Times New Roman" w:hAnsi="Times New Roman" w:eastAsia="宋体" w:cs="Times New Roman"/>
          <w:color w:val="000000" w:themeColor="text1"/>
          <w:kern w:val="0"/>
          <w:sz w:val="18"/>
          <w:szCs w:val="18"/>
          <w:lang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kern w:val="0"/>
          <w:sz w:val="18"/>
          <w:szCs w:val="18"/>
          <w:lang w:eastAsia="zh-CN" w:bidi="ar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3515" cy="5721350"/>
            <wp:effectExtent l="0" t="0" r="6985" b="6350"/>
            <wp:docPr id="3" name="图片 3" descr="Supplementary Fig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plementary Figure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572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EA53984">
      <w:pPr>
        <w:rPr>
          <w:sz w:val="18"/>
          <w:szCs w:val="18"/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kern w:val="0"/>
          <w:sz w:val="18"/>
          <w:szCs w:val="18"/>
          <w:lang w:bidi="ar"/>
          <w14:textFill>
            <w14:solidFill>
              <w14:schemeClr w14:val="tx1"/>
            </w14:solidFill>
          </w14:textFill>
        </w:rPr>
        <w:t>Supplementary Figure 7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kern w:val="0"/>
          <w:sz w:val="18"/>
          <w:szCs w:val="18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18"/>
          <w:szCs w:val="18"/>
          <w:lang w:bidi="ar"/>
          <w14:textFill>
            <w14:solidFill>
              <w14:schemeClr w14:val="tx1"/>
            </w14:solidFill>
          </w14:textFill>
        </w:rPr>
        <w:t>Predictive performance of each algorithm, summarized by the area under the receiver operating characteristic curve (AUC) and the concordance index (C-index).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8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4C1183"/>
    <w:rsid w:val="034C1183"/>
    <w:rsid w:val="1A1D43F2"/>
    <w:rsid w:val="33B66332"/>
    <w:rsid w:val="3E204FFC"/>
    <w:rsid w:val="51120FBB"/>
    <w:rsid w:val="789B1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232</Words>
  <Characters>1605</Characters>
  <Lines>0</Lines>
  <Paragraphs>0</Paragraphs>
  <TotalTime>4</TotalTime>
  <ScaleCrop>false</ScaleCrop>
  <LinksUpToDate>false</LinksUpToDate>
  <CharactersWithSpaces>1830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2025-12-26T10:08:00Z</dcterms:created>
  <dc:creator>魏中慧</dc:creator>
  <cp:lastModifiedBy>魏中慧</cp:lastModifiedBy>
  <dcterms:modified xsi:type="dcterms:W3CDTF">2026-02-26T14:40:18Z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8F2CA4768E9B4B78BED776E5329D30CD_13</vt:lpwstr>
  </property>
  <property fmtid="{D5CDD505-2E9C-101B-9397-08002B2CF9AE}" pid="4" name="KSOTemplateDocerSaveRecord">
    <vt:lpwstr>eyJoZGlkIjoiMmQ5ZDQ1MDg3NGE1ZGY5OGQxNWVjMjllMTUyNjgyYmMiLCJ1c2VySWQiOiIxNjIwMDA2MzYxIn0=</vt:lpwstr>
  </property>
</Properties>
</file>