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28"/>
          <w:szCs w:val="28"/>
        </w:rPr>
        <w:t xml:space="preserve">Supplementary Materials</w:t>
      </w:r>
    </w:p>
    <w:p>
      <w:pPr>
        <w:spacing w:after="100"/>
        <w:jc w:val="center"/>
      </w:pPr>
      <w:r>
        <w:rPr>
          <w:i/>
          <w:iCs/>
          <w:sz w:val="22"/>
          <w:szCs w:val="22"/>
        </w:rPr>
        <w:t xml:space="preserve">Markov Degradation Modelling for Fleet-Scale Substation Preservation: Integrating CIGRE TB 761 with Multi-Hazard Environmental Stressors Across Eighteen OECD Countries</w:t>
      </w:r>
    </w:p>
    <w:p>
      <w:pPr>
        <w:spacing w:after="60"/>
        <w:jc w:val="center"/>
      </w:pPr>
      <w:r>
        <w:rPr>
          <w:i/>
          <w:iCs/>
          <w:sz w:val="20"/>
          <w:szCs w:val="20"/>
        </w:rPr>
        <w:t xml:space="preserve">Cedric Bérard*†, Gianluca Raucci†, Prof. Dr. Ignacio Menendez Pidal PTU (Escuela de Caminos, UPM), Jesús Pérez Blázquez†, Isabel Prat†</w:t>
      </w:r>
    </w:p>
    <w:p>
      <w:pPr>
        <w:spacing w:after="60"/>
        <w:jc w:val="center"/>
      </w:pPr>
      <w:r>
        <w:rPr>
          <w:i/>
          <w:iCs/>
          <w:sz w:val="18"/>
          <w:szCs w:val="18"/>
        </w:rPr>
        <w:t xml:space="preserve">† Ikenga, Employee-Owned Company, Madrid, Spain &amp; Naples, Italy</w:t>
      </w:r>
    </w:p>
    <w:p>
      <w:pPr>
        <w:spacing w:after="300"/>
        <w:jc w:val="center"/>
      </w:pPr>
      <w:r>
        <w:rPr>
          <w:i/>
          <w:iCs/>
          <w:sz w:val="18"/>
          <w:szCs w:val="18"/>
        </w:rPr>
        <w:t xml:space="preserve">* Corresponding author: ssi_index@ikenga.eu | ORCID: 0000-0002-XXXX-XXXX</w:t>
      </w:r>
    </w:p>
    <w:p>
      <w:pPr>
        <w:spacing w:after="200" w:line="276"/>
      </w:pPr>
      <w:r>
        <w:rPr>
          <w:b/>
          <w:bCs/>
        </w:rPr>
        <w:t xml:space="preserve">Table A1. </w:t>
      </w:r>
      <w:r>
        <w:t xml:space="preserve">Bootstrap 95% confidence intervals for baseline transition matrix P</w:t>
      </w:r>
      <w:r>
        <w:t xml:space="preserve">₀</w:t>
      </w:r>
      <w:r>
        <w:t xml:space="preserve">. Point estimates with 95% CIs in brackets, obtained from 1,000-replicate parametric bootstrap on the 12,400 European transformer condition assessments (2010–2020). Zero entries are structural (Assumption 1: monotone degradation) and have no uncertainty. Critical (state 5) is absorbing with probability 1.00 by definition.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552"/>
        <w:gridCol w:w="1552"/>
        <w:gridCol w:w="1552"/>
        <w:gridCol w:w="1552"/>
        <w:gridCol w:w="1552"/>
      </w:tblGrid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From \ To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New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Good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Marginal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Degraded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New (1)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0.95 [0.93, 0.97]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0.05 [0.03, 0.07]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Good (2)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0.85 [0.82, 0.88]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0.12 [0.09, 0.15]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0.03 [0.01, 0.05]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Marginal (3)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0.75 [0.71, 0.79]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0.20 [0.16, 0.24]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0.05 [0.03, 0.08]</w:t>
            </w:r>
          </w:p>
        </w:tc>
      </w:tr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Degraded (4)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0.70 [0.65, 0.75]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0.30 [0.25, 0.35]</w:t>
            </w:r>
          </w:p>
        </w:tc>
      </w:tr>
      <w:tr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Critical (5)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type="dxa" w:w="155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</w:tr>
    </w:tbl>
    <w:p>
      <w:pPr>
        <w:spacing w:after="200"/>
      </w:pPr>
    </w:p>
    <w:p>
      <w:pPr>
        <w:spacing w:after="200" w:line="276"/>
      </w:pPr>
      <w:r>
        <w:t xml:space="preserve">The bootstrap procedure resampled the 12,400 inspection records with replacement (stratified by operator and decade of inspection), re-estimated the transition matrix via maximum likelihood for each replicate, and extracted the 2.5th and 97.5th percentiles across the 1,000 replicates. The widest confidence interval is for the Degraded→Critical transition (0.30 [0.25, 0.35]), reflecting the smaller number of observed transitions into the absorbing state. The narrowest is for the New→New diagonal (0.95 [0.93, 0.97]), reflecting the large number of young assets in the dataset.</w:t>
      </w:r>
    </w:p>
    <w:p>
      <w:pPr>
        <w:spacing w:after="200" w:line="276"/>
      </w:pPr>
      <w:r>
        <w:t xml:space="preserve">Sensitivity of fleet-median ETTC to perturbations in P</w:t>
      </w:r>
      <w:r>
        <w:t xml:space="preserve">₀</w:t>
      </w:r>
      <w:r>
        <w:t xml:space="preserve"> is reported in the main text (Section 5.3, elasticity E = 0.28). A ±20% perturbation of all off-diagonal entries produces a ±5.6% change in fleet-median ETTC, indicating moderate sensitivity that is smaller than the effect of environmental acceleration factors (E = 0.21–0.34).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2026-04-06T18:01:17.581Z</dcterms:created>
  <dcterms:modified xsi:type="dcterms:W3CDTF">2026-04-06T18:01:17.582Z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