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S1.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Primer sequences and sizes of PCR products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.</w:t>
      </w:r>
      <w:bookmarkStart w:id="0" w:name="_GoBack"/>
      <w:bookmarkEnd w:id="0"/>
    </w:p>
    <w:tbl>
      <w:tblPr>
        <w:tblStyle w:val="2"/>
        <w:tblW w:w="1194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455"/>
        <w:gridCol w:w="1343"/>
        <w:gridCol w:w="4155"/>
        <w:gridCol w:w="1988"/>
        <w:gridCol w:w="198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Year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 ID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Target</w:t>
            </w:r>
          </w:p>
        </w:tc>
        <w:tc>
          <w:tcPr>
            <w:tcW w:w="4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 sequences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PCR product (bp)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restart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2013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chuA.1b</w:t>
            </w:r>
          </w:p>
        </w:tc>
        <w:tc>
          <w:tcPr>
            <w:tcW w:w="134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chuA</w:t>
            </w:r>
          </w:p>
        </w:tc>
        <w:tc>
          <w:tcPr>
            <w:tcW w:w="41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5′-ATGGTACCGGACGAACCAAC-3′</w:t>
            </w: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</w:t>
            </w: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chuA.2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5′-TGCCGCCAGTACCAAAGACA-3′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yjaA.1b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yjaA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5′-CAAACGTGAAGTGTCAGGAG-3′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211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yjaA.2b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5′-AATGCGTTCCTCAACCTGTG-3′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TspE4C2.1b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TspE4.C2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5′-CACTATTCGTAAGGTCATCC-3′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TspE4C2.2b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5′-AGTTTATCGCTGCGGGTCGC-3′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AceK.f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arpA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5′-AACGCTATTCGCCAGCTTGC-3′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ArpA1.r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5′-TCTCCCCATACCGTACGCTA-3′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ArpAgpE.f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arpA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5′-GATTCCATCTTGTCAAAATATGCC-3′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ArpAgpE.r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5′-GAAAAGAAAAAGAATTCCCAAGAG-3′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trpAgpC.1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trpA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5′-AGTTTTATGCCCAGTGCGAG-3′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trpAgpC.2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5′-TCTGCGCCGGTCACGCCC-3′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trpBA.f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trpA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5′-CGGCGATAAAGACATCTTCAC-3′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489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trpBA.r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5′-GCAACGCGGCCTGGCGGAAG-3′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aesI.1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aes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5′-CCTCTACTCACCCAAAAGTC-3′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[13]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aesI.2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5′-ATCACGTAACCACAACGCAC-3′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aesII.1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aes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5′-CGCCTGTTGTCACTTCCACG-3′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aesII.2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5′-GTTTATCACGCAGCCACAAG-3′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chuIII.1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5′-GTGTTGAGATTGTCCGTGGG-3′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chuIII.2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5′-CAAAAGCACTGGCGCCCAG-3′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chuIV.1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5′-CTGGCGAAAGGAACCTGGA-3′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461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chuIV.2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5′-GTTATCTCATCTTGCAGCCAA-3′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chuV.1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5′-ACTGTATGGCAGTGGCGCAT-3′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</w:t>
            </w: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17" w:type="dxa"/>
            <w:vMerge w:val="continue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chuV.2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5′-GCAAAACTATCGGCAAACAGC-3′</w:t>
            </w:r>
          </w:p>
        </w:tc>
        <w:tc>
          <w:tcPr>
            <w:tcW w:w="1988" w:type="dxa"/>
            <w:vMerge w:val="continue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8" w:type="dxa"/>
            <w:vMerge w:val="continue"/>
            <w:tcBorders>
              <w:lef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[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6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]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</w:rPr>
        <w:t xml:space="preserve">Clermont O, Christenson JK, Denamur E, Gordon DM. The Clermont </w:t>
      </w:r>
      <w:r>
        <w:rPr>
          <w:rFonts w:hint="default" w:ascii="Times New Roman" w:hAnsi="Times New Roman" w:cs="Times New Roman"/>
          <w:i/>
          <w:iCs/>
        </w:rPr>
        <w:t>Escherichia coli</w:t>
      </w:r>
      <w:r>
        <w:rPr>
          <w:rFonts w:hint="default" w:ascii="Times New Roman" w:hAnsi="Times New Roman" w:cs="Times New Roman"/>
        </w:rPr>
        <w:t xml:space="preserve"> phylo‐typing method revisited: improvement of specificity and detection of new phylo‐groups[J]. Environmental Microbiology Reports. 2013, 5: 58-65.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[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13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]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</w:rPr>
        <w:t>Clermont O, Gordon DM, Brisse S, Walk ST, Denamur E. Characterization of the cryptic Escherichia lineages: rapid identification and prevalence[J]. Environmental Microbiology. 2011, 13: 2468-2477.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13A64"/>
    <w:rsid w:val="18182BEC"/>
    <w:rsid w:val="18CE185D"/>
    <w:rsid w:val="265A5572"/>
    <w:rsid w:val="2B6A16DE"/>
    <w:rsid w:val="31501496"/>
    <w:rsid w:val="35C86F81"/>
    <w:rsid w:val="3D8E235F"/>
    <w:rsid w:val="3F5E72DC"/>
    <w:rsid w:val="3F8E7945"/>
    <w:rsid w:val="41932425"/>
    <w:rsid w:val="5FAF3AB7"/>
    <w:rsid w:val="60B96C4E"/>
    <w:rsid w:val="73413A64"/>
    <w:rsid w:val="7FD4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1389</Characters>
  <Lines>0</Lines>
  <Paragraphs>0</Paragraphs>
  <TotalTime>0</TotalTime>
  <ScaleCrop>false</ScaleCrop>
  <LinksUpToDate>false</LinksUpToDate>
  <CharactersWithSpaces>1455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2025-10-23T02:14:00Z</dcterms:created>
  <dc:creator>WPS_1602150742</dc:creator>
  <cp:lastModifiedBy>Ft</cp:lastModifiedBy>
  <dcterms:modified xsi:type="dcterms:W3CDTF">2026-01-10T07:06:41Z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59F97F29C988416EBB3F332EDD976737</vt:lpwstr>
  </property>
  <property fmtid="{D5CDD505-2E9C-101B-9397-08002B2CF9AE}" pid="4" name="KSOTemplateDocerSaveRecord">
    <vt:lpwstr>eyJoZGlkIjoiMGQ2M2ZlZGFlYmY0YTQ4MzUzMWFkMGYzMDllNGY3ZDciLCJ1c2VySWQiOiIxMTI4NjAxODExIn0=</vt:lpwstr>
  </property>
</Properties>
</file>