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8FF7B" w14:textId="76F6A102" w:rsidR="006C02BC" w:rsidRDefault="006C02BC">
      <w:pPr>
        <w:rPr>
          <w:rFonts w:ascii="Helvetica Neue" w:eastAsia="Helvetica Neue" w:hAnsi="Helvetica Neue" w:cs="Helvetica Neue"/>
        </w:rPr>
      </w:pPr>
    </w:p>
    <w:p w14:paraId="76C0C66A" w14:textId="77777777" w:rsidR="00A10C3D" w:rsidRDefault="00A10C3D">
      <w:pPr>
        <w:rPr>
          <w:rFonts w:ascii="Helvetica Neue" w:eastAsia="Helvetica Neue" w:hAnsi="Helvetica Neue" w:cs="Helvetica Neue"/>
        </w:rPr>
      </w:pPr>
    </w:p>
    <w:p w14:paraId="34CA6B34" w14:textId="77777777" w:rsidR="00A10C3D" w:rsidRDefault="00A10C3D">
      <w:pPr>
        <w:rPr>
          <w:rFonts w:ascii="Helvetica Neue" w:eastAsia="Helvetica Neue" w:hAnsi="Helvetica Neue" w:cs="Helvetica Neue"/>
        </w:rPr>
      </w:pPr>
    </w:p>
    <w:p w14:paraId="0D997C83" w14:textId="77777777" w:rsidR="00A10C3D" w:rsidRDefault="00A10C3D">
      <w:pPr>
        <w:rPr>
          <w:rFonts w:ascii="Helvetica Neue" w:eastAsia="Helvetica Neue" w:hAnsi="Helvetica Neue" w:cs="Helvetica Neue"/>
        </w:rPr>
      </w:pPr>
    </w:p>
    <w:p w14:paraId="75FB7144" w14:textId="77777777" w:rsidR="00A10C3D" w:rsidRPr="005E7C19" w:rsidRDefault="00A10C3D">
      <w:pPr>
        <w:rPr>
          <w:rFonts w:ascii="Helvetica Neue" w:eastAsia="Helvetica Neue" w:hAnsi="Helvetica Neue" w:cs="Helvetica Neue"/>
        </w:rPr>
      </w:pPr>
    </w:p>
    <w:p w14:paraId="2C2DDC50" w14:textId="77777777" w:rsidR="006C02BC" w:rsidRPr="005E7C19" w:rsidRDefault="006C02BC">
      <w:pPr>
        <w:rPr>
          <w:rFonts w:ascii="Helvetica Neue" w:eastAsia="Helvetica Neue" w:hAnsi="Helvetica Neue" w:cs="Helvetica Neue"/>
        </w:rPr>
      </w:pPr>
    </w:p>
    <w:p w14:paraId="7669BF9A" w14:textId="77777777" w:rsidR="006C02BC" w:rsidRPr="005E7C19" w:rsidRDefault="00AD4F9A">
      <w:pPr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5E7C19">
        <w:rPr>
          <w:rFonts w:ascii="Helvetica Neue" w:eastAsia="Helvetica Neue" w:hAnsi="Helvetica Neue" w:cs="Helvetica Neue"/>
          <w:b/>
          <w:bCs/>
          <w:sz w:val="22"/>
          <w:szCs w:val="22"/>
        </w:rPr>
        <w:t>Table S1</w:t>
      </w:r>
      <w:r w:rsidRPr="005E7C19">
        <w:rPr>
          <w:rFonts w:ascii="Helvetica Neue" w:eastAsia="Helvetica Neue" w:hAnsi="Helvetica Neue" w:cs="Helvetica Neue"/>
          <w:sz w:val="22"/>
          <w:szCs w:val="22"/>
        </w:rPr>
        <w:t xml:space="preserve">: </w:t>
      </w:r>
      <w:r>
        <w:rPr>
          <w:rFonts w:ascii="Helvetica Neue Light" w:eastAsia="Helvetica Neue Light" w:hAnsi="Helvetica Neue Light" w:cs="Helvetica Neue Light"/>
          <w:sz w:val="22"/>
          <w:szCs w:val="22"/>
        </w:rPr>
        <w:t>Covariates considered for propensity score creation</w:t>
      </w:r>
    </w:p>
    <w:p w14:paraId="51E86F48" w14:textId="77777777" w:rsidR="006C02BC" w:rsidRPr="005E7C19" w:rsidRDefault="006C02BC">
      <w:pPr>
        <w:jc w:val="both"/>
        <w:rPr>
          <w:rFonts w:ascii="Helvetica Neue" w:eastAsia="Helvetica Neue" w:hAnsi="Helvetica Neue" w:cs="Helvetica Neue"/>
        </w:rPr>
      </w:pPr>
    </w:p>
    <w:p w14:paraId="5D01EC34" w14:textId="77777777" w:rsidR="006C02BC" w:rsidRPr="005E7C19" w:rsidRDefault="006C02BC">
      <w:pPr>
        <w:jc w:val="both"/>
        <w:rPr>
          <w:rFonts w:ascii="Helvetica Neue" w:eastAsia="Helvetica Neue" w:hAnsi="Helvetica Neue" w:cs="Helvetica Neue"/>
        </w:rPr>
      </w:pPr>
    </w:p>
    <w:tbl>
      <w:tblPr>
        <w:tblStyle w:val="a1"/>
        <w:tblW w:w="81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3723"/>
      </w:tblGrid>
      <w:tr w:rsidR="006C02BC" w14:paraId="5D6E2961" w14:textId="77777777">
        <w:tc>
          <w:tcPr>
            <w:tcW w:w="4390" w:type="dxa"/>
          </w:tcPr>
          <w:p w14:paraId="2DCF78EF" w14:textId="77777777" w:rsidR="006C02BC" w:rsidRPr="005E7C19" w:rsidRDefault="00AD4F9A">
            <w:pPr>
              <w:ind w:left="1080"/>
              <w:jc w:val="both"/>
              <w:rPr>
                <w:rFonts w:ascii="Helvetica Neue" w:eastAsia="Helvetica Neue" w:hAnsi="Helvetica Neue" w:cs="Helvetica Neue"/>
                <w:sz w:val="21"/>
                <w:szCs w:val="21"/>
              </w:rPr>
            </w:pPr>
            <w:r w:rsidRPr="005E7C19">
              <w:rPr>
                <w:rFonts w:ascii="Helvetica Neue" w:eastAsia="Helvetica Neue" w:hAnsi="Helvetica Neue" w:cs="Helvetica Neue"/>
                <w:sz w:val="21"/>
                <w:szCs w:val="21"/>
              </w:rPr>
              <w:t>Variable</w:t>
            </w:r>
          </w:p>
        </w:tc>
        <w:tc>
          <w:tcPr>
            <w:tcW w:w="3723" w:type="dxa"/>
          </w:tcPr>
          <w:p w14:paraId="0B5F2DD6" w14:textId="77777777" w:rsidR="006C02BC" w:rsidRPr="005E7C19" w:rsidRDefault="00AD4F9A">
            <w:pPr>
              <w:ind w:left="1080"/>
              <w:jc w:val="both"/>
              <w:rPr>
                <w:rFonts w:ascii="Helvetica Neue" w:eastAsia="Helvetica Neue" w:hAnsi="Helvetica Neue" w:cs="Helvetica Neue"/>
                <w:sz w:val="21"/>
                <w:szCs w:val="21"/>
              </w:rPr>
            </w:pPr>
            <w:r w:rsidRPr="005E7C19">
              <w:rPr>
                <w:rFonts w:ascii="Helvetica Neue" w:eastAsia="Helvetica Neue" w:hAnsi="Helvetica Neue" w:cs="Helvetica Neue"/>
                <w:sz w:val="21"/>
                <w:szCs w:val="21"/>
              </w:rPr>
              <w:t>Data format</w:t>
            </w:r>
          </w:p>
        </w:tc>
      </w:tr>
      <w:tr w:rsidR="006C02BC" w14:paraId="248240E8" w14:textId="77777777">
        <w:tc>
          <w:tcPr>
            <w:tcW w:w="4390" w:type="dxa"/>
          </w:tcPr>
          <w:p w14:paraId="663668BE" w14:textId="77777777" w:rsidR="006C02BC" w:rsidRPr="005E7C19" w:rsidRDefault="00AD4F9A">
            <w:pPr>
              <w:ind w:left="30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Sex</w:t>
            </w:r>
          </w:p>
        </w:tc>
        <w:tc>
          <w:tcPr>
            <w:tcW w:w="3723" w:type="dxa"/>
          </w:tcPr>
          <w:p w14:paraId="505D408D" w14:textId="77777777" w:rsidR="006C02BC" w:rsidRPr="005E7C19" w:rsidRDefault="00AD4F9A">
            <w:pPr>
              <w:ind w:left="34"/>
              <w:jc w:val="both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Female vs Male</w:t>
            </w:r>
          </w:p>
        </w:tc>
      </w:tr>
      <w:tr w:rsidR="006C02BC" w14:paraId="3A4D52BB" w14:textId="77777777">
        <w:tc>
          <w:tcPr>
            <w:tcW w:w="4390" w:type="dxa"/>
          </w:tcPr>
          <w:p w14:paraId="3400DC66" w14:textId="77777777" w:rsidR="006C02BC" w:rsidRPr="005E7C19" w:rsidRDefault="00AD4F9A">
            <w:pPr>
              <w:ind w:left="30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Age at CAR-T infusion (years)</w:t>
            </w:r>
          </w:p>
        </w:tc>
        <w:tc>
          <w:tcPr>
            <w:tcW w:w="3723" w:type="dxa"/>
          </w:tcPr>
          <w:p w14:paraId="2013FFE9" w14:textId="77777777" w:rsidR="006C02BC" w:rsidRPr="005E7C19" w:rsidRDefault="00AD4F9A">
            <w:pPr>
              <w:ind w:left="34"/>
              <w:jc w:val="both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proofErr w:type="spellStart"/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Continous</w:t>
            </w:r>
            <w:proofErr w:type="spellEnd"/>
          </w:p>
        </w:tc>
      </w:tr>
      <w:tr w:rsidR="006C02BC" w14:paraId="7C2A58DA" w14:textId="77777777">
        <w:tc>
          <w:tcPr>
            <w:tcW w:w="4390" w:type="dxa"/>
          </w:tcPr>
          <w:p w14:paraId="436B958B" w14:textId="77777777" w:rsidR="006C02BC" w:rsidRPr="005E7C19" w:rsidRDefault="00AD4F9A">
            <w:pPr>
              <w:ind w:left="30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Number of previous lines (CAR-T included)</w:t>
            </w:r>
          </w:p>
        </w:tc>
        <w:tc>
          <w:tcPr>
            <w:tcW w:w="3723" w:type="dxa"/>
          </w:tcPr>
          <w:p w14:paraId="1154C586" w14:textId="77777777" w:rsidR="006C02BC" w:rsidRPr="005E7C19" w:rsidRDefault="00AD4F9A">
            <w:pPr>
              <w:ind w:left="34"/>
              <w:jc w:val="both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L2 vs L3+</w:t>
            </w:r>
          </w:p>
        </w:tc>
      </w:tr>
      <w:tr w:rsidR="006C02BC" w14:paraId="2774B863" w14:textId="77777777">
        <w:tc>
          <w:tcPr>
            <w:tcW w:w="4390" w:type="dxa"/>
          </w:tcPr>
          <w:p w14:paraId="7F9FA5B8" w14:textId="77777777" w:rsidR="006C02BC" w:rsidRPr="005E7C19" w:rsidRDefault="00AD4F9A">
            <w:pPr>
              <w:ind w:left="30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Time of first relapse after CAR-T</w:t>
            </w:r>
          </w:p>
        </w:tc>
        <w:tc>
          <w:tcPr>
            <w:tcW w:w="3723" w:type="dxa"/>
          </w:tcPr>
          <w:p w14:paraId="2AA56DDE" w14:textId="77777777" w:rsidR="006C02BC" w:rsidRPr="005E7C19" w:rsidRDefault="00AD4F9A">
            <w:pPr>
              <w:ind w:left="34"/>
              <w:jc w:val="both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proofErr w:type="spellStart"/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Continous</w:t>
            </w:r>
            <w:proofErr w:type="spellEnd"/>
          </w:p>
        </w:tc>
      </w:tr>
      <w:tr w:rsidR="006C02BC" w:rsidRPr="008E6246" w14:paraId="0A693B7A" w14:textId="77777777">
        <w:tc>
          <w:tcPr>
            <w:tcW w:w="4390" w:type="dxa"/>
          </w:tcPr>
          <w:p w14:paraId="43D28688" w14:textId="77777777" w:rsidR="006C02BC" w:rsidRPr="005E7C19" w:rsidRDefault="00AD4F9A">
            <w:pPr>
              <w:ind w:left="30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Ann Arbor stage at infusion</w:t>
            </w: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3723" w:type="dxa"/>
          </w:tcPr>
          <w:p w14:paraId="7E7FDDB4" w14:textId="77777777" w:rsidR="006C02BC" w:rsidRPr="00752297" w:rsidRDefault="00AD4F9A">
            <w:pPr>
              <w:ind w:left="34"/>
              <w:jc w:val="both"/>
              <w:rPr>
                <w:rFonts w:ascii="Helvetica Neue Light" w:eastAsia="Helvetica Neue Light" w:hAnsi="Helvetica Neue Light" w:cs="Helvetica Neue Light"/>
                <w:sz w:val="21"/>
                <w:szCs w:val="21"/>
                <w:lang w:val="it-IT"/>
              </w:rPr>
            </w:pPr>
            <w:r w:rsidRPr="00752297">
              <w:rPr>
                <w:rFonts w:ascii="Helvetica Neue Light" w:eastAsia="Helvetica Neue Light" w:hAnsi="Helvetica Neue Light" w:cs="Helvetica Neue Light"/>
                <w:sz w:val="21"/>
                <w:szCs w:val="21"/>
                <w:lang w:val="it-IT"/>
              </w:rPr>
              <w:t>I-II vs III-IV</w:t>
            </w:r>
          </w:p>
        </w:tc>
      </w:tr>
      <w:tr w:rsidR="006C02BC" w14:paraId="10388550" w14:textId="77777777">
        <w:tc>
          <w:tcPr>
            <w:tcW w:w="4390" w:type="dxa"/>
          </w:tcPr>
          <w:p w14:paraId="021B7F2E" w14:textId="77777777" w:rsidR="006C02BC" w:rsidRPr="005E7C19" w:rsidRDefault="00AD4F9A">
            <w:pPr>
              <w:ind w:left="30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LDH at infusion</w:t>
            </w: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3723" w:type="dxa"/>
          </w:tcPr>
          <w:p w14:paraId="73EAC29A" w14:textId="77777777" w:rsidR="006C02BC" w:rsidRPr="005E7C19" w:rsidRDefault="00AD4F9A">
            <w:pPr>
              <w:ind w:left="34"/>
              <w:jc w:val="both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Normal vs &gt; Upper limit</w:t>
            </w:r>
          </w:p>
        </w:tc>
      </w:tr>
      <w:tr w:rsidR="006C02BC" w:rsidRPr="008E6246" w14:paraId="00EBB6DB" w14:textId="77777777">
        <w:tc>
          <w:tcPr>
            <w:tcW w:w="4390" w:type="dxa"/>
          </w:tcPr>
          <w:p w14:paraId="635EFFBD" w14:textId="77777777" w:rsidR="006C02BC" w:rsidRPr="005E7C19" w:rsidRDefault="00AD4F9A">
            <w:pPr>
              <w:ind w:left="30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CAR-T cell type</w:t>
            </w:r>
          </w:p>
        </w:tc>
        <w:tc>
          <w:tcPr>
            <w:tcW w:w="3723" w:type="dxa"/>
          </w:tcPr>
          <w:p w14:paraId="4E85DFE8" w14:textId="77777777" w:rsidR="006C02BC" w:rsidRPr="00752297" w:rsidRDefault="00AD4F9A">
            <w:pPr>
              <w:ind w:left="34"/>
              <w:jc w:val="both"/>
              <w:rPr>
                <w:rFonts w:ascii="Helvetica Neue Light" w:eastAsia="Helvetica Neue Light" w:hAnsi="Helvetica Neue Light" w:cs="Helvetica Neue Light"/>
                <w:sz w:val="21"/>
                <w:szCs w:val="21"/>
                <w:lang w:val="fr-FR"/>
              </w:rPr>
            </w:pPr>
            <w:proofErr w:type="spellStart"/>
            <w:r w:rsidRPr="00752297">
              <w:rPr>
                <w:rFonts w:ascii="Helvetica Neue Light" w:eastAsia="Helvetica Neue Light" w:hAnsi="Helvetica Neue Light" w:cs="Helvetica Neue Light"/>
                <w:sz w:val="21"/>
                <w:szCs w:val="21"/>
                <w:lang w:val="fr-FR"/>
              </w:rPr>
              <w:t>Axi-cel</w:t>
            </w:r>
            <w:proofErr w:type="spellEnd"/>
            <w:r w:rsidRPr="00752297">
              <w:rPr>
                <w:rFonts w:ascii="Helvetica Neue Light" w:eastAsia="Helvetica Neue Light" w:hAnsi="Helvetica Neue Light" w:cs="Helvetica Neue Light"/>
                <w:sz w:val="21"/>
                <w:szCs w:val="21"/>
                <w:lang w:val="fr-FR"/>
              </w:rPr>
              <w:t xml:space="preserve"> vs Tisa-</w:t>
            </w:r>
            <w:proofErr w:type="spellStart"/>
            <w:r w:rsidRPr="00752297">
              <w:rPr>
                <w:rFonts w:ascii="Helvetica Neue Light" w:eastAsia="Helvetica Neue Light" w:hAnsi="Helvetica Neue Light" w:cs="Helvetica Neue Light"/>
                <w:sz w:val="21"/>
                <w:szCs w:val="21"/>
                <w:lang w:val="fr-FR"/>
              </w:rPr>
              <w:t>cel</w:t>
            </w:r>
            <w:proofErr w:type="spellEnd"/>
          </w:p>
        </w:tc>
      </w:tr>
      <w:tr w:rsidR="006C02BC" w14:paraId="6DA77F9F" w14:textId="77777777">
        <w:tc>
          <w:tcPr>
            <w:tcW w:w="4390" w:type="dxa"/>
          </w:tcPr>
          <w:p w14:paraId="6DD28E6D" w14:textId="77777777" w:rsidR="006C02BC" w:rsidRPr="005E7C19" w:rsidRDefault="00AD4F9A">
            <w:pPr>
              <w:ind w:left="30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Response after bridging</w:t>
            </w:r>
          </w:p>
        </w:tc>
        <w:tc>
          <w:tcPr>
            <w:tcW w:w="3723" w:type="dxa"/>
          </w:tcPr>
          <w:p w14:paraId="41AEE582" w14:textId="77777777" w:rsidR="006C02BC" w:rsidRPr="005E7C19" w:rsidRDefault="00AD4F9A">
            <w:pPr>
              <w:ind w:left="34"/>
              <w:jc w:val="both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CR / PR vs SD / PD vs No bridge</w:t>
            </w:r>
          </w:p>
        </w:tc>
      </w:tr>
      <w:tr w:rsidR="006C02BC" w14:paraId="0B90307F" w14:textId="77777777">
        <w:tc>
          <w:tcPr>
            <w:tcW w:w="4390" w:type="dxa"/>
          </w:tcPr>
          <w:p w14:paraId="4DD7D6F8" w14:textId="77777777" w:rsidR="006C02BC" w:rsidRPr="005E7C19" w:rsidRDefault="00AD4F9A">
            <w:pPr>
              <w:ind w:left="30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>
              <w:rPr>
                <w:rFonts w:ascii="Helvetica Neue Light" w:eastAsia="Helvetica Neue Light" w:hAnsi="Helvetica Neue Light" w:cs="Helvetica Neue Light"/>
                <w:sz w:val="22"/>
                <w:szCs w:val="22"/>
              </w:rPr>
              <w:t>At least one prior Autologous transplant</w:t>
            </w:r>
          </w:p>
        </w:tc>
        <w:tc>
          <w:tcPr>
            <w:tcW w:w="3723" w:type="dxa"/>
          </w:tcPr>
          <w:p w14:paraId="6C5ECA9F" w14:textId="77777777" w:rsidR="006C02BC" w:rsidRPr="005E7C19" w:rsidRDefault="00AD4F9A">
            <w:pPr>
              <w:ind w:left="34"/>
              <w:jc w:val="both"/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</w:pPr>
            <w:r w:rsidRPr="005E7C19">
              <w:rPr>
                <w:rFonts w:ascii="Helvetica Neue Light" w:eastAsia="Helvetica Neue Light" w:hAnsi="Helvetica Neue Light" w:cs="Helvetica Neue Light"/>
                <w:sz w:val="21"/>
                <w:szCs w:val="21"/>
              </w:rPr>
              <w:t>No / Yes</w:t>
            </w:r>
          </w:p>
        </w:tc>
      </w:tr>
    </w:tbl>
    <w:p w14:paraId="35A13FFE" w14:textId="77777777" w:rsidR="006C02BC" w:rsidRPr="005E7C19" w:rsidRDefault="006C02BC">
      <w:pPr>
        <w:rPr>
          <w:rFonts w:ascii="Helvetica Neue Light" w:eastAsia="Helvetica Neue Light" w:hAnsi="Helvetica Neue Light" w:cs="Helvetica Neue Light"/>
          <w:sz w:val="20"/>
          <w:szCs w:val="20"/>
          <w:vertAlign w:val="superscript"/>
        </w:rPr>
      </w:pPr>
    </w:p>
    <w:p w14:paraId="0620D489" w14:textId="77777777" w:rsidR="006C02BC" w:rsidRPr="005E7C19" w:rsidRDefault="00AD4F9A">
      <w:pPr>
        <w:jc w:val="both"/>
        <w:rPr>
          <w:rFonts w:ascii="Helvetica Neue Light" w:eastAsia="Helvetica Neue Light" w:hAnsi="Helvetica Neue Light" w:cs="Helvetica Neue Light"/>
          <w:sz w:val="20"/>
          <w:szCs w:val="20"/>
        </w:rPr>
      </w:pPr>
      <w:r w:rsidRPr="005E7C19">
        <w:rPr>
          <w:rFonts w:ascii="Helvetica Neue Light" w:eastAsia="Helvetica Neue Light" w:hAnsi="Helvetica Neue Light" w:cs="Helvetica Neue Light"/>
          <w:sz w:val="20"/>
          <w:szCs w:val="20"/>
          <w:vertAlign w:val="superscript"/>
        </w:rPr>
        <w:t>1</w:t>
      </w:r>
      <w:r w:rsidRPr="005E7C19">
        <w:rPr>
          <w:rFonts w:ascii="Helvetica Neue Light" w:eastAsia="Helvetica Neue Light" w:hAnsi="Helvetica Neue Light" w:cs="Helvetica Neue Light"/>
          <w:sz w:val="20"/>
          <w:szCs w:val="20"/>
        </w:rPr>
        <w:t>Ann Arbor stage at infusion was assessed before CAR-T infusion. For DESCAR-T patients, information at multidisciplinary meetings (part of standard care) where patient care is discussed and CAR-T treatment validated were used.</w:t>
      </w:r>
    </w:p>
    <w:p w14:paraId="1C99614C" w14:textId="65F993DE" w:rsidR="006C02BC" w:rsidRPr="00A10C3D" w:rsidRDefault="00AD4F9A" w:rsidP="00A10C3D">
      <w:pPr>
        <w:jc w:val="both"/>
        <w:rPr>
          <w:rFonts w:ascii="Helvetica Neue" w:eastAsia="Helvetica Neue" w:hAnsi="Helvetica Neue" w:cs="Helvetica Neue"/>
          <w:b/>
          <w:bCs/>
          <w:u w:val="single"/>
        </w:rPr>
      </w:pPr>
      <w:r w:rsidRPr="005E7C19">
        <w:rPr>
          <w:rFonts w:ascii="Helvetica Neue Light" w:eastAsia="Helvetica Neue Light" w:hAnsi="Helvetica Neue Light" w:cs="Helvetica Neue Light"/>
          <w:sz w:val="20"/>
          <w:szCs w:val="20"/>
          <w:vertAlign w:val="superscript"/>
        </w:rPr>
        <w:t>2</w:t>
      </w:r>
      <w:r w:rsidRPr="005E7C19">
        <w:rPr>
          <w:rFonts w:ascii="Helvetica Neue Light" w:eastAsia="Helvetica Neue Light" w:hAnsi="Helvetica Neue Light" w:cs="Helvetica Neue Light"/>
          <w:sz w:val="20"/>
          <w:szCs w:val="20"/>
        </w:rPr>
        <w:t xml:space="preserve">LDH at infusion was assessed before CAR-T infusion. For DESCAR-T patients, when LDH at infusion was not available, LDH at lymphodepletion was used. </w:t>
      </w:r>
      <w:bookmarkStart w:id="0" w:name="_lanliy3arh1s" w:colFirst="0" w:colLast="0"/>
      <w:bookmarkEnd w:id="0"/>
    </w:p>
    <w:sectPr w:rsidR="006C02BC" w:rsidRPr="00A10C3D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lnNumType w:countBy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FE5B1" w14:textId="77777777" w:rsidR="00D414C2" w:rsidRDefault="00D414C2">
      <w:r>
        <w:separator/>
      </w:r>
    </w:p>
  </w:endnote>
  <w:endnote w:type="continuationSeparator" w:id="0">
    <w:p w14:paraId="212670A1" w14:textId="77777777" w:rsidR="00D414C2" w:rsidRDefault="00D41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DBC94EA-0F91-2D40-8855-7215EDAB308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5FB7DBEE-2346-5C42-ACBF-27F1FE9BE789}"/>
    <w:embedBold r:id="rId4" w:fontKey="{538986C6-1280-CC42-B372-793C17285340}"/>
    <w:embedItalic r:id="rId5" w:fontKey="{335126F8-78BB-0049-8DFE-F9BB196609CF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D92F32D-0D1A-B740-B051-E740AD7C04E9}"/>
    <w:embedBold r:id="rId8" w:fontKey="{3ED6A02C-AC99-A748-AC6D-775354D833BD}"/>
    <w:embedItalic r:id="rId9" w:fontKey="{4BAA6B40-E801-F747-B6F6-4E049AB4C6C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211F70D9-4769-E84B-91D2-AC5011E5D3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07F72CE-6856-CD42-A567-39A09FEA43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3211E" w14:textId="77777777" w:rsidR="006C02BC" w:rsidRPr="00CF6632" w:rsidRDefault="00AD4F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0BCF">
      <w:rPr>
        <w:noProof/>
        <w:color w:val="000000"/>
      </w:rPr>
      <w:t>1</w:t>
    </w:r>
    <w:r>
      <w:rPr>
        <w:color w:val="000000"/>
      </w:rPr>
      <w:fldChar w:fldCharType="end"/>
    </w:r>
  </w:p>
  <w:p w14:paraId="240A5B6F" w14:textId="77777777" w:rsidR="006C02BC" w:rsidRPr="00CF6632" w:rsidRDefault="006C02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637EE" w14:textId="77777777" w:rsidR="00D414C2" w:rsidRDefault="00D414C2">
      <w:r>
        <w:separator/>
      </w:r>
    </w:p>
  </w:footnote>
  <w:footnote w:type="continuationSeparator" w:id="0">
    <w:p w14:paraId="185D8E1C" w14:textId="77777777" w:rsidR="00D414C2" w:rsidRDefault="00D41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9A34C" w14:textId="77777777" w:rsidR="006C02BC" w:rsidRPr="00CF6632" w:rsidRDefault="006C02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  <w:p w14:paraId="5A9A5188" w14:textId="77777777" w:rsidR="006C02BC" w:rsidRPr="00CF6632" w:rsidRDefault="006C02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D2BE4"/>
    <w:multiLevelType w:val="multilevel"/>
    <w:tmpl w:val="170CA8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67124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2BC"/>
    <w:rsid w:val="000248B9"/>
    <w:rsid w:val="00062C97"/>
    <w:rsid w:val="00104ED5"/>
    <w:rsid w:val="00106751"/>
    <w:rsid w:val="00152610"/>
    <w:rsid w:val="0017734C"/>
    <w:rsid w:val="00194EB1"/>
    <w:rsid w:val="001C1260"/>
    <w:rsid w:val="001C28F7"/>
    <w:rsid w:val="002145B0"/>
    <w:rsid w:val="00227529"/>
    <w:rsid w:val="0025042A"/>
    <w:rsid w:val="00260E32"/>
    <w:rsid w:val="00273CB7"/>
    <w:rsid w:val="002A2694"/>
    <w:rsid w:val="002B654D"/>
    <w:rsid w:val="002C01EF"/>
    <w:rsid w:val="003A2D48"/>
    <w:rsid w:val="003B44D1"/>
    <w:rsid w:val="004109D7"/>
    <w:rsid w:val="00415466"/>
    <w:rsid w:val="00427184"/>
    <w:rsid w:val="004437EC"/>
    <w:rsid w:val="00461BC5"/>
    <w:rsid w:val="0046661B"/>
    <w:rsid w:val="004669F1"/>
    <w:rsid w:val="00477238"/>
    <w:rsid w:val="00483F95"/>
    <w:rsid w:val="004A107B"/>
    <w:rsid w:val="004A6B87"/>
    <w:rsid w:val="004D6E0A"/>
    <w:rsid w:val="004E5A8C"/>
    <w:rsid w:val="004F61D6"/>
    <w:rsid w:val="0050155D"/>
    <w:rsid w:val="005024FE"/>
    <w:rsid w:val="00513B93"/>
    <w:rsid w:val="00513BDE"/>
    <w:rsid w:val="00514922"/>
    <w:rsid w:val="005217DA"/>
    <w:rsid w:val="005438BD"/>
    <w:rsid w:val="00550101"/>
    <w:rsid w:val="00582412"/>
    <w:rsid w:val="00586613"/>
    <w:rsid w:val="005A0DBE"/>
    <w:rsid w:val="005A3532"/>
    <w:rsid w:val="005B3F16"/>
    <w:rsid w:val="005E7C19"/>
    <w:rsid w:val="005F0060"/>
    <w:rsid w:val="005F0393"/>
    <w:rsid w:val="0060164B"/>
    <w:rsid w:val="006120F6"/>
    <w:rsid w:val="00633E5D"/>
    <w:rsid w:val="006520D0"/>
    <w:rsid w:val="00696B71"/>
    <w:rsid w:val="006A4873"/>
    <w:rsid w:val="006C02BC"/>
    <w:rsid w:val="00703FFB"/>
    <w:rsid w:val="00752297"/>
    <w:rsid w:val="007754D0"/>
    <w:rsid w:val="0078259D"/>
    <w:rsid w:val="007C614B"/>
    <w:rsid w:val="007F2DE3"/>
    <w:rsid w:val="00824E91"/>
    <w:rsid w:val="00852D67"/>
    <w:rsid w:val="00884E1F"/>
    <w:rsid w:val="008B094A"/>
    <w:rsid w:val="008E6246"/>
    <w:rsid w:val="008F6F79"/>
    <w:rsid w:val="0093108F"/>
    <w:rsid w:val="00970BCF"/>
    <w:rsid w:val="00986DB3"/>
    <w:rsid w:val="009C737C"/>
    <w:rsid w:val="009D3A9B"/>
    <w:rsid w:val="009D3EE2"/>
    <w:rsid w:val="009E3A3E"/>
    <w:rsid w:val="00A10C3D"/>
    <w:rsid w:val="00A16665"/>
    <w:rsid w:val="00A55A0E"/>
    <w:rsid w:val="00A615C1"/>
    <w:rsid w:val="00A7153B"/>
    <w:rsid w:val="00AC7FD0"/>
    <w:rsid w:val="00AD4F9A"/>
    <w:rsid w:val="00AE3095"/>
    <w:rsid w:val="00B03054"/>
    <w:rsid w:val="00B15BBC"/>
    <w:rsid w:val="00B404D0"/>
    <w:rsid w:val="00B9157E"/>
    <w:rsid w:val="00BA0DB6"/>
    <w:rsid w:val="00BA337A"/>
    <w:rsid w:val="00BB1F6E"/>
    <w:rsid w:val="00BC5152"/>
    <w:rsid w:val="00C12563"/>
    <w:rsid w:val="00C75109"/>
    <w:rsid w:val="00C7714B"/>
    <w:rsid w:val="00CB5729"/>
    <w:rsid w:val="00CD3366"/>
    <w:rsid w:val="00CE718A"/>
    <w:rsid w:val="00CE7F64"/>
    <w:rsid w:val="00CF6632"/>
    <w:rsid w:val="00D053C9"/>
    <w:rsid w:val="00D0584D"/>
    <w:rsid w:val="00D07F6C"/>
    <w:rsid w:val="00D32F53"/>
    <w:rsid w:val="00D414C2"/>
    <w:rsid w:val="00D55B80"/>
    <w:rsid w:val="00D93F6A"/>
    <w:rsid w:val="00DA3F11"/>
    <w:rsid w:val="00DA54B9"/>
    <w:rsid w:val="00DF7EC0"/>
    <w:rsid w:val="00E077AF"/>
    <w:rsid w:val="00E46D22"/>
    <w:rsid w:val="00E52726"/>
    <w:rsid w:val="00EC500D"/>
    <w:rsid w:val="00EE4E0E"/>
    <w:rsid w:val="00EF2806"/>
    <w:rsid w:val="00F35B1C"/>
    <w:rsid w:val="00F51A8A"/>
    <w:rsid w:val="00F54DD3"/>
    <w:rsid w:val="00F555FA"/>
    <w:rsid w:val="00F80630"/>
    <w:rsid w:val="00F95EC5"/>
    <w:rsid w:val="00FD4C61"/>
    <w:rsid w:val="00FE3DD0"/>
    <w:rsid w:val="00FF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3490A"/>
  <w15:docId w15:val="{D1869B4B-77D0-45E3-8341-02A622B28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970BCF"/>
  </w:style>
  <w:style w:type="paragraph" w:styleId="En-tte">
    <w:name w:val="header"/>
    <w:basedOn w:val="Normal"/>
    <w:link w:val="En-tteCar"/>
    <w:uiPriority w:val="99"/>
    <w:unhideWhenUsed/>
    <w:rsid w:val="00CF66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6632"/>
  </w:style>
  <w:style w:type="paragraph" w:styleId="Pieddepage">
    <w:name w:val="footer"/>
    <w:basedOn w:val="Normal"/>
    <w:link w:val="PieddepageCar"/>
    <w:uiPriority w:val="99"/>
    <w:unhideWhenUsed/>
    <w:rsid w:val="00CF66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6632"/>
  </w:style>
  <w:style w:type="paragraph" w:styleId="Rvision">
    <w:name w:val="Revision"/>
    <w:hidden/>
    <w:uiPriority w:val="99"/>
    <w:semiHidden/>
    <w:rsid w:val="005F0393"/>
  </w:style>
  <w:style w:type="table" w:styleId="Grilledutableau">
    <w:name w:val="Table Grid"/>
    <w:basedOn w:val="TableauNormal"/>
    <w:uiPriority w:val="39"/>
    <w:rsid w:val="004D6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-claude-response-body">
    <w:name w:val="font-claude-response-body"/>
    <w:basedOn w:val="Normal"/>
    <w:rsid w:val="00EF280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character" w:styleId="lev">
    <w:name w:val="Strong"/>
    <w:basedOn w:val="Policepardfaut"/>
    <w:uiPriority w:val="22"/>
    <w:qFormat/>
    <w:rsid w:val="00EF2806"/>
    <w:rPr>
      <w:b/>
      <w:bCs/>
    </w:rPr>
  </w:style>
  <w:style w:type="character" w:styleId="Accentuation">
    <w:name w:val="Emphasis"/>
    <w:basedOn w:val="Policepardfaut"/>
    <w:uiPriority w:val="20"/>
    <w:qFormat/>
    <w:rsid w:val="00EF2806"/>
    <w:rPr>
      <w:i/>
      <w:iCs/>
    </w:rPr>
  </w:style>
  <w:style w:type="character" w:styleId="Lienhypertexte">
    <w:name w:val="Hyperlink"/>
    <w:basedOn w:val="Policepardfaut"/>
    <w:uiPriority w:val="99"/>
    <w:unhideWhenUsed/>
    <w:rsid w:val="00EF280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F2806"/>
    <w:rPr>
      <w:color w:val="605E5C"/>
      <w:shd w:val="clear" w:color="auto" w:fill="E1DFDD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771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771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0A805-8B8A-4DA1-BFAD-20ABB04E5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723</Characters>
  <Application>Microsoft Office Word</Application>
  <DocSecurity>0</DocSecurity>
  <Lines>42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Micon, Sophie {MWFD~PARIS}</dc:creator>
  <cp:lastModifiedBy>Guillaume Cartron</cp:lastModifiedBy>
  <cp:revision>3</cp:revision>
  <dcterms:created xsi:type="dcterms:W3CDTF">2026-04-01T07:03:00Z</dcterms:created>
  <dcterms:modified xsi:type="dcterms:W3CDTF">2026-04-01T07:06:00Z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zotero-version="7.0.24"&gt;&lt;session id="oX0pqJs6"/&gt;&lt;style id="http://www.zotero.org/styles/vancouver" locale="en-US" hasBibliography="1" bibliographyStyleHasBeenSet="1"/&gt;&lt;prefs&gt;&lt;pref name="fieldType" value="Field"/&gt;&lt;pref name="automati</vt:lpwstr>
  </property>
  <property fmtid="{D5CDD505-2E9C-101B-9397-08002B2CF9AE}" pid="3" name="ZOTERO_PREF_2">
    <vt:lpwstr>cJournalAbbreviations" value="true"/&gt;&lt;/prefs&gt;&lt;/data&gt;</vt:lpwstr>
  </property>
</Properties>
</file>