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0E05" w14:textId="284E9685" w:rsidR="0094454D" w:rsidRPr="0094454D" w:rsidRDefault="0094454D" w:rsidP="0094454D">
      <w:pPr>
        <w:spacing w:line="480" w:lineRule="auto"/>
        <w:rPr>
          <w:rFonts w:eastAsiaTheme="minorEastAsia" w:hint="eastAsia"/>
          <w:b/>
          <w:bCs/>
          <w:lang w:eastAsia="ko-KR"/>
        </w:rPr>
      </w:pPr>
      <w:r w:rsidRPr="0094454D">
        <w:rPr>
          <w:rFonts w:eastAsiaTheme="minorEastAsia" w:hint="eastAsia"/>
          <w:b/>
          <w:bCs/>
          <w:lang w:eastAsia="ko-KR"/>
        </w:rPr>
        <w:t>Supportive Care in Cancer</w:t>
      </w:r>
    </w:p>
    <w:p w14:paraId="4B7B469B" w14:textId="4D37F3BD" w:rsidR="0094454D" w:rsidRPr="0083477B" w:rsidRDefault="0094454D" w:rsidP="0094454D">
      <w:pPr>
        <w:spacing w:line="480" w:lineRule="auto"/>
        <w:rPr>
          <w:rFonts w:hint="eastAsia"/>
        </w:rPr>
      </w:pPr>
      <w:r w:rsidRPr="0083477B">
        <w:rPr>
          <w:rFonts w:eastAsia="Times New Roman"/>
        </w:rPr>
        <w:t>Identification of Distinct Clinical Phenotypes in Chemotherapy-Induced Neutropenic Fever Patients and Their Associated Predictors of Mortality</w:t>
      </w:r>
    </w:p>
    <w:p w14:paraId="53507FC0" w14:textId="77777777" w:rsidR="0094454D" w:rsidRPr="0083477B" w:rsidRDefault="0094454D" w:rsidP="0094454D">
      <w:pPr>
        <w:spacing w:before="160" w:after="60" w:line="480" w:lineRule="auto"/>
        <w:jc w:val="center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Ye Jun Won, B.S.</w:t>
      </w:r>
      <w:r>
        <w:rPr>
          <w:rFonts w:ascii="times nr" w:hAnsi="times nr" w:hint="eastAsia"/>
          <w:sz w:val="20"/>
          <w:szCs w:val="20"/>
          <w:vertAlign w:val="superscript"/>
        </w:rPr>
        <w:t>1</w:t>
      </w:r>
      <w:r w:rsidRPr="0083477B">
        <w:rPr>
          <w:rFonts w:ascii="times nr" w:eastAsia="Times New Roman" w:hAnsi="times nr"/>
          <w:sz w:val="20"/>
          <w:szCs w:val="20"/>
        </w:rPr>
        <w:t>, K</w:t>
      </w:r>
      <w:r w:rsidRPr="0083477B">
        <w:rPr>
          <w:rFonts w:ascii="times nr" w:hAnsi="times nr"/>
          <w:sz w:val="20"/>
          <w:szCs w:val="20"/>
        </w:rPr>
        <w:t>i</w:t>
      </w:r>
      <w:r w:rsidRPr="0083477B">
        <w:rPr>
          <w:rFonts w:ascii="times nr" w:eastAsia="Times New Roman" w:hAnsi="times nr"/>
          <w:sz w:val="20"/>
          <w:szCs w:val="20"/>
        </w:rPr>
        <w:t>wan J</w:t>
      </w:r>
      <w:r w:rsidRPr="0083477B">
        <w:rPr>
          <w:rFonts w:ascii="times nr" w:hAnsi="times nr"/>
          <w:sz w:val="20"/>
          <w:szCs w:val="20"/>
        </w:rPr>
        <w:t>o</w:t>
      </w:r>
      <w:r w:rsidRPr="0083477B">
        <w:rPr>
          <w:rFonts w:ascii="times nr" w:eastAsia="Times New Roman" w:hAnsi="times nr"/>
          <w:sz w:val="20"/>
          <w:szCs w:val="20"/>
        </w:rPr>
        <w:t>ung, M.S.</w:t>
      </w:r>
      <w:r>
        <w:rPr>
          <w:rFonts w:ascii="times nr" w:hAnsi="times nr" w:hint="eastAsia"/>
          <w:sz w:val="20"/>
          <w:szCs w:val="20"/>
          <w:vertAlign w:val="superscript"/>
        </w:rPr>
        <w:t>1</w:t>
      </w:r>
      <w:r w:rsidRPr="0083477B">
        <w:rPr>
          <w:rFonts w:ascii="times nr" w:eastAsia="Times New Roman" w:hAnsi="times nr"/>
          <w:sz w:val="20"/>
          <w:szCs w:val="20"/>
        </w:rPr>
        <w:t>, Hansol Chang,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>, Sejin Heo,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>, Won Chul Cha,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>, Minha Kim, M.D, PhD</w:t>
      </w:r>
      <w:r>
        <w:rPr>
          <w:rFonts w:ascii="times nr" w:hAnsi="times nr" w:hint="eastAsia"/>
          <w:sz w:val="20"/>
          <w:szCs w:val="20"/>
          <w:vertAlign w:val="superscript"/>
        </w:rPr>
        <w:t>1,2</w:t>
      </w:r>
      <w:r w:rsidRPr="0083477B">
        <w:rPr>
          <w:rFonts w:ascii="times nr" w:eastAsia="Times New Roman" w:hAnsi="times nr"/>
          <w:sz w:val="20"/>
          <w:szCs w:val="20"/>
        </w:rPr>
        <w:t xml:space="preserve">, 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Taerim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 xml:space="preserve"> Kim, M.D, PhD</w:t>
      </w:r>
      <w:r>
        <w:rPr>
          <w:rFonts w:ascii="times nr" w:hAnsi="times nr" w:hint="eastAsia"/>
          <w:sz w:val="20"/>
          <w:szCs w:val="20"/>
          <w:vertAlign w:val="superscript"/>
        </w:rPr>
        <w:t>1,2,4</w:t>
      </w:r>
      <w:r w:rsidRPr="0083477B">
        <w:rPr>
          <w:rFonts w:ascii="times nr" w:eastAsia="Times New Roman" w:hAnsi="times nr"/>
          <w:sz w:val="20"/>
          <w:szCs w:val="20"/>
          <w:vertAlign w:val="superscript"/>
        </w:rPr>
        <w:t>,*</w:t>
      </w:r>
      <w:r w:rsidRPr="0083477B">
        <w:rPr>
          <w:rFonts w:ascii="times nr" w:eastAsia="Times New Roman" w:hAnsi="times nr"/>
          <w:sz w:val="20"/>
          <w:szCs w:val="20"/>
        </w:rPr>
        <w:t>, Ju-Hyun Kim, M.D, PhD</w:t>
      </w:r>
      <w:r>
        <w:rPr>
          <w:rFonts w:ascii="times nr" w:hAnsi="times nr" w:hint="eastAsia"/>
          <w:sz w:val="20"/>
          <w:szCs w:val="20"/>
          <w:vertAlign w:val="superscript"/>
        </w:rPr>
        <w:t>3</w:t>
      </w:r>
      <w:r w:rsidRPr="0083477B">
        <w:rPr>
          <w:rFonts w:ascii="times nr" w:eastAsia="Times New Roman" w:hAnsi="times nr"/>
          <w:sz w:val="20"/>
          <w:szCs w:val="20"/>
          <w:vertAlign w:val="superscript"/>
        </w:rPr>
        <w:t>,*</w:t>
      </w:r>
    </w:p>
    <w:p w14:paraId="347B5419" w14:textId="77777777" w:rsidR="0094454D" w:rsidRPr="0083477B" w:rsidRDefault="0094454D" w:rsidP="0094454D">
      <w:pPr>
        <w:spacing w:before="60" w:after="160" w:line="480" w:lineRule="auto"/>
        <w:jc w:val="center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i/>
          <w:iCs/>
          <w:sz w:val="20"/>
          <w:szCs w:val="20"/>
        </w:rPr>
        <w:t>* Co-corresponding authors</w:t>
      </w:r>
    </w:p>
    <w:p w14:paraId="7A560611" w14:textId="77777777" w:rsidR="0094454D" w:rsidRPr="0083477B" w:rsidRDefault="0094454D" w:rsidP="0094454D">
      <w:pPr>
        <w:spacing w:before="40" w:after="60"/>
        <w:rPr>
          <w:rFonts w:ascii="times nr" w:hAnsi="times nr" w:hint="eastAsia"/>
        </w:rPr>
      </w:pPr>
      <w:r w:rsidRPr="0083477B">
        <w:rPr>
          <w:rFonts w:ascii="times nr" w:eastAsia="Times New Roman" w:hAnsi="times nr"/>
          <w:sz w:val="20"/>
          <w:szCs w:val="20"/>
        </w:rPr>
        <w:t>¹ Department of Digital Health, Samsung Advanced Institute for Health Sciences and Technology (SAIHST), Sungkyunkwan University, Seoul, Republic of Korea</w:t>
      </w:r>
    </w:p>
    <w:p w14:paraId="5133A2DA" w14:textId="77777777" w:rsidR="0094454D" w:rsidRPr="00C335FA" w:rsidRDefault="0094454D" w:rsidP="0094454D">
      <w:pPr>
        <w:spacing w:before="40" w:after="60"/>
        <w:rPr>
          <w:rFonts w:ascii="times nr" w:hAnsi="times nr" w:hint="eastAsia"/>
        </w:rPr>
      </w:pPr>
      <w:r w:rsidRPr="0083477B">
        <w:rPr>
          <w:rFonts w:ascii="times nr" w:eastAsia="Times New Roman" w:hAnsi="times nr"/>
          <w:sz w:val="20"/>
          <w:szCs w:val="20"/>
        </w:rPr>
        <w:t>² Department of Emergency Medicine, Samsung Medical Center, Sungkyunkwan University School of Medicine, Seoul, Republic of Korea</w:t>
      </w:r>
    </w:p>
    <w:p w14:paraId="44FB5598" w14:textId="77777777" w:rsidR="0094454D" w:rsidRPr="00C335FA" w:rsidRDefault="0094454D" w:rsidP="0094454D">
      <w:pPr>
        <w:spacing w:before="40" w:after="160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³ Department of Obstetrics and Gynecology, University of Ulsan College of Medicine, Asan Medical Center, Seoul, Republic of Korea</w:t>
      </w:r>
    </w:p>
    <w:p w14:paraId="790F7E3C" w14:textId="77777777" w:rsidR="0094454D" w:rsidRDefault="0094454D" w:rsidP="0094454D">
      <w:pPr>
        <w:spacing w:before="40" w:after="160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⁴ ETOILE Inc., Seoul, Republic of Korea</w:t>
      </w:r>
    </w:p>
    <w:p w14:paraId="318D914F" w14:textId="77777777" w:rsidR="0094454D" w:rsidRP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3157B91F" w14:textId="77777777" w:rsidR="0094454D" w:rsidRPr="0083477B" w:rsidRDefault="0094454D" w:rsidP="0094454D">
      <w:pPr>
        <w:spacing w:before="200" w:after="8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b/>
          <w:bCs/>
          <w:sz w:val="20"/>
          <w:szCs w:val="20"/>
        </w:rPr>
        <w:t>Corresponding Authors</w:t>
      </w:r>
    </w:p>
    <w:p w14:paraId="0D659C80" w14:textId="77777777" w:rsidR="0094454D" w:rsidRPr="0083477B" w:rsidRDefault="0094454D" w:rsidP="0094454D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proofErr w:type="spellStart"/>
      <w:r w:rsidRPr="0083477B">
        <w:rPr>
          <w:rFonts w:ascii="times nr" w:eastAsia="Times New Roman" w:hAnsi="times nr"/>
          <w:b/>
          <w:bCs/>
          <w:sz w:val="20"/>
          <w:szCs w:val="20"/>
        </w:rPr>
        <w:t>Taerim</w:t>
      </w:r>
      <w:proofErr w:type="spellEnd"/>
      <w:r w:rsidRPr="0083477B">
        <w:rPr>
          <w:rFonts w:ascii="times nr" w:eastAsia="Times New Roman" w:hAnsi="times nr"/>
          <w:b/>
          <w:bCs/>
          <w:sz w:val="20"/>
          <w:szCs w:val="20"/>
        </w:rPr>
        <w:t xml:space="preserve"> Kim, MD, PhD</w:t>
      </w:r>
    </w:p>
    <w:p w14:paraId="0E31A3DC" w14:textId="77777777" w:rsidR="0094454D" w:rsidRPr="0083477B" w:rsidRDefault="0094454D" w:rsidP="0094454D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 xml:space="preserve">ETOILE Inc.; Department of Emergency Medicine, Samsung Medical Center, Sungkyunkwan University School of Medicine, 115 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Irwon-ro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 xml:space="preserve"> Gangnam-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gu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>, Seoul 06355, South Korea.</w:t>
      </w:r>
    </w:p>
    <w:p w14:paraId="2167DBBB" w14:textId="77777777" w:rsidR="0094454D" w:rsidRPr="0083477B" w:rsidRDefault="0094454D" w:rsidP="0094454D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E-mail: taerim.j.kim@gmail.com | Telephone: taerim.j.kim@gmail.com</w:t>
      </w:r>
    </w:p>
    <w:p w14:paraId="2865603D" w14:textId="77777777" w:rsidR="0094454D" w:rsidRPr="0083477B" w:rsidRDefault="0094454D" w:rsidP="0094454D">
      <w:pPr>
        <w:spacing w:before="80" w:after="60"/>
        <w:rPr>
          <w:rFonts w:ascii="times nr" w:hAnsi="times nr" w:hint="eastAsia"/>
          <w:sz w:val="20"/>
          <w:szCs w:val="20"/>
        </w:rPr>
      </w:pPr>
    </w:p>
    <w:p w14:paraId="5429CCB1" w14:textId="77777777" w:rsidR="0094454D" w:rsidRPr="0083477B" w:rsidRDefault="0094454D" w:rsidP="0094454D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b/>
          <w:bCs/>
          <w:sz w:val="20"/>
          <w:szCs w:val="20"/>
        </w:rPr>
        <w:t>Ju-Hyun Kim, MD, PhD</w:t>
      </w:r>
    </w:p>
    <w:p w14:paraId="629E758B" w14:textId="77777777" w:rsidR="0094454D" w:rsidRPr="0083477B" w:rsidRDefault="0094454D" w:rsidP="0094454D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Department of Obstetrics and Gynecology, University of Ulsan College of Medicine, Asan Medical Center, 88, Olympic-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ro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 xml:space="preserve"> 43-gil, Songpa-</w:t>
      </w:r>
      <w:proofErr w:type="spellStart"/>
      <w:r w:rsidRPr="0083477B">
        <w:rPr>
          <w:rFonts w:ascii="times nr" w:eastAsia="Times New Roman" w:hAnsi="times nr"/>
          <w:sz w:val="20"/>
          <w:szCs w:val="20"/>
        </w:rPr>
        <w:t>gu</w:t>
      </w:r>
      <w:proofErr w:type="spellEnd"/>
      <w:r w:rsidRPr="0083477B">
        <w:rPr>
          <w:rFonts w:ascii="times nr" w:eastAsia="Times New Roman" w:hAnsi="times nr"/>
          <w:sz w:val="20"/>
          <w:szCs w:val="20"/>
        </w:rPr>
        <w:t>, Seoul 05505, Republic of Korea.</w:t>
      </w:r>
    </w:p>
    <w:p w14:paraId="74104E21" w14:textId="77777777" w:rsidR="0094454D" w:rsidRPr="0083477B" w:rsidRDefault="0094454D" w:rsidP="0094454D">
      <w:pPr>
        <w:spacing w:before="120" w:after="120" w:line="480" w:lineRule="auto"/>
        <w:jc w:val="both"/>
        <w:rPr>
          <w:rFonts w:ascii="times nr" w:hAnsi="times nr" w:hint="eastAsia"/>
          <w:sz w:val="20"/>
          <w:szCs w:val="20"/>
        </w:rPr>
      </w:pPr>
      <w:r w:rsidRPr="0083477B">
        <w:rPr>
          <w:rFonts w:ascii="times nr" w:eastAsia="Times New Roman" w:hAnsi="times nr"/>
          <w:sz w:val="20"/>
          <w:szCs w:val="20"/>
        </w:rPr>
        <w:t>E-mail: smilekako@naver.com | Telephone: 82 10-9668-6227</w:t>
      </w:r>
    </w:p>
    <w:p w14:paraId="6574C375" w14:textId="77777777" w:rsid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687CDE7E" w14:textId="77777777" w:rsid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0B4BA872" w14:textId="77777777" w:rsid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745E72A2" w14:textId="77777777" w:rsid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23A0D86D" w14:textId="77777777" w:rsid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261517AB" w14:textId="77777777" w:rsid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4E6401C8" w14:textId="77777777" w:rsidR="0094454D" w:rsidRDefault="0094454D">
      <w:pPr>
        <w:pStyle w:val="1"/>
        <w:spacing w:before="79"/>
        <w:rPr>
          <w:rFonts w:ascii="times nr" w:eastAsiaTheme="minorEastAsia" w:hAnsi="times nr"/>
          <w:color w:val="1A1A1A"/>
          <w:sz w:val="24"/>
          <w:szCs w:val="24"/>
          <w:lang w:eastAsia="ko-KR"/>
        </w:rPr>
      </w:pPr>
    </w:p>
    <w:p w14:paraId="7674DD49" w14:textId="77777777" w:rsidR="0094454D" w:rsidRDefault="0094454D">
      <w:pPr>
        <w:pStyle w:val="1"/>
        <w:spacing w:before="79"/>
        <w:rPr>
          <w:rFonts w:ascii="times nr" w:eastAsiaTheme="minorEastAsia" w:hAnsi="times nr" w:hint="eastAsia"/>
          <w:color w:val="1A1A1A"/>
          <w:sz w:val="24"/>
          <w:szCs w:val="24"/>
          <w:lang w:eastAsia="ko-KR"/>
        </w:rPr>
      </w:pPr>
    </w:p>
    <w:p w14:paraId="1DA4DA84" w14:textId="40D92532" w:rsidR="004562EF" w:rsidRPr="002716D0" w:rsidRDefault="00000000">
      <w:pPr>
        <w:pStyle w:val="1"/>
        <w:spacing w:before="79"/>
        <w:rPr>
          <w:rFonts w:ascii="times nr" w:eastAsiaTheme="minorEastAsia" w:hAnsi="times nr" w:hint="eastAsia"/>
          <w:sz w:val="24"/>
          <w:szCs w:val="24"/>
          <w:lang w:eastAsia="ko-KR"/>
        </w:rPr>
      </w:pPr>
      <w:r w:rsidRPr="005D05EF">
        <w:rPr>
          <w:rFonts w:ascii="times nr" w:hAnsi="times nr"/>
          <w:color w:val="1A1A1A"/>
          <w:sz w:val="24"/>
          <w:szCs w:val="24"/>
        </w:rPr>
        <w:lastRenderedPageBreak/>
        <w:t>Supplementary</w:t>
      </w:r>
      <w:r w:rsidRPr="005D05EF">
        <w:rPr>
          <w:rFonts w:ascii="times nr" w:hAnsi="times nr"/>
          <w:color w:val="1A1A1A"/>
          <w:spacing w:val="-9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Table</w:t>
      </w:r>
      <w:r w:rsidRPr="005D05EF">
        <w:rPr>
          <w:rFonts w:ascii="times nr" w:hAnsi="times nr"/>
          <w:color w:val="1A1A1A"/>
          <w:spacing w:val="-7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1.</w:t>
      </w:r>
      <w:r w:rsidRPr="005D05EF">
        <w:rPr>
          <w:rFonts w:ascii="times nr" w:hAnsi="times nr"/>
          <w:color w:val="1A1A1A"/>
          <w:spacing w:val="-7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Treatment</w:t>
      </w:r>
      <w:r w:rsidRPr="005D05EF">
        <w:rPr>
          <w:rFonts w:ascii="times nr" w:hAnsi="times nr"/>
          <w:color w:val="1A1A1A"/>
          <w:spacing w:val="-10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Regimen</w:t>
      </w:r>
      <w:r w:rsidRPr="005D05EF">
        <w:rPr>
          <w:rFonts w:ascii="times nr" w:hAnsi="times nr"/>
          <w:color w:val="1A1A1A"/>
          <w:spacing w:val="-10"/>
          <w:sz w:val="24"/>
          <w:szCs w:val="24"/>
        </w:rPr>
        <w:t xml:space="preserve"> </w:t>
      </w:r>
      <w:r w:rsidR="002716D0">
        <w:rPr>
          <w:rFonts w:ascii="times nr" w:eastAsiaTheme="minorEastAsia" w:hAnsi="times nr" w:hint="eastAsia"/>
          <w:color w:val="1A1A1A"/>
          <w:sz w:val="24"/>
          <w:szCs w:val="24"/>
          <w:lang w:eastAsia="ko-KR"/>
        </w:rPr>
        <w:t>Categories and Examples</w:t>
      </w:r>
    </w:p>
    <w:p w14:paraId="585FAC27" w14:textId="44994E65" w:rsidR="004562EF" w:rsidRPr="005D05EF" w:rsidRDefault="00000000">
      <w:pPr>
        <w:pStyle w:val="a3"/>
        <w:spacing w:before="121"/>
        <w:ind w:left="360" w:right="434"/>
        <w:rPr>
          <w:rFonts w:ascii="times nr" w:hAnsi="times nr"/>
          <w:sz w:val="16"/>
          <w:szCs w:val="16"/>
        </w:rPr>
      </w:pPr>
      <w:r w:rsidRPr="005D05EF">
        <w:rPr>
          <w:rFonts w:ascii="times nr" w:hAnsi="times nr"/>
          <w:color w:val="545454"/>
          <w:sz w:val="16"/>
          <w:szCs w:val="16"/>
        </w:rPr>
        <w:t>Combination</w:t>
      </w:r>
      <w:r w:rsidRPr="005D05EF">
        <w:rPr>
          <w:rFonts w:ascii="times nr" w:hAnsi="times nr"/>
          <w:color w:val="545454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regimens</w:t>
      </w:r>
      <w:r w:rsidRPr="005D05EF">
        <w:rPr>
          <w:rFonts w:ascii="times nr" w:hAnsi="times nr"/>
          <w:color w:val="545454"/>
          <w:spacing w:val="-2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were</w:t>
      </w:r>
      <w:r w:rsidRPr="005D05EF">
        <w:rPr>
          <w:rFonts w:ascii="times nr" w:hAnsi="times nr"/>
          <w:color w:val="545454"/>
          <w:spacing w:val="-2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included</w:t>
      </w:r>
      <w:r w:rsidRPr="005D05EF">
        <w:rPr>
          <w:rFonts w:ascii="times nr" w:hAnsi="times nr"/>
          <w:color w:val="545454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as</w:t>
      </w:r>
      <w:r w:rsidRPr="005D05EF">
        <w:rPr>
          <w:rFonts w:ascii="times nr" w:hAnsi="times nr"/>
          <w:color w:val="545454"/>
          <w:spacing w:val="-5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a</w:t>
      </w:r>
      <w:r w:rsidRPr="005D05EF">
        <w:rPr>
          <w:rFonts w:ascii="times nr" w:hAnsi="times nr"/>
          <w:color w:val="545454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distinct</w:t>
      </w:r>
      <w:r w:rsidRPr="005D05EF">
        <w:rPr>
          <w:rFonts w:ascii="times nr" w:hAnsi="times nr"/>
          <w:color w:val="545454"/>
          <w:spacing w:val="-4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class</w:t>
      </w:r>
      <w:r w:rsidRPr="005D05EF">
        <w:rPr>
          <w:rFonts w:ascii="times nr" w:hAnsi="times nr"/>
          <w:color w:val="545454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if</w:t>
      </w:r>
      <w:r w:rsidRPr="005D05EF">
        <w:rPr>
          <w:rFonts w:ascii="times nr" w:hAnsi="times nr"/>
          <w:color w:val="545454"/>
          <w:spacing w:val="-4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an</w:t>
      </w:r>
      <w:r w:rsidRPr="005D05EF">
        <w:rPr>
          <w:rFonts w:ascii="times nr" w:hAnsi="times nr"/>
          <w:color w:val="545454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identical</w:t>
      </w:r>
      <w:r w:rsidRPr="005D05EF">
        <w:rPr>
          <w:rFonts w:ascii="times nr" w:hAnsi="times nr"/>
          <w:color w:val="545454"/>
          <w:spacing w:val="-4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pharmacological</w:t>
      </w:r>
      <w:r w:rsidRPr="005D05EF">
        <w:rPr>
          <w:rFonts w:ascii="times nr" w:hAnsi="times nr"/>
          <w:color w:val="545454"/>
          <w:spacing w:val="-4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regimen was observed in more than 50 cases. Cases</w:t>
      </w:r>
      <w:r w:rsidRPr="005D05EF">
        <w:rPr>
          <w:rFonts w:ascii="times nr" w:hAnsi="times nr"/>
          <w:color w:val="545454"/>
          <w:spacing w:val="-1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>for which</w:t>
      </w:r>
      <w:r w:rsidRPr="005D05EF">
        <w:rPr>
          <w:rFonts w:ascii="times nr" w:hAnsi="times nr"/>
          <w:color w:val="545454"/>
          <w:spacing w:val="-1"/>
          <w:sz w:val="16"/>
          <w:szCs w:val="16"/>
        </w:rPr>
        <w:t xml:space="preserve"> </w:t>
      </w:r>
      <w:r w:rsidRPr="005D05EF">
        <w:rPr>
          <w:rFonts w:ascii="times nr" w:hAnsi="times nr"/>
          <w:color w:val="545454"/>
          <w:sz w:val="16"/>
          <w:szCs w:val="16"/>
        </w:rPr>
        <w:t xml:space="preserve">treatment information was insufficient to enable pharmacological classification were </w:t>
      </w:r>
      <w:r w:rsidR="000D65AD" w:rsidRPr="005D05EF">
        <w:rPr>
          <w:rFonts w:ascii="times nr" w:hAnsi="times nr"/>
          <w:color w:val="545454"/>
          <w:sz w:val="16"/>
          <w:szCs w:val="16"/>
        </w:rPr>
        <w:t>categorized</w:t>
      </w:r>
      <w:r w:rsidRPr="005D05EF">
        <w:rPr>
          <w:rFonts w:ascii="times nr" w:hAnsi="times nr"/>
          <w:color w:val="545454"/>
          <w:sz w:val="16"/>
          <w:szCs w:val="16"/>
        </w:rPr>
        <w:t xml:space="preserve"> as ‘Others’; this group largely comprises records in which the chemotherapy regimen was documented only as ‘unspecified chemotherapy’ or equivalent non-informative entries. Representative regimen examples for each class are provided in the table below.</w:t>
      </w:r>
    </w:p>
    <w:p w14:paraId="695C48D4" w14:textId="77777777" w:rsidR="004562EF" w:rsidRPr="005D05EF" w:rsidRDefault="004562EF">
      <w:pPr>
        <w:pStyle w:val="a3"/>
        <w:rPr>
          <w:rFonts w:ascii="times nr" w:hAnsi="times nr"/>
          <w:sz w:val="14"/>
        </w:rPr>
      </w:pPr>
    </w:p>
    <w:tbl>
      <w:tblPr>
        <w:tblStyle w:val="TableNormal"/>
        <w:tblW w:w="0" w:type="auto"/>
        <w:tblInd w:w="363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6357"/>
      </w:tblGrid>
      <w:tr w:rsidR="004562EF" w:rsidRPr="005D05EF" w14:paraId="0949DA3C" w14:textId="77777777" w:rsidTr="005D05EF">
        <w:trPr>
          <w:trHeight w:val="362"/>
        </w:trPr>
        <w:tc>
          <w:tcPr>
            <w:tcW w:w="3001" w:type="dxa"/>
            <w:shd w:val="clear" w:color="auto" w:fill="FFFFFF" w:themeFill="background1"/>
          </w:tcPr>
          <w:p w14:paraId="1462E61A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b/>
                <w:sz w:val="20"/>
                <w:szCs w:val="20"/>
              </w:rPr>
            </w:pPr>
            <w:r w:rsidRPr="005D05EF">
              <w:rPr>
                <w:rFonts w:ascii="times nr" w:hAnsi="times nr"/>
                <w:b/>
                <w:color w:val="444441"/>
                <w:spacing w:val="-2"/>
                <w:sz w:val="20"/>
                <w:szCs w:val="20"/>
              </w:rPr>
              <w:t>Category</w:t>
            </w:r>
          </w:p>
        </w:tc>
        <w:tc>
          <w:tcPr>
            <w:tcW w:w="6357" w:type="dxa"/>
            <w:shd w:val="clear" w:color="auto" w:fill="FFFFFF" w:themeFill="background1"/>
          </w:tcPr>
          <w:p w14:paraId="31223B4E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b/>
                <w:sz w:val="20"/>
                <w:szCs w:val="20"/>
              </w:rPr>
            </w:pPr>
            <w:r w:rsidRPr="005D05EF">
              <w:rPr>
                <w:rFonts w:ascii="times nr" w:hAnsi="times nr"/>
                <w:b/>
                <w:color w:val="444441"/>
                <w:sz w:val="20"/>
                <w:szCs w:val="20"/>
              </w:rPr>
              <w:t>Regimens</w:t>
            </w:r>
            <w:r w:rsidRPr="005D05EF">
              <w:rPr>
                <w:rFonts w:ascii="times nr" w:hAnsi="times nr"/>
                <w:b/>
                <w:color w:val="444441"/>
                <w:spacing w:val="-2"/>
                <w:sz w:val="20"/>
                <w:szCs w:val="20"/>
              </w:rPr>
              <w:t xml:space="preserve"> Examples</w:t>
            </w:r>
          </w:p>
        </w:tc>
      </w:tr>
      <w:tr w:rsidR="004562EF" w:rsidRPr="005D05EF" w14:paraId="7943DDBC" w14:textId="77777777" w:rsidTr="005D05EF">
        <w:trPr>
          <w:trHeight w:val="364"/>
        </w:trPr>
        <w:tc>
          <w:tcPr>
            <w:tcW w:w="3001" w:type="dxa"/>
            <w:shd w:val="clear" w:color="auto" w:fill="FFFFFF" w:themeFill="background1"/>
          </w:tcPr>
          <w:p w14:paraId="7145DA6E" w14:textId="1A48A0E9" w:rsidR="004562EF" w:rsidRPr="005D05EF" w:rsidRDefault="0083239A">
            <w:pPr>
              <w:pStyle w:val="TableParagraph"/>
              <w:spacing w:before="79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Microtubule Inhibitor + DNA Crosslinking Agent</w:t>
            </w:r>
          </w:p>
        </w:tc>
        <w:tc>
          <w:tcPr>
            <w:tcW w:w="6357" w:type="dxa"/>
            <w:shd w:val="clear" w:color="auto" w:fill="FFFFFF" w:themeFill="background1"/>
          </w:tcPr>
          <w:p w14:paraId="1FD9955D" w14:textId="77777777" w:rsidR="004562EF" w:rsidRPr="005D05EF" w:rsidRDefault="00000000">
            <w:pPr>
              <w:pStyle w:val="TableParagraph"/>
              <w:spacing w:before="79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Docetaxel/Carboplatin,</w:t>
            </w:r>
            <w:r w:rsidRPr="005D05EF">
              <w:rPr>
                <w:rFonts w:ascii="times nr" w:hAnsi="times nr"/>
                <w:color w:val="1A1A1A"/>
                <w:spacing w:val="-10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5"/>
                <w:sz w:val="20"/>
                <w:szCs w:val="20"/>
              </w:rPr>
              <w:t>CVD</w:t>
            </w:r>
          </w:p>
        </w:tc>
      </w:tr>
      <w:tr w:rsidR="004562EF" w:rsidRPr="005D05EF" w14:paraId="6E6DAD97" w14:textId="77777777" w:rsidTr="005D05EF">
        <w:trPr>
          <w:trHeight w:val="571"/>
        </w:trPr>
        <w:tc>
          <w:tcPr>
            <w:tcW w:w="3001" w:type="dxa"/>
            <w:shd w:val="clear" w:color="auto" w:fill="FFFFFF" w:themeFill="background1"/>
          </w:tcPr>
          <w:p w14:paraId="3B9E640B" w14:textId="77777777" w:rsidR="004562EF" w:rsidRPr="005D05EF" w:rsidRDefault="00000000">
            <w:pPr>
              <w:pStyle w:val="TableParagraph"/>
              <w:ind w:right="128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Alkylating</w:t>
            </w:r>
            <w:r w:rsidRPr="005D05EF">
              <w:rPr>
                <w:rFonts w:ascii="times nr" w:hAnsi="times nr"/>
                <w:color w:val="1A1A1A"/>
                <w:spacing w:val="-1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Agent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</w:t>
            </w:r>
            <w:r w:rsidRPr="005D05EF">
              <w:rPr>
                <w:rFonts w:ascii="times nr" w:hAnsi="times nr"/>
                <w:color w:val="1A1A1A"/>
                <w:spacing w:val="-1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Topoisomerase II Inhibitor + Microtubule Inhibitor</w:t>
            </w:r>
          </w:p>
        </w:tc>
        <w:tc>
          <w:tcPr>
            <w:tcW w:w="6357" w:type="dxa"/>
            <w:shd w:val="clear" w:color="auto" w:fill="FFFFFF" w:themeFill="background1"/>
          </w:tcPr>
          <w:p w14:paraId="4670BF74" w14:textId="77777777" w:rsidR="004562EF" w:rsidRPr="005D05EF" w:rsidRDefault="00000000">
            <w:pPr>
              <w:pStyle w:val="TableParagraph"/>
              <w:spacing w:before="181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Hyper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CVAD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ABVD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CHOP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EPOCH</w:t>
            </w:r>
          </w:p>
        </w:tc>
      </w:tr>
      <w:tr w:rsidR="004562EF" w:rsidRPr="005D05EF" w14:paraId="728A65E9" w14:textId="77777777" w:rsidTr="005D05EF">
        <w:trPr>
          <w:trHeight w:val="570"/>
        </w:trPr>
        <w:tc>
          <w:tcPr>
            <w:tcW w:w="3001" w:type="dxa"/>
            <w:shd w:val="clear" w:color="auto" w:fill="FFFFFF" w:themeFill="background1"/>
          </w:tcPr>
          <w:p w14:paraId="00A95BA4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DNA</w:t>
            </w:r>
            <w:r w:rsidRPr="005D05EF">
              <w:rPr>
                <w:rFonts w:ascii="times nr" w:hAnsi="times nr"/>
                <w:color w:val="1A1A1A"/>
                <w:spacing w:val="-1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Crosslinking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Agent</w:t>
            </w:r>
            <w:r w:rsidRPr="005D05EF">
              <w:rPr>
                <w:rFonts w:ascii="times nr" w:hAnsi="times nr"/>
                <w:color w:val="1A1A1A"/>
                <w:spacing w:val="-1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 Topoisomerase I Inhibitor</w:t>
            </w:r>
          </w:p>
        </w:tc>
        <w:tc>
          <w:tcPr>
            <w:tcW w:w="6357" w:type="dxa"/>
            <w:shd w:val="clear" w:color="auto" w:fill="FFFFFF" w:themeFill="background1"/>
          </w:tcPr>
          <w:p w14:paraId="7C2D57B3" w14:textId="77777777" w:rsidR="004562EF" w:rsidRPr="005D05EF" w:rsidRDefault="00000000">
            <w:pPr>
              <w:pStyle w:val="TableParagraph"/>
              <w:spacing w:before="180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Topotecan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Cyclophosphamide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Irinotecan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Cisplatin</w:t>
            </w:r>
          </w:p>
        </w:tc>
      </w:tr>
      <w:tr w:rsidR="004562EF" w:rsidRPr="005D05EF" w14:paraId="3FE84747" w14:textId="77777777" w:rsidTr="005D05EF">
        <w:trPr>
          <w:trHeight w:val="364"/>
        </w:trPr>
        <w:tc>
          <w:tcPr>
            <w:tcW w:w="3001" w:type="dxa"/>
            <w:shd w:val="clear" w:color="auto" w:fill="FFFFFF" w:themeFill="background1"/>
          </w:tcPr>
          <w:p w14:paraId="42749900" w14:textId="5B3EC209" w:rsidR="004562EF" w:rsidRPr="005D05EF" w:rsidRDefault="0083239A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DNA Crosslinking Agent + Antimetabolite</w:t>
            </w:r>
          </w:p>
        </w:tc>
        <w:tc>
          <w:tcPr>
            <w:tcW w:w="6357" w:type="dxa"/>
            <w:shd w:val="clear" w:color="auto" w:fill="FFFFFF" w:themeFill="background1"/>
          </w:tcPr>
          <w:p w14:paraId="0E1E6A7F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Gemcitabine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Carboplatin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5"/>
                <w:sz w:val="20"/>
                <w:szCs w:val="20"/>
              </w:rPr>
              <w:t>CMF</w:t>
            </w:r>
          </w:p>
        </w:tc>
      </w:tr>
      <w:tr w:rsidR="004562EF" w:rsidRPr="005D05EF" w14:paraId="53B481D3" w14:textId="77777777" w:rsidTr="005D05EF">
        <w:trPr>
          <w:trHeight w:val="364"/>
        </w:trPr>
        <w:tc>
          <w:tcPr>
            <w:tcW w:w="3001" w:type="dxa"/>
            <w:shd w:val="clear" w:color="auto" w:fill="FFFFFF" w:themeFill="background1"/>
          </w:tcPr>
          <w:p w14:paraId="4D035106" w14:textId="028C0B7A" w:rsidR="004562EF" w:rsidRPr="005D05EF" w:rsidRDefault="0083239A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Antimetabolite + Topoisomerase I Inhibitor</w:t>
            </w:r>
          </w:p>
        </w:tc>
        <w:tc>
          <w:tcPr>
            <w:tcW w:w="6357" w:type="dxa"/>
            <w:shd w:val="clear" w:color="auto" w:fill="FFFFFF" w:themeFill="background1"/>
          </w:tcPr>
          <w:p w14:paraId="1348320B" w14:textId="2672CDB6" w:rsidR="004562EF" w:rsidRPr="005D05EF" w:rsidRDefault="00000000">
            <w:pPr>
              <w:pStyle w:val="TableParagraph"/>
              <w:jc w:val="left"/>
              <w:rPr>
                <w:rFonts w:ascii="times nr" w:eastAsiaTheme="minorEastAsia" w:hAnsi="times nr" w:hint="eastAsia"/>
                <w:sz w:val="20"/>
                <w:szCs w:val="20"/>
                <w:lang w:eastAsia="ko-KR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FOLFIRI</w:t>
            </w:r>
            <w:r w:rsidR="00841474" w:rsidRPr="005D05EF">
              <w:rPr>
                <w:rFonts w:ascii="times nr" w:eastAsiaTheme="minorEastAsia" w:hAnsi="times nr"/>
                <w:color w:val="1A1A1A"/>
                <w:spacing w:val="-2"/>
                <w:sz w:val="20"/>
                <w:szCs w:val="20"/>
                <w:lang w:eastAsia="ko-KR"/>
              </w:rPr>
              <w:t xml:space="preserve"> (5FU + Irinotecan)</w:t>
            </w:r>
          </w:p>
        </w:tc>
      </w:tr>
      <w:tr w:rsidR="004562EF" w:rsidRPr="005D05EF" w14:paraId="3F967081" w14:textId="77777777" w:rsidTr="005D05EF">
        <w:trPr>
          <w:trHeight w:val="571"/>
        </w:trPr>
        <w:tc>
          <w:tcPr>
            <w:tcW w:w="3001" w:type="dxa"/>
            <w:shd w:val="clear" w:color="auto" w:fill="FFFFFF" w:themeFill="background1"/>
          </w:tcPr>
          <w:p w14:paraId="4EE54D79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Topoisomerase</w:t>
            </w:r>
            <w:r w:rsidRPr="005D05EF">
              <w:rPr>
                <w:rFonts w:ascii="times nr" w:hAnsi="times nr"/>
                <w:color w:val="1A1A1A"/>
                <w:spacing w:val="-15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I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 xml:space="preserve">Inhibitor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Monotherapy</w:t>
            </w:r>
          </w:p>
        </w:tc>
        <w:tc>
          <w:tcPr>
            <w:tcW w:w="6357" w:type="dxa"/>
            <w:shd w:val="clear" w:color="auto" w:fill="FFFFFF" w:themeFill="background1"/>
          </w:tcPr>
          <w:p w14:paraId="4DDA0248" w14:textId="77777777" w:rsidR="004562EF" w:rsidRPr="005D05EF" w:rsidRDefault="00000000">
            <w:pPr>
              <w:pStyle w:val="TableParagraph"/>
              <w:spacing w:before="180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Irinotecan</w:t>
            </w:r>
          </w:p>
        </w:tc>
      </w:tr>
      <w:tr w:rsidR="004562EF" w:rsidRPr="005D05EF" w14:paraId="295AABAA" w14:textId="77777777" w:rsidTr="005D05EF">
        <w:trPr>
          <w:trHeight w:val="362"/>
        </w:trPr>
        <w:tc>
          <w:tcPr>
            <w:tcW w:w="3001" w:type="dxa"/>
            <w:shd w:val="clear" w:color="auto" w:fill="FFFFFF" w:themeFill="background1"/>
          </w:tcPr>
          <w:p w14:paraId="0966D15E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Microtubule</w:t>
            </w:r>
            <w:r w:rsidRPr="005D05EF">
              <w:rPr>
                <w:rFonts w:ascii="times nr" w:hAnsi="times nr"/>
                <w:color w:val="1A1A1A"/>
                <w:spacing w:val="-7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Inhibitor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Monotherapy</w:t>
            </w:r>
          </w:p>
        </w:tc>
        <w:tc>
          <w:tcPr>
            <w:tcW w:w="6357" w:type="dxa"/>
            <w:shd w:val="clear" w:color="auto" w:fill="FFFFFF" w:themeFill="background1"/>
          </w:tcPr>
          <w:p w14:paraId="487AC815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Paclitaxel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Docetaxel</w:t>
            </w:r>
          </w:p>
        </w:tc>
      </w:tr>
      <w:tr w:rsidR="004562EF" w:rsidRPr="005D05EF" w14:paraId="5861CC4C" w14:textId="77777777" w:rsidTr="005D05EF">
        <w:trPr>
          <w:trHeight w:val="570"/>
        </w:trPr>
        <w:tc>
          <w:tcPr>
            <w:tcW w:w="3001" w:type="dxa"/>
            <w:shd w:val="clear" w:color="auto" w:fill="FFFFFF" w:themeFill="background1"/>
          </w:tcPr>
          <w:p w14:paraId="16787107" w14:textId="77777777" w:rsidR="004562EF" w:rsidRPr="005D05EF" w:rsidRDefault="00000000">
            <w:pPr>
              <w:pStyle w:val="TableParagraph"/>
              <w:spacing w:before="79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DNA</w:t>
            </w:r>
            <w:r w:rsidRPr="005D05EF">
              <w:rPr>
                <w:rFonts w:ascii="times nr" w:hAnsi="times nr"/>
                <w:color w:val="1A1A1A"/>
                <w:spacing w:val="-1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Crosslinking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Agent</w:t>
            </w:r>
            <w:r w:rsidRPr="005D05EF">
              <w:rPr>
                <w:rFonts w:ascii="times nr" w:hAnsi="times nr"/>
                <w:color w:val="1A1A1A"/>
                <w:spacing w:val="-1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 Topoisomerase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II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Inhibitor</w:t>
            </w:r>
          </w:p>
        </w:tc>
        <w:tc>
          <w:tcPr>
            <w:tcW w:w="6357" w:type="dxa"/>
            <w:shd w:val="clear" w:color="auto" w:fill="FFFFFF" w:themeFill="background1"/>
          </w:tcPr>
          <w:p w14:paraId="2594CBF9" w14:textId="77777777" w:rsidR="004562EF" w:rsidRPr="005D05EF" w:rsidRDefault="00000000">
            <w:pPr>
              <w:pStyle w:val="TableParagraph"/>
              <w:spacing w:before="182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MAID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 xml:space="preserve">/ 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>DCEP</w:t>
            </w:r>
          </w:p>
        </w:tc>
      </w:tr>
      <w:tr w:rsidR="004562EF" w:rsidRPr="005D05EF" w14:paraId="6BA0EB9D" w14:textId="77777777" w:rsidTr="005D05EF">
        <w:trPr>
          <w:trHeight w:val="571"/>
        </w:trPr>
        <w:tc>
          <w:tcPr>
            <w:tcW w:w="3001" w:type="dxa"/>
            <w:shd w:val="clear" w:color="auto" w:fill="FFFFFF" w:themeFill="background1"/>
          </w:tcPr>
          <w:p w14:paraId="3AE76C55" w14:textId="77777777" w:rsidR="004562EF" w:rsidRPr="005D05EF" w:rsidRDefault="00000000">
            <w:pPr>
              <w:pStyle w:val="TableParagraph"/>
              <w:spacing w:before="80"/>
              <w:ind w:right="128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Microtubule</w:t>
            </w:r>
            <w:r w:rsidRPr="005D05EF">
              <w:rPr>
                <w:rFonts w:ascii="times nr" w:hAnsi="times nr"/>
                <w:color w:val="1A1A1A"/>
                <w:spacing w:val="-15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Inhibitor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 xml:space="preserve">+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Antimetabolite</w:t>
            </w:r>
          </w:p>
        </w:tc>
        <w:tc>
          <w:tcPr>
            <w:tcW w:w="6357" w:type="dxa"/>
            <w:shd w:val="clear" w:color="auto" w:fill="FFFFFF" w:themeFill="background1"/>
          </w:tcPr>
          <w:p w14:paraId="5B33C1DC" w14:textId="77777777" w:rsidR="004562EF" w:rsidRPr="005D05EF" w:rsidRDefault="00000000">
            <w:pPr>
              <w:pStyle w:val="TableParagraph"/>
              <w:spacing w:before="183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Gemcitabine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Docetaxel</w:t>
            </w:r>
          </w:p>
        </w:tc>
      </w:tr>
      <w:tr w:rsidR="004562EF" w:rsidRPr="005D05EF" w14:paraId="0F0E14E5" w14:textId="77777777" w:rsidTr="005D05EF">
        <w:trPr>
          <w:trHeight w:val="364"/>
        </w:trPr>
        <w:tc>
          <w:tcPr>
            <w:tcW w:w="3001" w:type="dxa"/>
            <w:shd w:val="clear" w:color="auto" w:fill="FFFFFF" w:themeFill="background1"/>
          </w:tcPr>
          <w:p w14:paraId="177BC5F2" w14:textId="77777777" w:rsidR="004562EF" w:rsidRPr="005D05EF" w:rsidRDefault="00000000">
            <w:pPr>
              <w:pStyle w:val="TableParagraph"/>
              <w:spacing w:before="79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Antimetabolite</w:t>
            </w:r>
            <w:r w:rsidRPr="005D05EF">
              <w:rPr>
                <w:rFonts w:ascii="times nr" w:hAnsi="times nr"/>
                <w:color w:val="1A1A1A"/>
                <w:spacing w:val="-8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Monotherapy</w:t>
            </w:r>
          </w:p>
        </w:tc>
        <w:tc>
          <w:tcPr>
            <w:tcW w:w="6357" w:type="dxa"/>
            <w:shd w:val="clear" w:color="auto" w:fill="FFFFFF" w:themeFill="background1"/>
          </w:tcPr>
          <w:p w14:paraId="02659B93" w14:textId="77777777" w:rsidR="004562EF" w:rsidRPr="005D05EF" w:rsidRDefault="00000000">
            <w:pPr>
              <w:pStyle w:val="TableParagraph"/>
              <w:spacing w:before="79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Decitabine,</w:t>
            </w:r>
            <w:r w:rsidRPr="005D05EF">
              <w:rPr>
                <w:rFonts w:ascii="times nr" w:hAnsi="times nr"/>
                <w:color w:val="1A1A1A"/>
                <w:spacing w:val="-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5-</w:t>
            </w:r>
            <w:r w:rsidRPr="005D05EF">
              <w:rPr>
                <w:rFonts w:ascii="times nr" w:hAnsi="times nr"/>
                <w:color w:val="1A1A1A"/>
                <w:spacing w:val="-5"/>
                <w:sz w:val="20"/>
                <w:szCs w:val="20"/>
              </w:rPr>
              <w:t>FU</w:t>
            </w:r>
          </w:p>
        </w:tc>
      </w:tr>
      <w:tr w:rsidR="004562EF" w:rsidRPr="005D05EF" w14:paraId="62308E10" w14:textId="77777777" w:rsidTr="005D05EF">
        <w:trPr>
          <w:trHeight w:val="777"/>
        </w:trPr>
        <w:tc>
          <w:tcPr>
            <w:tcW w:w="3001" w:type="dxa"/>
            <w:shd w:val="clear" w:color="auto" w:fill="FFFFFF" w:themeFill="background1"/>
          </w:tcPr>
          <w:p w14:paraId="2A445B67" w14:textId="77777777" w:rsidR="004562EF" w:rsidRPr="005D05EF" w:rsidRDefault="00000000">
            <w:pPr>
              <w:pStyle w:val="TableParagraph"/>
              <w:ind w:right="128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Microtubule</w:t>
            </w:r>
            <w:r w:rsidRPr="005D05EF">
              <w:rPr>
                <w:rFonts w:ascii="times nr" w:hAnsi="times nr"/>
                <w:color w:val="1A1A1A"/>
                <w:spacing w:val="-13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Inhibitor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 xml:space="preserve">DNA Crosslinking Agent +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Antimetabolite</w:t>
            </w:r>
          </w:p>
        </w:tc>
        <w:tc>
          <w:tcPr>
            <w:tcW w:w="6357" w:type="dxa"/>
            <w:shd w:val="clear" w:color="auto" w:fill="FFFFFF" w:themeFill="background1"/>
          </w:tcPr>
          <w:p w14:paraId="1B735078" w14:textId="77777777" w:rsidR="004562EF" w:rsidRPr="005D05EF" w:rsidRDefault="004562EF">
            <w:pPr>
              <w:pStyle w:val="TableParagraph"/>
              <w:spacing w:before="78"/>
              <w:ind w:left="0"/>
              <w:jc w:val="left"/>
              <w:rPr>
                <w:rFonts w:ascii="times nr" w:hAnsi="times nr"/>
                <w:sz w:val="20"/>
                <w:szCs w:val="20"/>
              </w:rPr>
            </w:pPr>
          </w:p>
          <w:p w14:paraId="31E2BB19" w14:textId="77777777" w:rsidR="004562EF" w:rsidRPr="005D05EF" w:rsidRDefault="00000000">
            <w:pPr>
              <w:pStyle w:val="TableParagraph"/>
              <w:spacing w:before="1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CMV / R-</w:t>
            </w:r>
            <w:r w:rsidRPr="005D05EF">
              <w:rPr>
                <w:rFonts w:ascii="times nr" w:hAnsi="times nr"/>
                <w:color w:val="1A1A1A"/>
                <w:spacing w:val="-5"/>
                <w:sz w:val="20"/>
                <w:szCs w:val="20"/>
              </w:rPr>
              <w:t>MVP</w:t>
            </w:r>
          </w:p>
        </w:tc>
      </w:tr>
      <w:tr w:rsidR="004562EF" w:rsidRPr="005D05EF" w14:paraId="5145F3E9" w14:textId="77777777" w:rsidTr="005D05EF">
        <w:trPr>
          <w:trHeight w:val="364"/>
        </w:trPr>
        <w:tc>
          <w:tcPr>
            <w:tcW w:w="3001" w:type="dxa"/>
            <w:shd w:val="clear" w:color="auto" w:fill="FFFFFF" w:themeFill="background1"/>
          </w:tcPr>
          <w:p w14:paraId="7BC6EFCC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Targeted</w:t>
            </w:r>
            <w:r w:rsidRPr="005D05EF">
              <w:rPr>
                <w:rFonts w:ascii="times nr" w:hAnsi="times nr"/>
                <w:color w:val="1A1A1A"/>
                <w:spacing w:val="-5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Inhibitor</w:t>
            </w:r>
            <w:r w:rsidRPr="005D05EF">
              <w:rPr>
                <w:rFonts w:ascii="times nr" w:hAnsi="times nr"/>
                <w:color w:val="1A1A1A"/>
                <w:spacing w:val="-6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Molecules</w:t>
            </w:r>
          </w:p>
        </w:tc>
        <w:tc>
          <w:tcPr>
            <w:tcW w:w="6357" w:type="dxa"/>
            <w:shd w:val="clear" w:color="auto" w:fill="FFFFFF" w:themeFill="background1"/>
          </w:tcPr>
          <w:p w14:paraId="19EA6C35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Gefitinib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Bortezomib</w:t>
            </w:r>
          </w:p>
        </w:tc>
      </w:tr>
      <w:tr w:rsidR="004562EF" w:rsidRPr="005D05EF" w14:paraId="4E8DEB29" w14:textId="77777777" w:rsidTr="005D05EF">
        <w:trPr>
          <w:trHeight w:val="364"/>
        </w:trPr>
        <w:tc>
          <w:tcPr>
            <w:tcW w:w="3001" w:type="dxa"/>
            <w:shd w:val="clear" w:color="auto" w:fill="FFFFFF" w:themeFill="background1"/>
          </w:tcPr>
          <w:p w14:paraId="03AB1681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Monoclonal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Antibodies</w:t>
            </w:r>
          </w:p>
        </w:tc>
        <w:tc>
          <w:tcPr>
            <w:tcW w:w="6357" w:type="dxa"/>
            <w:shd w:val="clear" w:color="auto" w:fill="FFFFFF" w:themeFill="background1"/>
          </w:tcPr>
          <w:p w14:paraId="558AF2B5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proofErr w:type="spellStart"/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Glofitamab</w:t>
            </w:r>
            <w:proofErr w:type="spellEnd"/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Denosumab</w:t>
            </w:r>
            <w:r w:rsidRPr="005D05EF">
              <w:rPr>
                <w:rFonts w:ascii="times nr" w:hAnsi="times nr"/>
                <w:color w:val="1A1A1A"/>
                <w:spacing w:val="-4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1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Bevacizumab</w:t>
            </w:r>
          </w:p>
        </w:tc>
      </w:tr>
      <w:tr w:rsidR="004562EF" w:rsidRPr="005D05EF" w14:paraId="3C25120D" w14:textId="77777777" w:rsidTr="005D05EF">
        <w:trPr>
          <w:trHeight w:val="571"/>
        </w:trPr>
        <w:tc>
          <w:tcPr>
            <w:tcW w:w="3001" w:type="dxa"/>
            <w:shd w:val="clear" w:color="auto" w:fill="FFFFFF" w:themeFill="background1"/>
          </w:tcPr>
          <w:p w14:paraId="358362D4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Antimetabolite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+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Topoisomerase</w:t>
            </w:r>
            <w:r w:rsidRPr="005D05EF">
              <w:rPr>
                <w:rFonts w:ascii="times nr" w:hAnsi="times nr"/>
                <w:color w:val="1A1A1A"/>
                <w:spacing w:val="-1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 xml:space="preserve">II 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>Inhibitor</w:t>
            </w:r>
          </w:p>
        </w:tc>
        <w:tc>
          <w:tcPr>
            <w:tcW w:w="6357" w:type="dxa"/>
            <w:shd w:val="clear" w:color="auto" w:fill="FFFFFF" w:themeFill="background1"/>
          </w:tcPr>
          <w:p w14:paraId="0C733E2E" w14:textId="77777777" w:rsidR="004562EF" w:rsidRPr="005D05EF" w:rsidRDefault="00000000">
            <w:pPr>
              <w:pStyle w:val="TableParagraph"/>
              <w:spacing w:before="180"/>
              <w:jc w:val="left"/>
              <w:rPr>
                <w:rFonts w:ascii="times nr" w:hAnsi="times nr"/>
                <w:sz w:val="20"/>
                <w:szCs w:val="20"/>
              </w:rPr>
            </w:pP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HiDAC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20"/>
                <w:szCs w:val="20"/>
              </w:rPr>
              <w:t>/</w:t>
            </w:r>
            <w:r w:rsidRPr="005D05EF">
              <w:rPr>
                <w:rFonts w:ascii="times nr" w:hAnsi="times nr"/>
                <w:color w:val="1A1A1A"/>
                <w:spacing w:val="-2"/>
                <w:sz w:val="20"/>
                <w:szCs w:val="20"/>
              </w:rPr>
              <w:t xml:space="preserve"> Idarubicin</w:t>
            </w:r>
          </w:p>
        </w:tc>
      </w:tr>
    </w:tbl>
    <w:p w14:paraId="75323E0F" w14:textId="77777777" w:rsidR="004562EF" w:rsidRPr="005D05EF" w:rsidRDefault="004562EF">
      <w:pPr>
        <w:pStyle w:val="TableParagraph"/>
        <w:jc w:val="left"/>
        <w:rPr>
          <w:rFonts w:ascii="times nr" w:hAnsi="times nr"/>
          <w:sz w:val="18"/>
        </w:rPr>
        <w:sectPr w:rsidR="004562EF" w:rsidRPr="005D05EF">
          <w:type w:val="continuous"/>
          <w:pgSz w:w="12240" w:h="15840"/>
          <w:pgMar w:top="1600" w:right="1080" w:bottom="280" w:left="1080" w:header="720" w:footer="720" w:gutter="0"/>
          <w:cols w:space="720"/>
        </w:sectPr>
      </w:pPr>
    </w:p>
    <w:p w14:paraId="2383AE47" w14:textId="77777777" w:rsidR="004562EF" w:rsidRPr="005D05EF" w:rsidRDefault="00000000">
      <w:pPr>
        <w:pStyle w:val="1"/>
        <w:spacing w:line="230" w:lineRule="auto"/>
        <w:ind w:right="526"/>
        <w:rPr>
          <w:rFonts w:ascii="times nr" w:hAnsi="times nr"/>
          <w:sz w:val="24"/>
          <w:szCs w:val="24"/>
        </w:rPr>
      </w:pPr>
      <w:r w:rsidRPr="005D05EF">
        <w:rPr>
          <w:rFonts w:ascii="times nr" w:hAnsi="times nr"/>
          <w:color w:val="1A1A1A"/>
          <w:sz w:val="24"/>
          <w:szCs w:val="24"/>
        </w:rPr>
        <w:lastRenderedPageBreak/>
        <w:t>Supplementary</w:t>
      </w:r>
      <w:r w:rsidRPr="005D05EF">
        <w:rPr>
          <w:rFonts w:ascii="times nr" w:hAnsi="times nr"/>
          <w:color w:val="1A1A1A"/>
          <w:spacing w:val="-5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Table</w:t>
      </w:r>
      <w:r w:rsidRPr="005D05EF">
        <w:rPr>
          <w:rFonts w:ascii="times nr" w:hAnsi="times nr"/>
          <w:color w:val="1A1A1A"/>
          <w:spacing w:val="-7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2.</w:t>
      </w:r>
      <w:r w:rsidRPr="005D05EF">
        <w:rPr>
          <w:rFonts w:ascii="times nr" w:hAnsi="times nr"/>
          <w:color w:val="1A1A1A"/>
          <w:spacing w:val="-25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Distribution</w:t>
      </w:r>
      <w:r w:rsidRPr="005D05EF">
        <w:rPr>
          <w:rFonts w:ascii="times nr" w:hAnsi="times nr"/>
          <w:color w:val="1A1A1A"/>
          <w:spacing w:val="-4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of</w:t>
      </w:r>
      <w:r w:rsidRPr="005D05EF">
        <w:rPr>
          <w:rFonts w:ascii="times nr" w:hAnsi="times nr"/>
          <w:color w:val="1A1A1A"/>
          <w:spacing w:val="-6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cancer</w:t>
      </w:r>
      <w:r w:rsidRPr="005D05EF">
        <w:rPr>
          <w:rFonts w:ascii="times nr" w:hAnsi="times nr"/>
          <w:color w:val="1A1A1A"/>
          <w:spacing w:val="-5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types</w:t>
      </w:r>
      <w:r w:rsidRPr="005D05EF">
        <w:rPr>
          <w:rFonts w:ascii="times nr" w:hAnsi="times nr"/>
          <w:color w:val="1A1A1A"/>
          <w:spacing w:val="-4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by</w:t>
      </w:r>
      <w:r w:rsidRPr="005D05EF">
        <w:rPr>
          <w:rFonts w:ascii="times nr" w:hAnsi="times nr"/>
          <w:color w:val="1A1A1A"/>
          <w:spacing w:val="-3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organ</w:t>
      </w:r>
      <w:r w:rsidRPr="005D05EF">
        <w:rPr>
          <w:rFonts w:ascii="times nr" w:hAnsi="times nr"/>
          <w:color w:val="1A1A1A"/>
          <w:spacing w:val="-1"/>
          <w:sz w:val="24"/>
          <w:szCs w:val="24"/>
        </w:rPr>
        <w:t xml:space="preserve"> </w:t>
      </w:r>
      <w:r w:rsidRPr="005D05EF">
        <w:rPr>
          <w:rFonts w:ascii="times nr" w:hAnsi="times nr"/>
          <w:color w:val="1A1A1A"/>
          <w:sz w:val="24"/>
          <w:szCs w:val="24"/>
        </w:rPr>
        <w:t>across treatment-based clusters.</w:t>
      </w:r>
    </w:p>
    <w:p w14:paraId="0DC191C5" w14:textId="77777777" w:rsidR="004562EF" w:rsidRPr="005D05EF" w:rsidRDefault="00000000">
      <w:pPr>
        <w:pStyle w:val="a3"/>
        <w:spacing w:before="245"/>
        <w:ind w:left="360" w:right="415"/>
        <w:rPr>
          <w:rFonts w:ascii="times nr" w:hAnsi="times nr"/>
          <w:color w:val="000000" w:themeColor="text1"/>
          <w:sz w:val="16"/>
          <w:szCs w:val="16"/>
        </w:rPr>
      </w:pPr>
      <w:r w:rsidRPr="005D05EF">
        <w:rPr>
          <w:rFonts w:ascii="times nr" w:hAnsi="times nr"/>
          <w:color w:val="000000" w:themeColor="text1"/>
          <w:sz w:val="16"/>
          <w:szCs w:val="16"/>
        </w:rPr>
        <w:t>A total of 5,150 cases were assigned to four clusters based on their chemotherapy regimens. Each cluster exhibited a distinct cancer-type composition. Cluster 1 (n</w:t>
      </w:r>
      <w:r w:rsidRPr="005D05EF">
        <w:rPr>
          <w:rFonts w:ascii="times nr" w:hAnsi="times nr"/>
          <w:color w:val="000000" w:themeColor="text1"/>
          <w:spacing w:val="-12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0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2,084) was predominantly composed of cases with unspecified solid cancers, mostly carcinoma: unspecified carcinoma accounted for 71.8% (n</w:t>
      </w:r>
      <w:r w:rsidRPr="005D05EF">
        <w:rPr>
          <w:rFonts w:ascii="times nr" w:hAnsi="times nr"/>
          <w:color w:val="000000" w:themeColor="text1"/>
          <w:spacing w:val="-12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3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1,496) and unspecified adenocarcinoma for a further 7.6% (n</w:t>
      </w:r>
      <w:r w:rsidRPr="005D05EF">
        <w:rPr>
          <w:rFonts w:ascii="times nr" w:hAnsi="times nr"/>
          <w:color w:val="000000" w:themeColor="text1"/>
          <w:spacing w:val="-14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1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158), together comprising 79.4% of all cases in this cluster. These cases lacked sufficient diagnostic information to permit histological classification and therefore could not be assigned to a specific cancer-type category.</w:t>
      </w:r>
      <w:r w:rsidRPr="005D05EF">
        <w:rPr>
          <w:rFonts w:ascii="times nr" w:hAnsi="times nr"/>
          <w:color w:val="000000" w:themeColor="text1"/>
          <w:spacing w:val="29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Cluster 2 (n</w:t>
      </w:r>
      <w:r w:rsidRPr="005D05EF">
        <w:rPr>
          <w:rFonts w:ascii="times nr" w:hAnsi="times nr"/>
          <w:color w:val="000000" w:themeColor="text1"/>
          <w:spacing w:val="-16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1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 xml:space="preserve">608) was most strongly represented by hematological malignancies, with leukemia (30.8%), lymphoma (12.7%), and connective tissue tumors (11.8%) together accounting for </w:t>
      </w:r>
      <w:proofErr w:type="gramStart"/>
      <w:r w:rsidRPr="005D05EF">
        <w:rPr>
          <w:rFonts w:ascii="times nr" w:hAnsi="times nr"/>
          <w:color w:val="000000" w:themeColor="text1"/>
          <w:sz w:val="16"/>
          <w:szCs w:val="16"/>
        </w:rPr>
        <w:t>the majority of</w:t>
      </w:r>
      <w:proofErr w:type="gramEnd"/>
      <w:r w:rsidRPr="005D05EF">
        <w:rPr>
          <w:rFonts w:ascii="times nr" w:hAnsi="times nr"/>
          <w:color w:val="000000" w:themeColor="text1"/>
          <w:sz w:val="16"/>
          <w:szCs w:val="16"/>
        </w:rPr>
        <w:t xml:space="preserve"> cases. Brain tumors (15.1%) were also notably prevalent.</w:t>
      </w:r>
      <w:r w:rsidRPr="005D05EF">
        <w:rPr>
          <w:rFonts w:ascii="times nr" w:hAnsi="times nr"/>
          <w:color w:val="000000" w:themeColor="text1"/>
          <w:spacing w:val="30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Cluster 3 (n</w:t>
      </w:r>
      <w:r w:rsidRPr="005D05EF">
        <w:rPr>
          <w:rFonts w:ascii="times nr" w:hAnsi="times nr"/>
          <w:color w:val="000000" w:themeColor="text1"/>
          <w:spacing w:val="-15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1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1,232) was dominated by breast cancer, which constituted 54.5% of all cases (n</w:t>
      </w:r>
      <w:r w:rsidRPr="005D05EF">
        <w:rPr>
          <w:rFonts w:ascii="times nr" w:hAnsi="times nr"/>
          <w:color w:val="000000" w:themeColor="text1"/>
          <w:spacing w:val="-15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1"/>
          <w:sz w:val="16"/>
          <w:szCs w:val="16"/>
        </w:rPr>
        <w:t xml:space="preserve"> </w:t>
      </w:r>
      <w:proofErr w:type="gramStart"/>
      <w:r w:rsidRPr="005D05EF">
        <w:rPr>
          <w:rFonts w:ascii="times nr" w:hAnsi="times nr"/>
          <w:color w:val="000000" w:themeColor="text1"/>
          <w:sz w:val="16"/>
          <w:szCs w:val="16"/>
        </w:rPr>
        <w:t>671) —</w:t>
      </w:r>
      <w:proofErr w:type="gramEnd"/>
      <w:r w:rsidRPr="005D05EF">
        <w:rPr>
          <w:rFonts w:ascii="times nr" w:hAnsi="times nr"/>
          <w:color w:val="000000" w:themeColor="text1"/>
          <w:sz w:val="16"/>
          <w:szCs w:val="16"/>
        </w:rPr>
        <w:t xml:space="preserve"> the second largest specified cancer-type proportion observed across any cluster, followed by lymphoma composition in Cluster 4. The remaining cases included unspecified carcinoma (30.4%) and unspecified adenocarcinoma (3.7%), for which no further diagnostic detail was available.</w:t>
      </w:r>
      <w:r w:rsidRPr="005D05EF">
        <w:rPr>
          <w:rFonts w:ascii="times nr" w:hAnsi="times nr"/>
          <w:color w:val="000000" w:themeColor="text1"/>
          <w:spacing w:val="34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Cluster 4 (n</w:t>
      </w:r>
      <w:r w:rsidRPr="005D05EF">
        <w:rPr>
          <w:rFonts w:ascii="times nr" w:hAnsi="times nr"/>
          <w:color w:val="000000" w:themeColor="text1"/>
          <w:spacing w:val="-13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4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1,226) was characterized</w:t>
      </w:r>
      <w:r w:rsidRPr="005D05EF">
        <w:rPr>
          <w:rFonts w:ascii="times nr" w:hAnsi="times nr"/>
          <w:color w:val="000000" w:themeColor="text1"/>
          <w:spacing w:val="-6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by</w:t>
      </w:r>
      <w:r w:rsidRPr="005D05EF">
        <w:rPr>
          <w:rFonts w:ascii="times nr" w:hAnsi="times nr"/>
          <w:color w:val="000000" w:themeColor="text1"/>
          <w:spacing w:val="-5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lymphoid</w:t>
      </w:r>
      <w:r w:rsidRPr="005D05EF">
        <w:rPr>
          <w:rFonts w:ascii="times nr" w:hAnsi="times nr"/>
          <w:color w:val="000000" w:themeColor="text1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and</w:t>
      </w:r>
      <w:r w:rsidRPr="005D05EF">
        <w:rPr>
          <w:rFonts w:ascii="times nr" w:hAnsi="times nr"/>
          <w:color w:val="000000" w:themeColor="text1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plasma</w:t>
      </w:r>
      <w:r w:rsidRPr="005D05EF">
        <w:rPr>
          <w:rFonts w:ascii="times nr" w:hAnsi="times nr"/>
          <w:color w:val="000000" w:themeColor="text1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cell</w:t>
      </w:r>
      <w:r w:rsidRPr="005D05EF">
        <w:rPr>
          <w:rFonts w:ascii="times nr" w:hAnsi="times nr"/>
          <w:color w:val="000000" w:themeColor="text1"/>
          <w:spacing w:val="-6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malignancies:</w:t>
      </w:r>
      <w:r w:rsidRPr="005D05EF">
        <w:rPr>
          <w:rFonts w:ascii="times nr" w:hAnsi="times nr"/>
          <w:color w:val="000000" w:themeColor="text1"/>
          <w:spacing w:val="-2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lymphoma</w:t>
      </w:r>
      <w:r w:rsidRPr="005D05EF">
        <w:rPr>
          <w:rFonts w:ascii="times nr" w:hAnsi="times nr"/>
          <w:color w:val="000000" w:themeColor="text1"/>
          <w:spacing w:val="-5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comprised</w:t>
      </w:r>
      <w:r w:rsidRPr="005D05EF">
        <w:rPr>
          <w:rFonts w:ascii="times nr" w:hAnsi="times nr"/>
          <w:color w:val="000000" w:themeColor="text1"/>
          <w:spacing w:val="-3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76.4%</w:t>
      </w:r>
      <w:r w:rsidRPr="005D05EF">
        <w:rPr>
          <w:rFonts w:ascii="times nr" w:hAnsi="times nr"/>
          <w:color w:val="000000" w:themeColor="text1"/>
          <w:spacing w:val="-5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(n</w:t>
      </w:r>
      <w:r w:rsidRPr="005D05EF">
        <w:rPr>
          <w:rFonts w:ascii="times nr" w:hAnsi="times nr"/>
          <w:color w:val="000000" w:themeColor="text1"/>
          <w:spacing w:val="-21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17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937) and multiple myeloma 11.8% (n</w:t>
      </w:r>
      <w:r w:rsidRPr="005D05EF">
        <w:rPr>
          <w:rFonts w:ascii="times nr" w:hAnsi="times nr"/>
          <w:color w:val="000000" w:themeColor="text1"/>
          <w:spacing w:val="-10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=</w:t>
      </w:r>
      <w:r w:rsidRPr="005D05EF">
        <w:rPr>
          <w:rFonts w:ascii="times nr" w:hAnsi="times nr"/>
          <w:color w:val="000000" w:themeColor="text1"/>
          <w:spacing w:val="-7"/>
          <w:sz w:val="16"/>
          <w:szCs w:val="16"/>
        </w:rPr>
        <w:t xml:space="preserve"> </w:t>
      </w:r>
      <w:r w:rsidRPr="005D05EF">
        <w:rPr>
          <w:rFonts w:ascii="times nr" w:hAnsi="times nr"/>
          <w:color w:val="000000" w:themeColor="text1"/>
          <w:sz w:val="16"/>
          <w:szCs w:val="16"/>
        </w:rPr>
        <w:t>145) of cases in this cluster.</w:t>
      </w:r>
    </w:p>
    <w:p w14:paraId="5601D9FA" w14:textId="77777777" w:rsidR="004562EF" w:rsidRPr="005D05EF" w:rsidRDefault="004562EF">
      <w:pPr>
        <w:pStyle w:val="a3"/>
        <w:spacing w:before="4"/>
        <w:rPr>
          <w:rFonts w:ascii="times nr" w:hAnsi="times nr"/>
          <w:sz w:val="10"/>
        </w:rPr>
      </w:pPr>
    </w:p>
    <w:tbl>
      <w:tblPr>
        <w:tblStyle w:val="TableNormal"/>
        <w:tblW w:w="0" w:type="auto"/>
        <w:tblInd w:w="363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352"/>
        <w:gridCol w:w="1349"/>
        <w:gridCol w:w="1352"/>
        <w:gridCol w:w="1349"/>
      </w:tblGrid>
      <w:tr w:rsidR="004562EF" w:rsidRPr="005D05EF" w14:paraId="7C959673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20143A7E" w14:textId="77777777" w:rsidR="004562EF" w:rsidRPr="005D05EF" w:rsidRDefault="00000000">
            <w:pPr>
              <w:pStyle w:val="TableParagraph"/>
              <w:spacing w:before="79"/>
              <w:jc w:val="left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444441"/>
                <w:sz w:val="18"/>
              </w:rPr>
              <w:t>Cancer</w:t>
            </w:r>
            <w:r w:rsidRPr="005D05EF">
              <w:rPr>
                <w:rFonts w:ascii="times nr" w:hAnsi="times nr"/>
                <w:b/>
                <w:color w:val="444441"/>
                <w:spacing w:val="-4"/>
                <w:sz w:val="18"/>
              </w:rPr>
              <w:t xml:space="preserve"> Type</w:t>
            </w:r>
          </w:p>
        </w:tc>
        <w:tc>
          <w:tcPr>
            <w:tcW w:w="1352" w:type="dxa"/>
            <w:shd w:val="clear" w:color="auto" w:fill="FFFFFF" w:themeFill="background1"/>
          </w:tcPr>
          <w:p w14:paraId="4314B21D" w14:textId="77777777" w:rsidR="004562EF" w:rsidRPr="005D05EF" w:rsidRDefault="00000000">
            <w:pPr>
              <w:pStyle w:val="TableParagraph"/>
              <w:spacing w:before="79"/>
              <w:ind w:left="5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444441"/>
                <w:sz w:val="18"/>
              </w:rPr>
              <w:t>Cluster</w:t>
            </w:r>
            <w:r w:rsidRPr="005D05EF">
              <w:rPr>
                <w:rFonts w:ascii="times nr" w:hAnsi="times nr"/>
                <w:b/>
                <w:color w:val="444441"/>
                <w:spacing w:val="-4"/>
                <w:sz w:val="18"/>
              </w:rPr>
              <w:t xml:space="preserve"> </w:t>
            </w:r>
            <w:r w:rsidRPr="005D05EF">
              <w:rPr>
                <w:rFonts w:ascii="times nr" w:hAnsi="times nr"/>
                <w:b/>
                <w:color w:val="444441"/>
                <w:spacing w:val="-10"/>
                <w:sz w:val="18"/>
              </w:rPr>
              <w:t>1</w:t>
            </w:r>
          </w:p>
        </w:tc>
        <w:tc>
          <w:tcPr>
            <w:tcW w:w="1349" w:type="dxa"/>
            <w:shd w:val="clear" w:color="auto" w:fill="FFFFFF" w:themeFill="background1"/>
          </w:tcPr>
          <w:p w14:paraId="0C01E12C" w14:textId="77777777" w:rsidR="004562EF" w:rsidRPr="005D05EF" w:rsidRDefault="00000000">
            <w:pPr>
              <w:pStyle w:val="TableParagraph"/>
              <w:spacing w:before="79"/>
              <w:ind w:left="7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444441"/>
                <w:sz w:val="18"/>
              </w:rPr>
              <w:t>Cluster</w:t>
            </w:r>
            <w:r w:rsidRPr="005D05EF">
              <w:rPr>
                <w:rFonts w:ascii="times nr" w:hAnsi="times nr"/>
                <w:b/>
                <w:color w:val="444441"/>
                <w:spacing w:val="-4"/>
                <w:sz w:val="18"/>
              </w:rPr>
              <w:t xml:space="preserve"> </w:t>
            </w:r>
            <w:r w:rsidRPr="005D05EF">
              <w:rPr>
                <w:rFonts w:ascii="times nr" w:hAnsi="times nr"/>
                <w:b/>
                <w:color w:val="444441"/>
                <w:spacing w:val="-10"/>
                <w:sz w:val="18"/>
              </w:rPr>
              <w:t>2</w:t>
            </w:r>
          </w:p>
        </w:tc>
        <w:tc>
          <w:tcPr>
            <w:tcW w:w="1352" w:type="dxa"/>
            <w:shd w:val="clear" w:color="auto" w:fill="FFFFFF" w:themeFill="background1"/>
          </w:tcPr>
          <w:p w14:paraId="3F281845" w14:textId="77777777" w:rsidR="004562EF" w:rsidRPr="005D05EF" w:rsidRDefault="00000000">
            <w:pPr>
              <w:pStyle w:val="TableParagraph"/>
              <w:spacing w:before="79"/>
              <w:ind w:left="5" w:right="3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444441"/>
                <w:sz w:val="18"/>
              </w:rPr>
              <w:t>Cluster</w:t>
            </w:r>
            <w:r w:rsidRPr="005D05EF">
              <w:rPr>
                <w:rFonts w:ascii="times nr" w:hAnsi="times nr"/>
                <w:b/>
                <w:color w:val="444441"/>
                <w:spacing w:val="-4"/>
                <w:sz w:val="18"/>
              </w:rPr>
              <w:t xml:space="preserve"> </w:t>
            </w:r>
            <w:r w:rsidRPr="005D05EF">
              <w:rPr>
                <w:rFonts w:ascii="times nr" w:hAnsi="times nr"/>
                <w:b/>
                <w:color w:val="444441"/>
                <w:spacing w:val="-10"/>
                <w:sz w:val="18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0037ED41" w14:textId="77777777" w:rsidR="004562EF" w:rsidRPr="005D05EF" w:rsidRDefault="00000000">
            <w:pPr>
              <w:pStyle w:val="TableParagraph"/>
              <w:spacing w:before="79"/>
              <w:ind w:left="7" w:right="2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444441"/>
                <w:sz w:val="18"/>
              </w:rPr>
              <w:t>Cluster</w:t>
            </w:r>
            <w:r w:rsidRPr="005D05EF">
              <w:rPr>
                <w:rFonts w:ascii="times nr" w:hAnsi="times nr"/>
                <w:b/>
                <w:color w:val="444441"/>
                <w:spacing w:val="-4"/>
                <w:sz w:val="18"/>
              </w:rPr>
              <w:t xml:space="preserve"> </w:t>
            </w:r>
            <w:r w:rsidRPr="005D05EF">
              <w:rPr>
                <w:rFonts w:ascii="times nr" w:hAnsi="times nr"/>
                <w:b/>
                <w:color w:val="444441"/>
                <w:spacing w:val="-10"/>
                <w:sz w:val="18"/>
              </w:rPr>
              <w:t>4</w:t>
            </w:r>
          </w:p>
        </w:tc>
      </w:tr>
      <w:tr w:rsidR="004562EF" w:rsidRPr="005D05EF" w14:paraId="3C356C32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11B9B0B1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Brain</w:t>
            </w:r>
          </w:p>
        </w:tc>
        <w:tc>
          <w:tcPr>
            <w:tcW w:w="1352" w:type="dxa"/>
            <w:shd w:val="clear" w:color="auto" w:fill="FFFFFF" w:themeFill="background1"/>
          </w:tcPr>
          <w:p w14:paraId="1BBC425B" w14:textId="77777777" w:rsidR="004562EF" w:rsidRPr="005D05EF" w:rsidRDefault="00000000">
            <w:pPr>
              <w:pStyle w:val="TableParagraph"/>
              <w:ind w:left="6" w:right="1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56</w:t>
            </w:r>
          </w:p>
        </w:tc>
        <w:tc>
          <w:tcPr>
            <w:tcW w:w="1349" w:type="dxa"/>
            <w:shd w:val="clear" w:color="auto" w:fill="FFFFFF" w:themeFill="background1"/>
          </w:tcPr>
          <w:p w14:paraId="204A5E8C" w14:textId="77777777" w:rsidR="004562EF" w:rsidRPr="005D05EF" w:rsidRDefault="00000000">
            <w:pPr>
              <w:pStyle w:val="TableParagraph"/>
              <w:ind w:left="7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92</w:t>
            </w:r>
          </w:p>
        </w:tc>
        <w:tc>
          <w:tcPr>
            <w:tcW w:w="1352" w:type="dxa"/>
            <w:shd w:val="clear" w:color="auto" w:fill="FFFFFF" w:themeFill="background1"/>
          </w:tcPr>
          <w:p w14:paraId="6019F141" w14:textId="77777777" w:rsidR="004562EF" w:rsidRPr="005D05EF" w:rsidRDefault="00000000">
            <w:pPr>
              <w:pStyle w:val="TableParagraph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7</w:t>
            </w:r>
          </w:p>
        </w:tc>
        <w:tc>
          <w:tcPr>
            <w:tcW w:w="1349" w:type="dxa"/>
            <w:shd w:val="clear" w:color="auto" w:fill="FFFFFF" w:themeFill="background1"/>
          </w:tcPr>
          <w:p w14:paraId="5E4946FE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2</w:t>
            </w:r>
          </w:p>
        </w:tc>
      </w:tr>
      <w:tr w:rsidR="004562EF" w:rsidRPr="005D05EF" w14:paraId="216A5CA0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68847F8C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Breast</w:t>
            </w:r>
          </w:p>
        </w:tc>
        <w:tc>
          <w:tcPr>
            <w:tcW w:w="1352" w:type="dxa"/>
            <w:shd w:val="clear" w:color="auto" w:fill="FFFFFF" w:themeFill="background1"/>
          </w:tcPr>
          <w:p w14:paraId="3E1DFF57" w14:textId="77777777" w:rsidR="004562EF" w:rsidRPr="005D05EF" w:rsidRDefault="00000000">
            <w:pPr>
              <w:pStyle w:val="TableParagraph"/>
              <w:ind w:left="6" w:right="1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150</w:t>
            </w:r>
          </w:p>
        </w:tc>
        <w:tc>
          <w:tcPr>
            <w:tcW w:w="1349" w:type="dxa"/>
            <w:shd w:val="clear" w:color="auto" w:fill="FFFFFF" w:themeFill="background1"/>
          </w:tcPr>
          <w:p w14:paraId="1FD99283" w14:textId="77777777" w:rsidR="004562EF" w:rsidRPr="005D05EF" w:rsidRDefault="00000000">
            <w:pPr>
              <w:pStyle w:val="TableParagraph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6</w:t>
            </w:r>
          </w:p>
        </w:tc>
        <w:tc>
          <w:tcPr>
            <w:tcW w:w="1352" w:type="dxa"/>
            <w:shd w:val="clear" w:color="auto" w:fill="FFFFFF" w:themeFill="background1"/>
          </w:tcPr>
          <w:p w14:paraId="78D66043" w14:textId="77777777" w:rsidR="004562EF" w:rsidRPr="005D05EF" w:rsidRDefault="00000000">
            <w:pPr>
              <w:pStyle w:val="TableParagraph"/>
              <w:ind w:left="5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671</w:t>
            </w:r>
          </w:p>
        </w:tc>
        <w:tc>
          <w:tcPr>
            <w:tcW w:w="1349" w:type="dxa"/>
            <w:shd w:val="clear" w:color="auto" w:fill="FFFFFF" w:themeFill="background1"/>
          </w:tcPr>
          <w:p w14:paraId="5337DEC7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64F3C330" w14:textId="77777777" w:rsidTr="005D05EF">
        <w:trPr>
          <w:trHeight w:val="362"/>
        </w:trPr>
        <w:tc>
          <w:tcPr>
            <w:tcW w:w="3961" w:type="dxa"/>
            <w:shd w:val="clear" w:color="auto" w:fill="FFFFFF" w:themeFill="background1"/>
          </w:tcPr>
          <w:p w14:paraId="087021EC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z w:val="18"/>
              </w:rPr>
              <w:t>Connective</w:t>
            </w: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z w:val="18"/>
              </w:rPr>
              <w:t>(excl.</w:t>
            </w: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blood)</w:t>
            </w:r>
          </w:p>
        </w:tc>
        <w:tc>
          <w:tcPr>
            <w:tcW w:w="1352" w:type="dxa"/>
            <w:shd w:val="clear" w:color="auto" w:fill="FFFFFF" w:themeFill="background1"/>
          </w:tcPr>
          <w:p w14:paraId="50D20C43" w14:textId="77777777" w:rsidR="004562EF" w:rsidRPr="005D05EF" w:rsidRDefault="00000000">
            <w:pPr>
              <w:pStyle w:val="TableParagraph"/>
              <w:ind w:left="6" w:right="1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13</w:t>
            </w:r>
          </w:p>
        </w:tc>
        <w:tc>
          <w:tcPr>
            <w:tcW w:w="1349" w:type="dxa"/>
            <w:shd w:val="clear" w:color="auto" w:fill="FFFFFF" w:themeFill="background1"/>
          </w:tcPr>
          <w:p w14:paraId="252D42A7" w14:textId="77777777" w:rsidR="004562EF" w:rsidRPr="005D05EF" w:rsidRDefault="00000000">
            <w:pPr>
              <w:pStyle w:val="TableParagraph"/>
              <w:ind w:left="7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72</w:t>
            </w:r>
          </w:p>
        </w:tc>
        <w:tc>
          <w:tcPr>
            <w:tcW w:w="1352" w:type="dxa"/>
            <w:shd w:val="clear" w:color="auto" w:fill="FFFFFF" w:themeFill="background1"/>
          </w:tcPr>
          <w:p w14:paraId="5462D21D" w14:textId="77777777" w:rsidR="004562EF" w:rsidRPr="005D05EF" w:rsidRDefault="00000000">
            <w:pPr>
              <w:pStyle w:val="TableParagraph"/>
              <w:ind w:left="5" w:right="1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43</w:t>
            </w:r>
          </w:p>
        </w:tc>
        <w:tc>
          <w:tcPr>
            <w:tcW w:w="1349" w:type="dxa"/>
            <w:shd w:val="clear" w:color="auto" w:fill="FFFFFF" w:themeFill="background1"/>
          </w:tcPr>
          <w:p w14:paraId="6E238D61" w14:textId="77777777" w:rsidR="004562EF" w:rsidRPr="005D05EF" w:rsidRDefault="00000000">
            <w:pPr>
              <w:pStyle w:val="TableParagraph"/>
              <w:ind w:left="7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125</w:t>
            </w:r>
          </w:p>
        </w:tc>
      </w:tr>
      <w:tr w:rsidR="004562EF" w:rsidRPr="005D05EF" w14:paraId="3D8799BC" w14:textId="77777777" w:rsidTr="005D05EF">
        <w:trPr>
          <w:trHeight w:val="365"/>
        </w:trPr>
        <w:tc>
          <w:tcPr>
            <w:tcW w:w="3961" w:type="dxa"/>
            <w:shd w:val="clear" w:color="auto" w:fill="FFFFFF" w:themeFill="background1"/>
          </w:tcPr>
          <w:p w14:paraId="7693F980" w14:textId="77777777" w:rsidR="004562EF" w:rsidRPr="005D05EF" w:rsidRDefault="00000000">
            <w:pPr>
              <w:pStyle w:val="TableParagraph"/>
              <w:spacing w:before="80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Kidney</w:t>
            </w:r>
          </w:p>
        </w:tc>
        <w:tc>
          <w:tcPr>
            <w:tcW w:w="1352" w:type="dxa"/>
            <w:shd w:val="clear" w:color="auto" w:fill="FFFFFF" w:themeFill="background1"/>
          </w:tcPr>
          <w:p w14:paraId="25D7A760" w14:textId="77777777" w:rsidR="004562EF" w:rsidRPr="005D05EF" w:rsidRDefault="00000000">
            <w:pPr>
              <w:pStyle w:val="TableParagraph"/>
              <w:spacing w:before="80"/>
              <w:ind w:left="6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25</w:t>
            </w:r>
          </w:p>
        </w:tc>
        <w:tc>
          <w:tcPr>
            <w:tcW w:w="1349" w:type="dxa"/>
            <w:shd w:val="clear" w:color="auto" w:fill="FFFFFF" w:themeFill="background1"/>
          </w:tcPr>
          <w:p w14:paraId="5D3CDBB9" w14:textId="77777777" w:rsidR="004562EF" w:rsidRPr="005D05EF" w:rsidRDefault="00000000">
            <w:pPr>
              <w:pStyle w:val="TableParagraph"/>
              <w:spacing w:before="80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1</w:t>
            </w:r>
          </w:p>
        </w:tc>
        <w:tc>
          <w:tcPr>
            <w:tcW w:w="1352" w:type="dxa"/>
            <w:shd w:val="clear" w:color="auto" w:fill="FFFFFF" w:themeFill="background1"/>
          </w:tcPr>
          <w:p w14:paraId="02C63DD9" w14:textId="77777777" w:rsidR="004562EF" w:rsidRPr="005D05EF" w:rsidRDefault="00000000">
            <w:pPr>
              <w:pStyle w:val="TableParagraph"/>
              <w:spacing w:before="80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1</w:t>
            </w:r>
          </w:p>
        </w:tc>
        <w:tc>
          <w:tcPr>
            <w:tcW w:w="1349" w:type="dxa"/>
            <w:shd w:val="clear" w:color="auto" w:fill="FFFFFF" w:themeFill="background1"/>
          </w:tcPr>
          <w:p w14:paraId="0A3F680E" w14:textId="77777777" w:rsidR="004562EF" w:rsidRPr="005D05EF" w:rsidRDefault="00000000">
            <w:pPr>
              <w:pStyle w:val="TableParagraph"/>
              <w:spacing w:before="80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7946781D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1621980F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proofErr w:type="spellStart"/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Leukaemia</w:t>
            </w:r>
            <w:proofErr w:type="spellEnd"/>
          </w:p>
        </w:tc>
        <w:tc>
          <w:tcPr>
            <w:tcW w:w="1352" w:type="dxa"/>
            <w:shd w:val="clear" w:color="auto" w:fill="FFFFFF" w:themeFill="background1"/>
          </w:tcPr>
          <w:p w14:paraId="21D328AE" w14:textId="77777777" w:rsidR="004562EF" w:rsidRPr="005D05EF" w:rsidRDefault="00000000">
            <w:pPr>
              <w:pStyle w:val="TableParagraph"/>
              <w:ind w:left="5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3CCC5BA6" w14:textId="77777777" w:rsidR="004562EF" w:rsidRPr="005D05EF" w:rsidRDefault="00000000">
            <w:pPr>
              <w:pStyle w:val="TableParagraph"/>
              <w:ind w:left="7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187</w:t>
            </w:r>
          </w:p>
        </w:tc>
        <w:tc>
          <w:tcPr>
            <w:tcW w:w="1352" w:type="dxa"/>
            <w:shd w:val="clear" w:color="auto" w:fill="FFFFFF" w:themeFill="background1"/>
          </w:tcPr>
          <w:p w14:paraId="06E4D13D" w14:textId="77777777" w:rsidR="004562EF" w:rsidRPr="005D05EF" w:rsidRDefault="00000000">
            <w:pPr>
              <w:pStyle w:val="TableParagraph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133BD426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8</w:t>
            </w:r>
          </w:p>
        </w:tc>
      </w:tr>
      <w:tr w:rsidR="004562EF" w:rsidRPr="005D05EF" w14:paraId="7DB26EDB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1F7AE739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4"/>
                <w:sz w:val="18"/>
              </w:rPr>
              <w:t>Lung</w:t>
            </w:r>
          </w:p>
        </w:tc>
        <w:tc>
          <w:tcPr>
            <w:tcW w:w="1352" w:type="dxa"/>
            <w:shd w:val="clear" w:color="auto" w:fill="FFFFFF" w:themeFill="background1"/>
          </w:tcPr>
          <w:p w14:paraId="490544C2" w14:textId="77777777" w:rsidR="004562EF" w:rsidRPr="005D05EF" w:rsidRDefault="00000000">
            <w:pPr>
              <w:pStyle w:val="TableParagraph"/>
              <w:ind w:left="5" w:right="5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10"/>
                <w:sz w:val="18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6A2B9227" w14:textId="77777777" w:rsidR="004562EF" w:rsidRPr="005D05EF" w:rsidRDefault="00000000">
            <w:pPr>
              <w:pStyle w:val="TableParagraph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52" w:type="dxa"/>
            <w:shd w:val="clear" w:color="auto" w:fill="FFFFFF" w:themeFill="background1"/>
          </w:tcPr>
          <w:p w14:paraId="2492CD8B" w14:textId="77777777" w:rsidR="004562EF" w:rsidRPr="005D05EF" w:rsidRDefault="00000000">
            <w:pPr>
              <w:pStyle w:val="TableParagraph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2</w:t>
            </w:r>
          </w:p>
        </w:tc>
        <w:tc>
          <w:tcPr>
            <w:tcW w:w="1349" w:type="dxa"/>
            <w:shd w:val="clear" w:color="auto" w:fill="FFFFFF" w:themeFill="background1"/>
          </w:tcPr>
          <w:p w14:paraId="2EE40C23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29D54CFC" w14:textId="77777777" w:rsidTr="005D05EF">
        <w:trPr>
          <w:trHeight w:val="362"/>
        </w:trPr>
        <w:tc>
          <w:tcPr>
            <w:tcW w:w="3961" w:type="dxa"/>
            <w:shd w:val="clear" w:color="auto" w:fill="FFFFFF" w:themeFill="background1"/>
          </w:tcPr>
          <w:p w14:paraId="4153C716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Lymphoma</w:t>
            </w:r>
          </w:p>
        </w:tc>
        <w:tc>
          <w:tcPr>
            <w:tcW w:w="1352" w:type="dxa"/>
            <w:shd w:val="clear" w:color="auto" w:fill="FFFFFF" w:themeFill="background1"/>
          </w:tcPr>
          <w:p w14:paraId="460976D3" w14:textId="77777777" w:rsidR="004562EF" w:rsidRPr="005D05EF" w:rsidRDefault="00000000">
            <w:pPr>
              <w:pStyle w:val="TableParagraph"/>
              <w:ind w:left="5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742062B4" w14:textId="77777777" w:rsidR="004562EF" w:rsidRPr="005D05EF" w:rsidRDefault="00000000">
            <w:pPr>
              <w:pStyle w:val="TableParagraph"/>
              <w:ind w:left="7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77</w:t>
            </w:r>
          </w:p>
        </w:tc>
        <w:tc>
          <w:tcPr>
            <w:tcW w:w="1352" w:type="dxa"/>
            <w:shd w:val="clear" w:color="auto" w:fill="FFFFFF" w:themeFill="background1"/>
          </w:tcPr>
          <w:p w14:paraId="19777C5E" w14:textId="77777777" w:rsidR="004562EF" w:rsidRPr="005D05EF" w:rsidRDefault="00000000">
            <w:pPr>
              <w:pStyle w:val="TableParagraph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17EAE80F" w14:textId="77777777" w:rsidR="004562EF" w:rsidRPr="005D05EF" w:rsidRDefault="00000000">
            <w:pPr>
              <w:pStyle w:val="TableParagraph"/>
              <w:ind w:left="7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937</w:t>
            </w:r>
          </w:p>
        </w:tc>
      </w:tr>
      <w:tr w:rsidR="004562EF" w:rsidRPr="005D05EF" w14:paraId="633AFB4E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76F72899" w14:textId="77777777" w:rsidR="004562EF" w:rsidRPr="005D05EF" w:rsidRDefault="00000000">
            <w:pPr>
              <w:pStyle w:val="TableParagraph"/>
              <w:spacing w:before="79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z w:val="18"/>
              </w:rPr>
              <w:t>Multiple</w:t>
            </w: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 xml:space="preserve"> </w:t>
            </w: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Myeloma</w:t>
            </w:r>
          </w:p>
        </w:tc>
        <w:tc>
          <w:tcPr>
            <w:tcW w:w="1352" w:type="dxa"/>
            <w:shd w:val="clear" w:color="auto" w:fill="FFFFFF" w:themeFill="background1"/>
          </w:tcPr>
          <w:p w14:paraId="02DD799C" w14:textId="77777777" w:rsidR="004562EF" w:rsidRPr="005D05EF" w:rsidRDefault="00000000">
            <w:pPr>
              <w:pStyle w:val="TableParagraph"/>
              <w:spacing w:before="79"/>
              <w:ind w:left="5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058F0B40" w14:textId="77777777" w:rsidR="004562EF" w:rsidRPr="005D05EF" w:rsidRDefault="00000000">
            <w:pPr>
              <w:pStyle w:val="TableParagraph"/>
              <w:spacing w:before="79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52" w:type="dxa"/>
            <w:shd w:val="clear" w:color="auto" w:fill="FFFFFF" w:themeFill="background1"/>
          </w:tcPr>
          <w:p w14:paraId="5BAF44DB" w14:textId="77777777" w:rsidR="004562EF" w:rsidRPr="005D05EF" w:rsidRDefault="00000000">
            <w:pPr>
              <w:pStyle w:val="TableParagraph"/>
              <w:spacing w:before="79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6DF175A4" w14:textId="77777777" w:rsidR="004562EF" w:rsidRPr="005D05EF" w:rsidRDefault="00000000">
            <w:pPr>
              <w:pStyle w:val="TableParagraph"/>
              <w:spacing w:before="79"/>
              <w:ind w:left="7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145</w:t>
            </w:r>
          </w:p>
        </w:tc>
      </w:tr>
      <w:tr w:rsidR="004562EF" w:rsidRPr="005D05EF" w14:paraId="5A399E2B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68C7BA5F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Others</w:t>
            </w:r>
          </w:p>
        </w:tc>
        <w:tc>
          <w:tcPr>
            <w:tcW w:w="1352" w:type="dxa"/>
            <w:shd w:val="clear" w:color="auto" w:fill="FFFFFF" w:themeFill="background1"/>
          </w:tcPr>
          <w:p w14:paraId="5145C2F3" w14:textId="77777777" w:rsidR="004562EF" w:rsidRPr="005D05EF" w:rsidRDefault="00000000">
            <w:pPr>
              <w:pStyle w:val="TableParagraph"/>
              <w:ind w:left="6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173</w:t>
            </w:r>
          </w:p>
        </w:tc>
        <w:tc>
          <w:tcPr>
            <w:tcW w:w="1349" w:type="dxa"/>
            <w:shd w:val="clear" w:color="auto" w:fill="FFFFFF" w:themeFill="background1"/>
          </w:tcPr>
          <w:p w14:paraId="7C54C874" w14:textId="77777777" w:rsidR="004562EF" w:rsidRPr="005D05EF" w:rsidRDefault="00000000">
            <w:pPr>
              <w:pStyle w:val="TableParagraph"/>
              <w:ind w:left="7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154</w:t>
            </w:r>
          </w:p>
        </w:tc>
        <w:tc>
          <w:tcPr>
            <w:tcW w:w="1352" w:type="dxa"/>
            <w:shd w:val="clear" w:color="auto" w:fill="FFFFFF" w:themeFill="background1"/>
          </w:tcPr>
          <w:p w14:paraId="5B9B04B9" w14:textId="77777777" w:rsidR="004562EF" w:rsidRPr="005D05EF" w:rsidRDefault="00000000">
            <w:pPr>
              <w:pStyle w:val="TableParagraph"/>
              <w:ind w:left="5" w:right="1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84</w:t>
            </w:r>
          </w:p>
        </w:tc>
        <w:tc>
          <w:tcPr>
            <w:tcW w:w="1349" w:type="dxa"/>
            <w:shd w:val="clear" w:color="auto" w:fill="FFFFFF" w:themeFill="background1"/>
          </w:tcPr>
          <w:p w14:paraId="65110D57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9</w:t>
            </w:r>
          </w:p>
        </w:tc>
      </w:tr>
      <w:tr w:rsidR="004562EF" w:rsidRPr="005D05EF" w14:paraId="78A732EE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6F75B01C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Ovarian</w:t>
            </w:r>
          </w:p>
        </w:tc>
        <w:tc>
          <w:tcPr>
            <w:tcW w:w="1352" w:type="dxa"/>
            <w:shd w:val="clear" w:color="auto" w:fill="FFFFFF" w:themeFill="background1"/>
          </w:tcPr>
          <w:p w14:paraId="10F20FDF" w14:textId="77777777" w:rsidR="004562EF" w:rsidRPr="005D05EF" w:rsidRDefault="00000000">
            <w:pPr>
              <w:pStyle w:val="TableParagraph"/>
              <w:ind w:left="5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31578E7E" w14:textId="77777777" w:rsidR="004562EF" w:rsidRPr="005D05EF" w:rsidRDefault="00000000">
            <w:pPr>
              <w:pStyle w:val="TableParagraph"/>
              <w:ind w:left="7" w:right="5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10"/>
                <w:sz w:val="18"/>
              </w:rPr>
              <w:t>4</w:t>
            </w:r>
          </w:p>
        </w:tc>
        <w:tc>
          <w:tcPr>
            <w:tcW w:w="1352" w:type="dxa"/>
            <w:shd w:val="clear" w:color="auto" w:fill="FFFFFF" w:themeFill="background1"/>
          </w:tcPr>
          <w:p w14:paraId="07023F42" w14:textId="77777777" w:rsidR="004562EF" w:rsidRPr="005D05EF" w:rsidRDefault="00000000">
            <w:pPr>
              <w:pStyle w:val="TableParagraph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7C418563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63AA7B10" w14:textId="77777777" w:rsidTr="005D05EF">
        <w:trPr>
          <w:trHeight w:val="362"/>
        </w:trPr>
        <w:tc>
          <w:tcPr>
            <w:tcW w:w="3961" w:type="dxa"/>
            <w:shd w:val="clear" w:color="auto" w:fill="FFFFFF" w:themeFill="background1"/>
          </w:tcPr>
          <w:p w14:paraId="4159B9FD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Pancreatic</w:t>
            </w:r>
          </w:p>
        </w:tc>
        <w:tc>
          <w:tcPr>
            <w:tcW w:w="1352" w:type="dxa"/>
            <w:shd w:val="clear" w:color="auto" w:fill="FFFFFF" w:themeFill="background1"/>
          </w:tcPr>
          <w:p w14:paraId="2A40FD8C" w14:textId="77777777" w:rsidR="004562EF" w:rsidRPr="005D05EF" w:rsidRDefault="00000000">
            <w:pPr>
              <w:pStyle w:val="TableParagraph"/>
              <w:ind w:left="5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1A4BA726" w14:textId="77777777" w:rsidR="004562EF" w:rsidRPr="005D05EF" w:rsidRDefault="00000000">
            <w:pPr>
              <w:pStyle w:val="TableParagraph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52" w:type="dxa"/>
            <w:shd w:val="clear" w:color="auto" w:fill="FFFFFF" w:themeFill="background1"/>
          </w:tcPr>
          <w:p w14:paraId="635814A0" w14:textId="77777777" w:rsidR="004562EF" w:rsidRPr="005D05EF" w:rsidRDefault="00000000">
            <w:pPr>
              <w:pStyle w:val="TableParagraph"/>
              <w:ind w:left="5" w:right="6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10"/>
                <w:sz w:val="18"/>
              </w:rPr>
              <w:t>1</w:t>
            </w:r>
          </w:p>
        </w:tc>
        <w:tc>
          <w:tcPr>
            <w:tcW w:w="1349" w:type="dxa"/>
            <w:shd w:val="clear" w:color="auto" w:fill="FFFFFF" w:themeFill="background1"/>
          </w:tcPr>
          <w:p w14:paraId="451C2454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1C3DD1FB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1E3FF8C5" w14:textId="77777777" w:rsidR="004562EF" w:rsidRPr="005D05EF" w:rsidRDefault="00000000">
            <w:pPr>
              <w:pStyle w:val="TableParagraph"/>
              <w:spacing w:before="79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4"/>
                <w:sz w:val="18"/>
              </w:rPr>
              <w:t>Skin</w:t>
            </w:r>
          </w:p>
        </w:tc>
        <w:tc>
          <w:tcPr>
            <w:tcW w:w="1352" w:type="dxa"/>
            <w:shd w:val="clear" w:color="auto" w:fill="FFFFFF" w:themeFill="background1"/>
          </w:tcPr>
          <w:p w14:paraId="17375CE2" w14:textId="77777777" w:rsidR="004562EF" w:rsidRPr="005D05EF" w:rsidRDefault="00000000">
            <w:pPr>
              <w:pStyle w:val="TableParagraph"/>
              <w:spacing w:before="79"/>
              <w:ind w:left="5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1</w:t>
            </w:r>
          </w:p>
        </w:tc>
        <w:tc>
          <w:tcPr>
            <w:tcW w:w="1349" w:type="dxa"/>
            <w:shd w:val="clear" w:color="auto" w:fill="FFFFFF" w:themeFill="background1"/>
          </w:tcPr>
          <w:p w14:paraId="41F3103C" w14:textId="77777777" w:rsidR="004562EF" w:rsidRPr="005D05EF" w:rsidRDefault="00000000">
            <w:pPr>
              <w:pStyle w:val="TableParagraph"/>
              <w:spacing w:before="79"/>
              <w:ind w:left="7" w:right="5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10"/>
                <w:sz w:val="18"/>
              </w:rPr>
              <w:t>7</w:t>
            </w:r>
          </w:p>
        </w:tc>
        <w:tc>
          <w:tcPr>
            <w:tcW w:w="1352" w:type="dxa"/>
            <w:shd w:val="clear" w:color="auto" w:fill="FFFFFF" w:themeFill="background1"/>
          </w:tcPr>
          <w:p w14:paraId="24C2A83D" w14:textId="77777777" w:rsidR="004562EF" w:rsidRPr="005D05EF" w:rsidRDefault="00000000">
            <w:pPr>
              <w:pStyle w:val="TableParagraph"/>
              <w:spacing w:before="79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5ABCE8DA" w14:textId="77777777" w:rsidR="004562EF" w:rsidRPr="005D05EF" w:rsidRDefault="00000000">
            <w:pPr>
              <w:pStyle w:val="TableParagraph"/>
              <w:spacing w:before="79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117CC831" w14:textId="77777777" w:rsidTr="005D05EF">
        <w:trPr>
          <w:trHeight w:val="365"/>
        </w:trPr>
        <w:tc>
          <w:tcPr>
            <w:tcW w:w="3961" w:type="dxa"/>
            <w:shd w:val="clear" w:color="auto" w:fill="FFFFFF" w:themeFill="background1"/>
          </w:tcPr>
          <w:p w14:paraId="0AAD5B69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>Testicular</w:t>
            </w:r>
          </w:p>
        </w:tc>
        <w:tc>
          <w:tcPr>
            <w:tcW w:w="1352" w:type="dxa"/>
            <w:shd w:val="clear" w:color="auto" w:fill="FFFFFF" w:themeFill="background1"/>
          </w:tcPr>
          <w:p w14:paraId="37987ABA" w14:textId="77777777" w:rsidR="004562EF" w:rsidRPr="005D05EF" w:rsidRDefault="00000000">
            <w:pPr>
              <w:pStyle w:val="TableParagraph"/>
              <w:ind w:left="5" w:right="5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10"/>
                <w:sz w:val="18"/>
              </w:rPr>
              <w:t>6</w:t>
            </w:r>
          </w:p>
        </w:tc>
        <w:tc>
          <w:tcPr>
            <w:tcW w:w="1349" w:type="dxa"/>
            <w:shd w:val="clear" w:color="auto" w:fill="FFFFFF" w:themeFill="background1"/>
          </w:tcPr>
          <w:p w14:paraId="6FA8F228" w14:textId="77777777" w:rsidR="004562EF" w:rsidRPr="005D05EF" w:rsidRDefault="00000000">
            <w:pPr>
              <w:pStyle w:val="TableParagraph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52" w:type="dxa"/>
            <w:shd w:val="clear" w:color="auto" w:fill="FFFFFF" w:themeFill="background1"/>
          </w:tcPr>
          <w:p w14:paraId="3F5ED866" w14:textId="77777777" w:rsidR="004562EF" w:rsidRPr="005D05EF" w:rsidRDefault="00000000">
            <w:pPr>
              <w:pStyle w:val="TableParagraph"/>
              <w:ind w:left="5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34A0A23D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1F29BD41" w14:textId="77777777" w:rsidTr="005D05EF">
        <w:trPr>
          <w:trHeight w:val="364"/>
        </w:trPr>
        <w:tc>
          <w:tcPr>
            <w:tcW w:w="3961" w:type="dxa"/>
            <w:shd w:val="clear" w:color="auto" w:fill="FFFFFF" w:themeFill="background1"/>
          </w:tcPr>
          <w:p w14:paraId="7B18C4F5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z w:val="18"/>
              </w:rPr>
              <w:t>Unspecified</w:t>
            </w: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 xml:space="preserve"> Adenocarcinoma</w:t>
            </w:r>
          </w:p>
        </w:tc>
        <w:tc>
          <w:tcPr>
            <w:tcW w:w="1352" w:type="dxa"/>
            <w:shd w:val="clear" w:color="auto" w:fill="FFFFFF" w:themeFill="background1"/>
          </w:tcPr>
          <w:p w14:paraId="0048DDF3" w14:textId="77777777" w:rsidR="004562EF" w:rsidRPr="005D05EF" w:rsidRDefault="00000000">
            <w:pPr>
              <w:pStyle w:val="TableParagraph"/>
              <w:ind w:left="6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5"/>
                <w:sz w:val="18"/>
              </w:rPr>
              <w:t>158</w:t>
            </w:r>
          </w:p>
        </w:tc>
        <w:tc>
          <w:tcPr>
            <w:tcW w:w="1349" w:type="dxa"/>
            <w:shd w:val="clear" w:color="auto" w:fill="FFFFFF" w:themeFill="background1"/>
          </w:tcPr>
          <w:p w14:paraId="067758F8" w14:textId="77777777" w:rsidR="004562EF" w:rsidRPr="005D05EF" w:rsidRDefault="00000000">
            <w:pPr>
              <w:pStyle w:val="TableParagraph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  <w:tc>
          <w:tcPr>
            <w:tcW w:w="1352" w:type="dxa"/>
            <w:shd w:val="clear" w:color="auto" w:fill="FFFFFF" w:themeFill="background1"/>
          </w:tcPr>
          <w:p w14:paraId="2B9CE396" w14:textId="77777777" w:rsidR="004562EF" w:rsidRPr="005D05EF" w:rsidRDefault="00000000">
            <w:pPr>
              <w:pStyle w:val="TableParagraph"/>
              <w:ind w:left="5" w:right="1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45</w:t>
            </w:r>
          </w:p>
        </w:tc>
        <w:tc>
          <w:tcPr>
            <w:tcW w:w="1349" w:type="dxa"/>
            <w:shd w:val="clear" w:color="auto" w:fill="FFFFFF" w:themeFill="background1"/>
          </w:tcPr>
          <w:p w14:paraId="3CD3A9E6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  <w:tr w:rsidR="004562EF" w:rsidRPr="005D05EF" w14:paraId="7BAEB7B1" w14:textId="77777777" w:rsidTr="005D05EF">
        <w:trPr>
          <w:trHeight w:val="362"/>
        </w:trPr>
        <w:tc>
          <w:tcPr>
            <w:tcW w:w="3961" w:type="dxa"/>
            <w:shd w:val="clear" w:color="auto" w:fill="FFFFFF" w:themeFill="background1"/>
          </w:tcPr>
          <w:p w14:paraId="1F4E1692" w14:textId="77777777" w:rsidR="004562EF" w:rsidRPr="005D05EF" w:rsidRDefault="00000000">
            <w:pPr>
              <w:pStyle w:val="TableParagraph"/>
              <w:jc w:val="left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z w:val="18"/>
              </w:rPr>
              <w:t>Unspecified</w:t>
            </w:r>
            <w:r w:rsidRPr="005D05EF">
              <w:rPr>
                <w:rFonts w:ascii="times nr" w:hAnsi="times nr"/>
                <w:color w:val="1A1A1A"/>
                <w:spacing w:val="-2"/>
                <w:sz w:val="18"/>
              </w:rPr>
              <w:t xml:space="preserve"> Carcinoma</w:t>
            </w:r>
          </w:p>
        </w:tc>
        <w:tc>
          <w:tcPr>
            <w:tcW w:w="1352" w:type="dxa"/>
            <w:shd w:val="clear" w:color="auto" w:fill="FFFFFF" w:themeFill="background1"/>
          </w:tcPr>
          <w:p w14:paraId="11C49C1C" w14:textId="77777777" w:rsidR="004562EF" w:rsidRPr="005D05EF" w:rsidRDefault="00000000">
            <w:pPr>
              <w:pStyle w:val="TableParagraph"/>
              <w:ind w:left="6" w:right="1"/>
              <w:rPr>
                <w:rFonts w:ascii="times nr" w:hAnsi="times nr"/>
                <w:b/>
                <w:sz w:val="18"/>
              </w:rPr>
            </w:pPr>
            <w:r w:rsidRPr="005D05EF">
              <w:rPr>
                <w:rFonts w:ascii="times nr" w:hAnsi="times nr"/>
                <w:b/>
                <w:color w:val="1A1A1A"/>
                <w:spacing w:val="-4"/>
                <w:sz w:val="18"/>
              </w:rPr>
              <w:t>1496</w:t>
            </w:r>
          </w:p>
        </w:tc>
        <w:tc>
          <w:tcPr>
            <w:tcW w:w="1349" w:type="dxa"/>
            <w:shd w:val="clear" w:color="auto" w:fill="FFFFFF" w:themeFill="background1"/>
          </w:tcPr>
          <w:p w14:paraId="3EA59312" w14:textId="77777777" w:rsidR="004562EF" w:rsidRPr="005D05EF" w:rsidRDefault="00000000">
            <w:pPr>
              <w:pStyle w:val="TableParagraph"/>
              <w:ind w:left="7" w:right="5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10"/>
                <w:sz w:val="18"/>
              </w:rPr>
              <w:t>8</w:t>
            </w:r>
          </w:p>
        </w:tc>
        <w:tc>
          <w:tcPr>
            <w:tcW w:w="1352" w:type="dxa"/>
            <w:shd w:val="clear" w:color="auto" w:fill="FFFFFF" w:themeFill="background1"/>
          </w:tcPr>
          <w:p w14:paraId="7107FC84" w14:textId="77777777" w:rsidR="004562EF" w:rsidRPr="005D05EF" w:rsidRDefault="00000000">
            <w:pPr>
              <w:pStyle w:val="TableParagraph"/>
              <w:ind w:left="5" w:right="1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1A1A1A"/>
                <w:spacing w:val="-5"/>
                <w:sz w:val="18"/>
              </w:rPr>
              <w:t>375</w:t>
            </w:r>
          </w:p>
        </w:tc>
        <w:tc>
          <w:tcPr>
            <w:tcW w:w="1349" w:type="dxa"/>
            <w:shd w:val="clear" w:color="auto" w:fill="FFFFFF" w:themeFill="background1"/>
          </w:tcPr>
          <w:p w14:paraId="5A6F5222" w14:textId="77777777" w:rsidR="004562EF" w:rsidRPr="005D05EF" w:rsidRDefault="00000000">
            <w:pPr>
              <w:pStyle w:val="TableParagraph"/>
              <w:ind w:left="7" w:right="6"/>
              <w:rPr>
                <w:rFonts w:ascii="times nr" w:hAnsi="times nr"/>
                <w:sz w:val="18"/>
              </w:rPr>
            </w:pPr>
            <w:r w:rsidRPr="005D05EF">
              <w:rPr>
                <w:rFonts w:ascii="times nr" w:hAnsi="times nr"/>
                <w:color w:val="878680"/>
                <w:spacing w:val="-10"/>
                <w:sz w:val="18"/>
              </w:rPr>
              <w:t>0</w:t>
            </w:r>
          </w:p>
        </w:tc>
      </w:tr>
    </w:tbl>
    <w:p w14:paraId="78C9FD3B" w14:textId="77777777" w:rsidR="005F2F8E" w:rsidRPr="005D05EF" w:rsidRDefault="005F2F8E">
      <w:pPr>
        <w:rPr>
          <w:rFonts w:ascii="times nr" w:hAnsi="times nr"/>
        </w:rPr>
      </w:pPr>
    </w:p>
    <w:sectPr w:rsidR="005F2F8E" w:rsidRPr="005D05EF">
      <w:pgSz w:w="12240" w:h="15840"/>
      <w:pgMar w:top="14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03D8" w14:textId="77777777" w:rsidR="00193987" w:rsidRDefault="00193987" w:rsidP="0083239A">
      <w:r>
        <w:separator/>
      </w:r>
    </w:p>
  </w:endnote>
  <w:endnote w:type="continuationSeparator" w:id="0">
    <w:p w14:paraId="2D22ED89" w14:textId="77777777" w:rsidR="00193987" w:rsidRDefault="00193987" w:rsidP="0083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4563" w14:textId="77777777" w:rsidR="00193987" w:rsidRDefault="00193987" w:rsidP="0083239A">
      <w:r>
        <w:separator/>
      </w:r>
    </w:p>
  </w:footnote>
  <w:footnote w:type="continuationSeparator" w:id="0">
    <w:p w14:paraId="292AA23A" w14:textId="77777777" w:rsidR="00193987" w:rsidRDefault="00193987" w:rsidP="0083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2EF"/>
    <w:rsid w:val="000D65AD"/>
    <w:rsid w:val="00193987"/>
    <w:rsid w:val="002716D0"/>
    <w:rsid w:val="00350476"/>
    <w:rsid w:val="004562EF"/>
    <w:rsid w:val="005D05EF"/>
    <w:rsid w:val="005F2F8E"/>
    <w:rsid w:val="0083239A"/>
    <w:rsid w:val="00841474"/>
    <w:rsid w:val="008C062E"/>
    <w:rsid w:val="0094454D"/>
    <w:rsid w:val="00AC344D"/>
    <w:rsid w:val="00B25EB9"/>
    <w:rsid w:val="00C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401C2"/>
  <w15:docId w15:val="{1224ED34-315F-4939-A504-C47B1EA7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25"/>
      <w:ind w:left="36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7"/>
      <w:ind w:left="119"/>
      <w:jc w:val="center"/>
    </w:pPr>
  </w:style>
  <w:style w:type="paragraph" w:styleId="a5">
    <w:name w:val="header"/>
    <w:basedOn w:val="a"/>
    <w:link w:val="Char"/>
    <w:uiPriority w:val="99"/>
    <w:unhideWhenUsed/>
    <w:rsid w:val="00832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3239A"/>
    <w:rPr>
      <w:rFonts w:ascii="Arial MT" w:eastAsia="Arial MT" w:hAnsi="Arial MT" w:cs="Arial MT"/>
    </w:rPr>
  </w:style>
  <w:style w:type="paragraph" w:styleId="a6">
    <w:name w:val="footer"/>
    <w:basedOn w:val="a"/>
    <w:link w:val="Char0"/>
    <w:uiPriority w:val="99"/>
    <w:unhideWhenUsed/>
    <w:rsid w:val="00832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3239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721</Words>
  <Characters>4118</Characters>
  <Application>Microsoft Office Word</Application>
  <DocSecurity>0</DocSecurity>
  <Lines>205</Lines>
  <Paragraphs>186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원예준</cp:lastModifiedBy>
  <cp:revision>8</cp:revision>
  <cp:lastPrinted>2026-03-31T09:01:00Z</cp:lastPrinted>
  <dcterms:created xsi:type="dcterms:W3CDTF">2026-03-31T06:04:00Z</dcterms:created>
  <dcterms:modified xsi:type="dcterms:W3CDTF">2026-04-01T02:25:00Z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Microsoft 365용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Microsoft 365용</vt:lpwstr>
  </property>
</Properties>
</file>