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B745" w14:textId="77777777" w:rsidR="009551AD" w:rsidRPr="00273CC4" w:rsidRDefault="009551AD" w:rsidP="009551AD">
      <w:pPr>
        <w:spacing w:before="120" w:after="120"/>
        <w:jc w:val="center"/>
        <w:rPr>
          <w:rFonts w:ascii="Sabon Next LT" w:hAnsi="Sabon Next LT" w:cs="Sabon Next LT"/>
          <w:sz w:val="20"/>
          <w:szCs w:val="20"/>
        </w:rPr>
      </w:pPr>
      <w:r w:rsidRPr="00273CC4">
        <w:rPr>
          <w:rFonts w:ascii="Sabon Next LT" w:hAnsi="Sabon Next LT" w:cs="Sabon Next LT"/>
          <w:sz w:val="20"/>
          <w:szCs w:val="20"/>
        </w:rPr>
        <w:t xml:space="preserve">Table </w:t>
      </w:r>
      <w:r>
        <w:rPr>
          <w:rFonts w:ascii="Sabon Next LT" w:hAnsi="Sabon Next LT" w:cs="Sabon Next LT"/>
          <w:sz w:val="20"/>
          <w:szCs w:val="20"/>
        </w:rPr>
        <w:t>1</w:t>
      </w:r>
      <w:r w:rsidRPr="00273CC4">
        <w:rPr>
          <w:rFonts w:ascii="Sabon Next LT" w:hAnsi="Sabon Next LT" w:cs="Sabon Next LT"/>
          <w:sz w:val="20"/>
          <w:szCs w:val="20"/>
        </w:rPr>
        <w:t>: Teaching Plan and Schedule for Day</w:t>
      </w:r>
      <w:r>
        <w:rPr>
          <w:rFonts w:ascii="Sabon Next LT" w:hAnsi="Sabon Next LT" w:cs="Sabon Next LT"/>
          <w:sz w:val="20"/>
          <w:szCs w:val="20"/>
        </w:rPr>
        <w:t xml:space="preserve"> </w:t>
      </w:r>
      <w:r w:rsidRPr="00273CC4">
        <w:rPr>
          <w:rFonts w:ascii="Sabon Next LT" w:hAnsi="Sabon Next LT" w:cs="Sabon Next LT"/>
          <w:sz w:val="20"/>
          <w:szCs w:val="20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6340"/>
        <w:gridCol w:w="1789"/>
      </w:tblGrid>
      <w:tr w:rsidR="009551AD" w:rsidRPr="0079089E" w14:paraId="71CE8D10" w14:textId="77777777" w:rsidTr="00487C7D">
        <w:trPr>
          <w:trHeight w:val="540"/>
        </w:trPr>
        <w:tc>
          <w:tcPr>
            <w:tcW w:w="906" w:type="dxa"/>
            <w:vAlign w:val="center"/>
            <w:hideMark/>
          </w:tcPr>
          <w:p w14:paraId="7C5190A1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</w:t>
            </w:r>
          </w:p>
        </w:tc>
        <w:tc>
          <w:tcPr>
            <w:tcW w:w="6602" w:type="dxa"/>
            <w:vAlign w:val="center"/>
            <w:hideMark/>
          </w:tcPr>
          <w:p w14:paraId="60266407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Module</w:t>
            </w:r>
          </w:p>
        </w:tc>
        <w:tc>
          <w:tcPr>
            <w:tcW w:w="1842" w:type="dxa"/>
            <w:vAlign w:val="center"/>
            <w:hideMark/>
          </w:tcPr>
          <w:p w14:paraId="3BD83DFB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Venue</w:t>
            </w:r>
          </w:p>
        </w:tc>
      </w:tr>
      <w:tr w:rsidR="009551AD" w:rsidRPr="0079089E" w14:paraId="3DD962A6" w14:textId="77777777" w:rsidTr="00487C7D">
        <w:trPr>
          <w:trHeight w:val="540"/>
        </w:trPr>
        <w:tc>
          <w:tcPr>
            <w:tcW w:w="0" w:type="auto"/>
            <w:vAlign w:val="center"/>
            <w:hideMark/>
          </w:tcPr>
          <w:p w14:paraId="1C069893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4417F952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 1</w:t>
            </w:r>
          </w:p>
          <w:p w14:paraId="66C4A849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2178EF22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377AB36F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</w:tc>
        <w:tc>
          <w:tcPr>
            <w:tcW w:w="6602" w:type="dxa"/>
            <w:vAlign w:val="center"/>
            <w:hideMark/>
          </w:tcPr>
          <w:p w14:paraId="7942791F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Financial Elite Journey</w:t>
            </w:r>
          </w:p>
          <w:p w14:paraId="062D8543" w14:textId="77777777" w:rsidR="009551AD" w:rsidRPr="0079089E" w:rsidRDefault="009551AD" w:rsidP="009551AD">
            <w:pPr>
              <w:pStyle w:val="ListParagraph"/>
              <w:numPr>
                <w:ilvl w:val="0"/>
                <w:numId w:val="1"/>
              </w:numPr>
              <w:spacing w:before="240" w:after="24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Trainees will have the opportunity to visit the National Bank Museum of Malaysia and experience the social practice of what they learn in the classroom.</w:t>
            </w:r>
          </w:p>
          <w:p w14:paraId="1B5E1D81" w14:textId="77777777" w:rsidR="009551AD" w:rsidRPr="0079089E" w:rsidRDefault="009551AD" w:rsidP="009551AD">
            <w:pPr>
              <w:pStyle w:val="ListParagraph"/>
              <w:numPr>
                <w:ilvl w:val="0"/>
                <w:numId w:val="1"/>
              </w:numPr>
              <w:spacing w:before="240" w:after="24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 xml:space="preserve">Participants will also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have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the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chance to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experience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an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immersive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journey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,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which stand in </w:t>
            </w:r>
            <w:r w:rsidRPr="0079089E">
              <w:rPr>
                <w:rFonts w:ascii="Sabon Next LT" w:hAnsi="Sabon Next LT" w:cs="Sabon Next LT"/>
                <w:color w:val="000000"/>
              </w:rPr>
              <w:t>a policymaker’s perspective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. </w:t>
            </w:r>
            <w:r>
              <w:rPr>
                <w:rFonts w:ascii="Sabon Next LT" w:hAnsi="Sabon Next LT" w:cs="Sabon Next LT"/>
                <w:color w:val="000000"/>
                <w:lang w:eastAsia="zh-CN"/>
              </w:rPr>
              <w:t>A</w:t>
            </w:r>
            <w:r w:rsidRPr="0079089E">
              <w:rPr>
                <w:rFonts w:ascii="Sabon Next LT" w:hAnsi="Sabon Next LT" w:cs="Sabon Next LT"/>
                <w:color w:val="000000"/>
              </w:rPr>
              <w:t>nd a glimpse into the leading institutions such as the South East Asian Central Banks (SEACEN), and Asia School of Business (ASB).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It should be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a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unique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financial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experience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for them </w:t>
            </w:r>
          </w:p>
          <w:p w14:paraId="049EA041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</w:tc>
        <w:tc>
          <w:tcPr>
            <w:tcW w:w="1842" w:type="dxa"/>
            <w:vAlign w:val="center"/>
            <w:hideMark/>
          </w:tcPr>
          <w:p w14:paraId="54768E8A" w14:textId="77777777" w:rsidR="009551AD" w:rsidRPr="0079089E" w:rsidRDefault="009551AD" w:rsidP="00487C7D">
            <w:pPr>
              <w:spacing w:before="120" w:after="120"/>
              <w:rPr>
                <w:rFonts w:ascii="Sabon Next LT" w:hAnsi="Sabon Next LT" w:cs="Sabon Next LT"/>
                <w:color w:val="000000"/>
              </w:rPr>
            </w:pPr>
          </w:p>
          <w:p w14:paraId="6347356C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Asia School of Business (ASB)</w:t>
            </w:r>
          </w:p>
        </w:tc>
      </w:tr>
    </w:tbl>
    <w:p w14:paraId="57AA6227" w14:textId="77777777" w:rsidR="009551AD" w:rsidRPr="00273CC4" w:rsidRDefault="009551AD" w:rsidP="009551AD">
      <w:pPr>
        <w:spacing w:before="120" w:after="120"/>
        <w:rPr>
          <w:rFonts w:ascii="Sabon Next LT" w:hAnsi="Sabon Next LT" w:cs="Sabon Next LT"/>
          <w:sz w:val="20"/>
          <w:szCs w:val="20"/>
        </w:rPr>
      </w:pPr>
    </w:p>
    <w:p w14:paraId="3E8468EE" w14:textId="77777777" w:rsidR="009551AD" w:rsidRPr="00273CC4" w:rsidRDefault="009551AD" w:rsidP="009551AD">
      <w:pPr>
        <w:spacing w:before="120" w:after="120"/>
        <w:jc w:val="center"/>
        <w:rPr>
          <w:rFonts w:ascii="Sabon Next LT" w:hAnsi="Sabon Next LT" w:cs="Sabon Next LT"/>
          <w:sz w:val="20"/>
          <w:szCs w:val="20"/>
        </w:rPr>
      </w:pPr>
      <w:r w:rsidRPr="00273CC4">
        <w:rPr>
          <w:rFonts w:ascii="Sabon Next LT" w:hAnsi="Sabon Next LT" w:cs="Sabon Next LT"/>
          <w:sz w:val="20"/>
          <w:szCs w:val="20"/>
        </w:rPr>
        <w:t xml:space="preserve">Table </w:t>
      </w:r>
      <w:r>
        <w:rPr>
          <w:rFonts w:ascii="Sabon Next LT" w:hAnsi="Sabon Next LT" w:cs="Sabon Next LT"/>
          <w:sz w:val="20"/>
          <w:szCs w:val="20"/>
        </w:rPr>
        <w:t>2</w:t>
      </w:r>
      <w:r w:rsidRPr="00273CC4">
        <w:rPr>
          <w:rFonts w:ascii="Sabon Next LT" w:hAnsi="Sabon Next LT" w:cs="Sabon Next LT"/>
          <w:sz w:val="20"/>
          <w:szCs w:val="20"/>
        </w:rPr>
        <w:t>: Teaching Plan and Schedule for Day</w:t>
      </w:r>
      <w:r>
        <w:rPr>
          <w:rFonts w:ascii="Sabon Next LT" w:hAnsi="Sabon Next LT" w:cs="Sabon Next LT"/>
          <w:sz w:val="20"/>
          <w:szCs w:val="20"/>
        </w:rPr>
        <w:t xml:space="preserve"> </w:t>
      </w:r>
      <w:r w:rsidRPr="00273CC4">
        <w:rPr>
          <w:rFonts w:ascii="Sabon Next LT" w:hAnsi="Sabon Next LT" w:cs="Sabon Next LT"/>
          <w:sz w:val="20"/>
          <w:szCs w:val="20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6267"/>
        <w:gridCol w:w="1798"/>
      </w:tblGrid>
      <w:tr w:rsidR="009551AD" w:rsidRPr="0079089E" w14:paraId="14B2C6A3" w14:textId="77777777" w:rsidTr="00487C7D">
        <w:trPr>
          <w:trHeight w:val="540"/>
        </w:trPr>
        <w:tc>
          <w:tcPr>
            <w:tcW w:w="975" w:type="dxa"/>
            <w:vAlign w:val="center"/>
            <w:hideMark/>
          </w:tcPr>
          <w:p w14:paraId="78BA487A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</w:t>
            </w:r>
          </w:p>
        </w:tc>
        <w:tc>
          <w:tcPr>
            <w:tcW w:w="6533" w:type="dxa"/>
            <w:vAlign w:val="center"/>
            <w:hideMark/>
          </w:tcPr>
          <w:p w14:paraId="1D7B5E3E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Module</w:t>
            </w:r>
          </w:p>
        </w:tc>
        <w:tc>
          <w:tcPr>
            <w:tcW w:w="1842" w:type="dxa"/>
            <w:vAlign w:val="center"/>
            <w:hideMark/>
          </w:tcPr>
          <w:p w14:paraId="20DB35FC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Venue</w:t>
            </w:r>
          </w:p>
        </w:tc>
      </w:tr>
      <w:tr w:rsidR="009551AD" w:rsidRPr="0079089E" w14:paraId="072F7226" w14:textId="77777777" w:rsidTr="00487C7D">
        <w:trPr>
          <w:trHeight w:val="540"/>
        </w:trPr>
        <w:tc>
          <w:tcPr>
            <w:tcW w:w="0" w:type="auto"/>
            <w:vAlign w:val="center"/>
            <w:hideMark/>
          </w:tcPr>
          <w:p w14:paraId="297B16A2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72202043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 2</w:t>
            </w:r>
          </w:p>
          <w:p w14:paraId="55829B41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</w:tc>
        <w:tc>
          <w:tcPr>
            <w:tcW w:w="6533" w:type="dxa"/>
            <w:vAlign w:val="center"/>
            <w:hideMark/>
          </w:tcPr>
          <w:p w14:paraId="0E8B02A1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Real Estate Investment Trust (REITs), Investment and Industrial Heritage Case Study 1</w:t>
            </w:r>
          </w:p>
          <w:p w14:paraId="05F09131" w14:textId="77777777" w:rsidR="009551AD" w:rsidRPr="0079089E" w:rsidRDefault="009551AD" w:rsidP="009551AD">
            <w:pPr>
              <w:pStyle w:val="ListParagraph"/>
              <w:numPr>
                <w:ilvl w:val="0"/>
                <w:numId w:val="2"/>
              </w:numPr>
              <w:spacing w:before="240" w:after="24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The instill of </w:t>
            </w:r>
            <w:r w:rsidRPr="0079089E">
              <w:rPr>
                <w:rFonts w:ascii="Sabon Next LT" w:hAnsi="Sabon Next LT" w:cs="Sabon Next LT"/>
                <w:color w:val="000000"/>
              </w:rPr>
              <w:t>REIT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>s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emphasizes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the </w:t>
            </w:r>
            <w:r w:rsidRPr="0079089E">
              <w:rPr>
                <w:rFonts w:ascii="Sabon Next LT" w:hAnsi="Sabon Next LT" w:cs="Sabon Next LT"/>
                <w:color w:val="000000"/>
              </w:rPr>
              <w:t>strong liquidity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, 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cash flow, and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advantages of this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financial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instrument.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In Malaysia, REITs such as Pavilion REIT and Sunway REIT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 xml:space="preserve"> have all demonstrated a stable and considerable revenue, which has grown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over the past few years. </w:t>
            </w:r>
          </w:p>
          <w:p w14:paraId="78FEA8D7" w14:textId="77777777" w:rsidR="009551AD" w:rsidRPr="0079089E" w:rsidRDefault="009551AD" w:rsidP="009551AD">
            <w:pPr>
              <w:pStyle w:val="ListParagraph"/>
              <w:numPr>
                <w:ilvl w:val="0"/>
                <w:numId w:val="2"/>
              </w:numPr>
              <w:spacing w:before="240" w:after="24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The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 xml:space="preserve">Industrial Heritage part has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>indoctrinated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the concep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>tion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of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both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“</w:t>
            </w:r>
            <w:r w:rsidRPr="0079089E">
              <w:rPr>
                <w:rFonts w:ascii="Sabon Next LT" w:hAnsi="Sabon Next LT" w:cs="Sabon Next LT"/>
                <w:color w:val="000000"/>
              </w:rPr>
              <w:t>Industrial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”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and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“</w:t>
            </w:r>
            <w:r w:rsidRPr="0079089E">
              <w:rPr>
                <w:rFonts w:ascii="Sabon Next LT" w:hAnsi="Sabon Next LT" w:cs="Sabon Next LT"/>
                <w:color w:val="000000"/>
              </w:rPr>
              <w:t>Heritage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>”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. It </w:t>
            </w:r>
            <w:r w:rsidRPr="0079089E">
              <w:rPr>
                <w:rFonts w:ascii="Sabon Next LT" w:hAnsi="Sabon Next LT" w:cs="Sabon Next LT"/>
                <w:color w:val="000000"/>
                <w:lang w:eastAsia="zh-CN"/>
              </w:rPr>
              <w:t xml:space="preserve">helps participants learn about 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the 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real-life </w:t>
            </w:r>
            <w:r w:rsidRPr="0079089E">
              <w:rPr>
                <w:rFonts w:ascii="Sabon Next LT" w:hAnsi="Sabon Next LT" w:cs="Sabon Next LT"/>
                <w:color w:val="000000"/>
              </w:rPr>
              <w:t>case studies of the Ruhr area in Germany and the Capital Steel Park</w:t>
            </w:r>
            <w:r w:rsidRPr="0079089E">
              <w:rPr>
                <w:rFonts w:ascii="Sabon Next LT" w:hAnsi="Sabon Next LT" w:cs="Sabon Next LT" w:hint="eastAsia"/>
                <w:color w:val="000000"/>
                <w:lang w:eastAsia="zh-CN"/>
              </w:rPr>
              <w:t xml:space="preserve"> (Shou Gang Park)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 in China. </w:t>
            </w:r>
          </w:p>
        </w:tc>
        <w:tc>
          <w:tcPr>
            <w:tcW w:w="1842" w:type="dxa"/>
            <w:vAlign w:val="center"/>
            <w:hideMark/>
          </w:tcPr>
          <w:p w14:paraId="5CA0281B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University Classroom</w:t>
            </w:r>
          </w:p>
        </w:tc>
      </w:tr>
    </w:tbl>
    <w:p w14:paraId="423AC338" w14:textId="77777777" w:rsidR="009551AD" w:rsidRDefault="009551AD" w:rsidP="009551AD">
      <w:pPr>
        <w:spacing w:before="120" w:after="120"/>
        <w:rPr>
          <w:rFonts w:ascii="Sabon Next LT" w:hAnsi="Sabon Next LT" w:cs="Sabon Next LT"/>
          <w:sz w:val="20"/>
          <w:szCs w:val="20"/>
        </w:rPr>
      </w:pPr>
    </w:p>
    <w:p w14:paraId="636003A6" w14:textId="77777777" w:rsidR="009551AD" w:rsidRPr="00273CC4" w:rsidRDefault="009551AD" w:rsidP="009551AD">
      <w:pPr>
        <w:spacing w:before="120" w:after="120"/>
        <w:jc w:val="center"/>
        <w:rPr>
          <w:rFonts w:ascii="Sabon Next LT" w:hAnsi="Sabon Next LT" w:cs="Sabon Next LT"/>
          <w:sz w:val="20"/>
          <w:szCs w:val="20"/>
        </w:rPr>
      </w:pPr>
      <w:r w:rsidRPr="00273CC4">
        <w:rPr>
          <w:rFonts w:ascii="Sabon Next LT" w:hAnsi="Sabon Next LT" w:cs="Sabon Next LT"/>
          <w:sz w:val="20"/>
          <w:szCs w:val="20"/>
        </w:rPr>
        <w:t xml:space="preserve">Table </w:t>
      </w:r>
      <w:r>
        <w:rPr>
          <w:rFonts w:ascii="Sabon Next LT" w:hAnsi="Sabon Next LT" w:cs="Sabon Next LT"/>
          <w:sz w:val="20"/>
          <w:szCs w:val="20"/>
        </w:rPr>
        <w:t>3</w:t>
      </w:r>
      <w:r w:rsidRPr="00273CC4">
        <w:rPr>
          <w:rFonts w:ascii="Sabon Next LT" w:hAnsi="Sabon Next LT" w:cs="Sabon Next LT"/>
          <w:sz w:val="20"/>
          <w:szCs w:val="20"/>
        </w:rPr>
        <w:t>: Teaching Plan and Schedule for Day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6282"/>
        <w:gridCol w:w="1802"/>
      </w:tblGrid>
      <w:tr w:rsidR="009551AD" w:rsidRPr="0079089E" w14:paraId="00A98699" w14:textId="77777777" w:rsidTr="00487C7D">
        <w:trPr>
          <w:trHeight w:val="540"/>
        </w:trPr>
        <w:tc>
          <w:tcPr>
            <w:tcW w:w="955" w:type="dxa"/>
            <w:vAlign w:val="center"/>
            <w:hideMark/>
          </w:tcPr>
          <w:p w14:paraId="7578DC01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</w:t>
            </w:r>
          </w:p>
        </w:tc>
        <w:tc>
          <w:tcPr>
            <w:tcW w:w="6553" w:type="dxa"/>
            <w:vAlign w:val="center"/>
            <w:hideMark/>
          </w:tcPr>
          <w:p w14:paraId="389D175D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Module</w:t>
            </w:r>
          </w:p>
        </w:tc>
        <w:tc>
          <w:tcPr>
            <w:tcW w:w="1842" w:type="dxa"/>
            <w:vAlign w:val="center"/>
            <w:hideMark/>
          </w:tcPr>
          <w:p w14:paraId="7D960E24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Venue</w:t>
            </w:r>
          </w:p>
        </w:tc>
      </w:tr>
      <w:tr w:rsidR="009551AD" w:rsidRPr="0079089E" w14:paraId="0F0226B7" w14:textId="77777777" w:rsidTr="00487C7D">
        <w:trPr>
          <w:trHeight w:val="540"/>
        </w:trPr>
        <w:tc>
          <w:tcPr>
            <w:tcW w:w="955" w:type="dxa"/>
            <w:vAlign w:val="center"/>
            <w:hideMark/>
          </w:tcPr>
          <w:p w14:paraId="029D5774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6930B5A3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 3</w:t>
            </w:r>
          </w:p>
          <w:p w14:paraId="0CB511E8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197CBACA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61169220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</w:tc>
        <w:tc>
          <w:tcPr>
            <w:tcW w:w="6553" w:type="dxa"/>
            <w:vAlign w:val="center"/>
            <w:hideMark/>
          </w:tcPr>
          <w:p w14:paraId="39F0BF0D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Industrial Heritage Case Study 2</w:t>
            </w:r>
          </w:p>
          <w:p w14:paraId="63DE1F00" w14:textId="77777777" w:rsidR="009551AD" w:rsidRPr="00AF405C" w:rsidRDefault="009551AD" w:rsidP="009551AD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Sabon Next LT" w:hAnsi="Sabon Next LT" w:cs="Sabon Next LT"/>
                <w:color w:val="000000"/>
              </w:rPr>
            </w:pPr>
            <w:r>
              <w:rPr>
                <w:rFonts w:ascii="Sabon Next LT" w:hAnsi="Sabon Next LT" w:cs="Sabon Next LT"/>
                <w:color w:val="000000"/>
              </w:rPr>
              <w:t>V</w:t>
            </w:r>
            <w:r w:rsidRPr="0079089E">
              <w:rPr>
                <w:rFonts w:ascii="Sabon Next LT" w:hAnsi="Sabon Next LT" w:cs="Sabon Next LT"/>
                <w:color w:val="000000"/>
              </w:rPr>
              <w:t xml:space="preserve">isiting the Zhongshan Building, ask the student to conduct a field survey and investigation. </w:t>
            </w:r>
          </w:p>
        </w:tc>
        <w:tc>
          <w:tcPr>
            <w:tcW w:w="1842" w:type="dxa"/>
            <w:vAlign w:val="center"/>
            <w:hideMark/>
          </w:tcPr>
          <w:p w14:paraId="5B583590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The Zhongshan Building</w:t>
            </w:r>
          </w:p>
          <w:p w14:paraId="620BCB19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797B6C99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Jalan Kampung Attap, 80 - 84, Jalan Rotan</w:t>
            </w:r>
          </w:p>
        </w:tc>
      </w:tr>
    </w:tbl>
    <w:p w14:paraId="6093FB24" w14:textId="77777777" w:rsidR="009551AD" w:rsidRDefault="009551AD" w:rsidP="009551AD">
      <w:pPr>
        <w:spacing w:before="120" w:after="120"/>
        <w:rPr>
          <w:rFonts w:ascii="Sabon Next LT" w:hAnsi="Sabon Next LT" w:cs="Sabon Next LT"/>
          <w:sz w:val="20"/>
          <w:szCs w:val="20"/>
        </w:rPr>
      </w:pPr>
    </w:p>
    <w:p w14:paraId="28168AEB" w14:textId="77777777" w:rsidR="009551AD" w:rsidRPr="00273CC4" w:rsidRDefault="009551AD" w:rsidP="009551AD">
      <w:pPr>
        <w:spacing w:before="120" w:after="120"/>
        <w:jc w:val="center"/>
        <w:rPr>
          <w:rFonts w:ascii="Sabon Next LT" w:hAnsi="Sabon Next LT" w:cs="Sabon Next LT"/>
          <w:sz w:val="20"/>
          <w:szCs w:val="20"/>
        </w:rPr>
      </w:pPr>
      <w:r w:rsidRPr="00273CC4">
        <w:rPr>
          <w:rFonts w:ascii="Sabon Next LT" w:hAnsi="Sabon Next LT" w:cs="Sabon Next LT"/>
          <w:sz w:val="20"/>
          <w:szCs w:val="20"/>
        </w:rPr>
        <w:t xml:space="preserve">Table </w:t>
      </w:r>
      <w:r>
        <w:rPr>
          <w:rFonts w:ascii="Sabon Next LT" w:hAnsi="Sabon Next LT" w:cs="Sabon Next LT"/>
          <w:sz w:val="20"/>
          <w:szCs w:val="20"/>
        </w:rPr>
        <w:t>4</w:t>
      </w:r>
      <w:r w:rsidRPr="00273CC4">
        <w:rPr>
          <w:rFonts w:ascii="Sabon Next LT" w:hAnsi="Sabon Next LT" w:cs="Sabon Next LT"/>
          <w:sz w:val="20"/>
          <w:szCs w:val="20"/>
        </w:rPr>
        <w:t>: Teaching Plan and Schedule for Day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6254"/>
        <w:gridCol w:w="1799"/>
      </w:tblGrid>
      <w:tr w:rsidR="009551AD" w:rsidRPr="0079089E" w14:paraId="20E32C5B" w14:textId="77777777" w:rsidTr="00487C7D">
        <w:trPr>
          <w:trHeight w:val="540"/>
        </w:trPr>
        <w:tc>
          <w:tcPr>
            <w:tcW w:w="988" w:type="dxa"/>
            <w:vAlign w:val="center"/>
            <w:hideMark/>
          </w:tcPr>
          <w:p w14:paraId="03DC0FFF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</w:t>
            </w:r>
          </w:p>
        </w:tc>
        <w:tc>
          <w:tcPr>
            <w:tcW w:w="6520" w:type="dxa"/>
            <w:vAlign w:val="center"/>
            <w:hideMark/>
          </w:tcPr>
          <w:p w14:paraId="2C5E6D13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Module</w:t>
            </w:r>
          </w:p>
        </w:tc>
        <w:tc>
          <w:tcPr>
            <w:tcW w:w="1842" w:type="dxa"/>
            <w:vAlign w:val="center"/>
            <w:hideMark/>
          </w:tcPr>
          <w:p w14:paraId="3D8B37A9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Venue</w:t>
            </w:r>
          </w:p>
        </w:tc>
      </w:tr>
      <w:tr w:rsidR="009551AD" w:rsidRPr="0079089E" w14:paraId="43AB110A" w14:textId="77777777" w:rsidTr="00487C7D">
        <w:trPr>
          <w:trHeight w:val="540"/>
        </w:trPr>
        <w:tc>
          <w:tcPr>
            <w:tcW w:w="988" w:type="dxa"/>
            <w:vAlign w:val="center"/>
            <w:hideMark/>
          </w:tcPr>
          <w:p w14:paraId="4629705B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3EC82FF8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b/>
                <w:bCs/>
                <w:color w:val="000000"/>
              </w:rPr>
              <w:t>Day 4</w:t>
            </w:r>
          </w:p>
          <w:p w14:paraId="20E51FED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  <w:p w14:paraId="110690FB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</w:p>
        </w:tc>
        <w:tc>
          <w:tcPr>
            <w:tcW w:w="6520" w:type="dxa"/>
            <w:vAlign w:val="center"/>
            <w:hideMark/>
          </w:tcPr>
          <w:p w14:paraId="43F4A468" w14:textId="77777777" w:rsidR="009551AD" w:rsidRPr="0079089E" w:rsidRDefault="009551AD" w:rsidP="009551AD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Conclusion for the 3-Day Course and Investigation</w:t>
            </w:r>
          </w:p>
          <w:p w14:paraId="1B53FE9A" w14:textId="77777777" w:rsidR="009551AD" w:rsidRPr="0079089E" w:rsidRDefault="009551AD" w:rsidP="009551AD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Presentation &amp; Certification Awarding</w:t>
            </w:r>
          </w:p>
        </w:tc>
        <w:tc>
          <w:tcPr>
            <w:tcW w:w="1842" w:type="dxa"/>
            <w:vAlign w:val="center"/>
            <w:hideMark/>
          </w:tcPr>
          <w:p w14:paraId="005B251A" w14:textId="77777777" w:rsidR="009551AD" w:rsidRPr="0079089E" w:rsidRDefault="009551AD" w:rsidP="00487C7D">
            <w:pPr>
              <w:spacing w:before="120" w:after="120"/>
              <w:jc w:val="center"/>
              <w:rPr>
                <w:rFonts w:ascii="Sabon Next LT" w:hAnsi="Sabon Next LT" w:cs="Sabon Next LT"/>
                <w:color w:val="000000"/>
              </w:rPr>
            </w:pPr>
            <w:r w:rsidRPr="0079089E">
              <w:rPr>
                <w:rFonts w:ascii="Sabon Next LT" w:hAnsi="Sabon Next LT" w:cs="Sabon Next LT"/>
                <w:color w:val="000000"/>
              </w:rPr>
              <w:t>University Classroom</w:t>
            </w:r>
          </w:p>
        </w:tc>
      </w:tr>
    </w:tbl>
    <w:p w14:paraId="47EAEC73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283C"/>
    <w:multiLevelType w:val="hybridMultilevel"/>
    <w:tmpl w:val="7422C9B0"/>
    <w:lvl w:ilvl="0" w:tplc="F106FB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0C4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4E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A4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43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08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E3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40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4E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429C"/>
    <w:multiLevelType w:val="hybridMultilevel"/>
    <w:tmpl w:val="2B360C82"/>
    <w:lvl w:ilvl="0" w:tplc="032622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1A4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E4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88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7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85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A2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7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4F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66938"/>
    <w:multiLevelType w:val="hybridMultilevel"/>
    <w:tmpl w:val="CD14F044"/>
    <w:lvl w:ilvl="0" w:tplc="CD1E9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DAB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8E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F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AA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C8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28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7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2C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A3A69"/>
    <w:multiLevelType w:val="hybridMultilevel"/>
    <w:tmpl w:val="043CAF16"/>
    <w:lvl w:ilvl="0" w:tplc="91DAF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88E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48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07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3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25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4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7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06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62023">
    <w:abstractNumId w:val="2"/>
  </w:num>
  <w:num w:numId="2" w16cid:durableId="2085829996">
    <w:abstractNumId w:val="1"/>
  </w:num>
  <w:num w:numId="3" w16cid:durableId="1107459663">
    <w:abstractNumId w:val="3"/>
  </w:num>
  <w:num w:numId="4" w16cid:durableId="62130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AD"/>
    <w:rsid w:val="000C4033"/>
    <w:rsid w:val="00173ED8"/>
    <w:rsid w:val="004B42CB"/>
    <w:rsid w:val="005F2B46"/>
    <w:rsid w:val="006E1731"/>
    <w:rsid w:val="00866D74"/>
    <w:rsid w:val="008A75AB"/>
    <w:rsid w:val="009551AD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F9F0"/>
  <w15:chartTrackingRefBased/>
  <w15:docId w15:val="{3A16DBAC-F86E-4709-A21D-655716AA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AD"/>
    <w:pPr>
      <w:spacing w:after="0" w:line="240" w:lineRule="auto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1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551A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1434</Characters>
  <Application>Microsoft Office Word</Application>
  <DocSecurity>0</DocSecurity>
  <Lines>76</Lines>
  <Paragraphs>35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2026-04-11T00:24:00Z</dcterms:created>
  <dcterms:modified xsi:type="dcterms:W3CDTF">2026-04-11T00:26:00Z</dcterms:modified>
</cp:coreProperties>
</file>