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5B21E" w14:textId="1D5C96FA" w:rsidR="00717BDF" w:rsidRPr="00670EC4" w:rsidRDefault="00717BDF" w:rsidP="00717BDF">
      <w:pPr>
        <w:pStyle w:val="Legenda"/>
        <w:keepNext/>
        <w:spacing w:line="480" w:lineRule="auto"/>
        <w:jc w:val="both"/>
        <w:rPr>
          <w:b w:val="0"/>
          <w:bCs w:val="0"/>
          <w:sz w:val="22"/>
          <w:szCs w:val="22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546"/>
        <w:gridCol w:w="956"/>
        <w:gridCol w:w="1605"/>
        <w:gridCol w:w="2939"/>
        <w:gridCol w:w="2828"/>
        <w:gridCol w:w="2706"/>
        <w:gridCol w:w="1080"/>
      </w:tblGrid>
      <w:tr w:rsidR="00013564" w:rsidRPr="00717BDF" w14:paraId="666B7347" w14:textId="77777777" w:rsidTr="00717BDF"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2C8EF6C0" w14:textId="6331C39C" w:rsidR="00717BDF" w:rsidRPr="00717BDF" w:rsidRDefault="00717BDF" w:rsidP="00372D1C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 w:rsidRPr="00717BDF">
              <w:rPr>
                <w:b/>
                <w:bCs/>
                <w:sz w:val="22"/>
                <w:szCs w:val="22"/>
              </w:rPr>
              <w:t xml:space="preserve">Reference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39CF307" w14:textId="77777777" w:rsidR="00717BDF" w:rsidRPr="00717BDF" w:rsidRDefault="00717BDF" w:rsidP="00372D1C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 w:rsidRPr="00717BDF">
              <w:rPr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7240DC3" w14:textId="12CF6762" w:rsidR="00717BDF" w:rsidRPr="00717BDF" w:rsidRDefault="00717BDF" w:rsidP="00372D1C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 w:rsidRPr="00717BDF">
              <w:rPr>
                <w:b/>
                <w:bCs/>
                <w:sz w:val="22"/>
                <w:szCs w:val="22"/>
              </w:rPr>
              <w:t xml:space="preserve">Age range (mean)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D30D0D8" w14:textId="271BD75B" w:rsidR="00717BDF" w:rsidRPr="00717BDF" w:rsidRDefault="00717BDF" w:rsidP="00372D1C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 w:rsidRPr="00717BDF">
              <w:rPr>
                <w:b/>
                <w:bCs/>
                <w:sz w:val="22"/>
                <w:szCs w:val="22"/>
              </w:rPr>
              <w:t xml:space="preserve">Country of origin of sample/study </w:t>
            </w:r>
          </w:p>
        </w:tc>
        <w:tc>
          <w:tcPr>
            <w:tcW w:w="2939" w:type="dxa"/>
            <w:tcBorders>
              <w:top w:val="nil"/>
              <w:bottom w:val="single" w:sz="4" w:space="0" w:color="auto"/>
            </w:tcBorders>
            <w:vAlign w:val="center"/>
          </w:tcPr>
          <w:p w14:paraId="54C8FAF5" w14:textId="0F4EA8B7" w:rsidR="00717BDF" w:rsidRPr="00717BDF" w:rsidRDefault="00717BDF" w:rsidP="00372D1C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 w:rsidRPr="00717BDF">
              <w:rPr>
                <w:b/>
                <w:bCs/>
                <w:sz w:val="22"/>
                <w:szCs w:val="22"/>
              </w:rPr>
              <w:t>Surgical procedure</w:t>
            </w:r>
          </w:p>
        </w:tc>
        <w:tc>
          <w:tcPr>
            <w:tcW w:w="2828" w:type="dxa"/>
            <w:tcBorders>
              <w:top w:val="nil"/>
              <w:bottom w:val="single" w:sz="4" w:space="0" w:color="auto"/>
            </w:tcBorders>
            <w:vAlign w:val="center"/>
          </w:tcPr>
          <w:p w14:paraId="3EE8BE1D" w14:textId="77777777" w:rsidR="00717BDF" w:rsidRPr="00717BDF" w:rsidRDefault="00717BDF" w:rsidP="00717BDF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 w:rsidRPr="00717BDF">
              <w:rPr>
                <w:b/>
                <w:bCs/>
                <w:sz w:val="22"/>
                <w:szCs w:val="22"/>
              </w:rPr>
              <w:t>Complications</w:t>
            </w:r>
          </w:p>
          <w:p w14:paraId="533FA3DC" w14:textId="79B5CFEC" w:rsidR="00717BDF" w:rsidRPr="00717BDF" w:rsidRDefault="00717BDF" w:rsidP="00717BDF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 w:rsidRPr="00717BDF">
              <w:rPr>
                <w:b/>
                <w:bCs/>
                <w:sz w:val="22"/>
                <w:szCs w:val="22"/>
              </w:rPr>
              <w:t>(number of complications in the sample</w:t>
            </w:r>
            <w:bookmarkStart w:id="0" w:name="_Hlk182829674"/>
            <w:r w:rsidRPr="00717BDF">
              <w:rPr>
                <w:b/>
                <w:bCs/>
                <w:sz w:val="22"/>
                <w:szCs w:val="22"/>
              </w:rPr>
              <w:t>)</w:t>
            </w:r>
            <w:bookmarkEnd w:id="0"/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4B7E101A" w14:textId="79938B3F" w:rsidR="00717BDF" w:rsidRPr="00717BDF" w:rsidRDefault="00717BDF" w:rsidP="00372D1C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 w:rsidRPr="00717BDF">
              <w:rPr>
                <w:b/>
                <w:bCs/>
                <w:sz w:val="22"/>
                <w:szCs w:val="22"/>
              </w:rPr>
              <w:t xml:space="preserve">Outcome (numerical data)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C73717E" w14:textId="77777777" w:rsidR="00717BDF" w:rsidRPr="00717BDF" w:rsidRDefault="00717BDF" w:rsidP="00717BDF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 w:rsidRPr="00717BDF">
              <w:rPr>
                <w:b/>
                <w:bCs/>
                <w:sz w:val="22"/>
                <w:szCs w:val="22"/>
              </w:rPr>
              <w:t>Follow up</w:t>
            </w:r>
          </w:p>
          <w:p w14:paraId="37B2EE44" w14:textId="73D5F7D0" w:rsidR="00717BDF" w:rsidRPr="00717BDF" w:rsidRDefault="00717BDF" w:rsidP="00717BDF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 w:rsidRPr="00717BDF">
              <w:rPr>
                <w:b/>
                <w:bCs/>
                <w:sz w:val="22"/>
                <w:szCs w:val="22"/>
              </w:rPr>
              <w:t>(months)</w:t>
            </w:r>
          </w:p>
        </w:tc>
      </w:tr>
      <w:tr w:rsidR="00F1243A" w:rsidRPr="00670EC4" w14:paraId="6FFBE25F" w14:textId="77777777" w:rsidTr="00717BDF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3325D0F" w14:textId="77777777" w:rsidR="00717BDF" w:rsidRPr="00670EC4" w:rsidRDefault="00717BDF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Bellinga et al. (2017)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E28E25C" w14:textId="77777777" w:rsidR="00717BDF" w:rsidRPr="00670EC4" w:rsidRDefault="00717BDF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180E26E" w14:textId="77777777" w:rsidR="00717BDF" w:rsidRPr="00670EC4" w:rsidRDefault="00717BDF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18 – 70 (40,2)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87B44F1" w14:textId="0F39F8AA" w:rsidR="00717BDF" w:rsidRPr="00670EC4" w:rsidRDefault="00717BDF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717BDF">
              <w:rPr>
                <w:sz w:val="22"/>
                <w:szCs w:val="22"/>
              </w:rPr>
              <w:t>Study (Spain) Sample (ND)</w:t>
            </w:r>
          </w:p>
        </w:tc>
        <w:tc>
          <w:tcPr>
            <w:tcW w:w="2939" w:type="dxa"/>
            <w:tcBorders>
              <w:top w:val="single" w:sz="4" w:space="0" w:color="auto"/>
            </w:tcBorders>
            <w:vAlign w:val="center"/>
          </w:tcPr>
          <w:p w14:paraId="3C10A71F" w14:textId="37CCC0A1" w:rsidR="00717BDF" w:rsidRPr="00670EC4" w:rsidRDefault="00717BDF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717BDF">
              <w:rPr>
                <w:sz w:val="22"/>
                <w:szCs w:val="22"/>
              </w:rPr>
              <w:t>Rhinoplasty, frontal region reconstruction</w:t>
            </w:r>
            <w:r>
              <w:rPr>
                <w:sz w:val="22"/>
                <w:szCs w:val="22"/>
              </w:rPr>
              <w:t>,</w:t>
            </w:r>
            <w:r w:rsidRPr="00717BDF">
              <w:rPr>
                <w:sz w:val="22"/>
                <w:szCs w:val="22"/>
              </w:rPr>
              <w:t xml:space="preserve"> and lip lift</w:t>
            </w:r>
          </w:p>
        </w:tc>
        <w:tc>
          <w:tcPr>
            <w:tcW w:w="2828" w:type="dxa"/>
            <w:tcBorders>
              <w:top w:val="single" w:sz="4" w:space="0" w:color="auto"/>
            </w:tcBorders>
            <w:vAlign w:val="center"/>
          </w:tcPr>
          <w:p w14:paraId="65E81FD5" w14:textId="77777777" w:rsidR="00717BDF" w:rsidRPr="00670EC4" w:rsidRDefault="00717BDF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(0)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6B2C8F2" w14:textId="7B063283" w:rsidR="00717BDF" w:rsidRPr="00717BDF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717BDF">
              <w:rPr>
                <w:sz w:val="22"/>
                <w:szCs w:val="22"/>
              </w:rPr>
              <w:t xml:space="preserve">Larger </w:t>
            </w:r>
            <w:proofErr w:type="spellStart"/>
            <w:r>
              <w:rPr>
                <w:sz w:val="22"/>
                <w:szCs w:val="22"/>
              </w:rPr>
              <w:t>frontonasal</w:t>
            </w:r>
            <w:proofErr w:type="spellEnd"/>
            <w:r w:rsidRPr="00717BDF">
              <w:rPr>
                <w:sz w:val="22"/>
                <w:szCs w:val="22"/>
              </w:rPr>
              <w:t xml:space="preserve"> angle 149.08º (0.57º)</w:t>
            </w:r>
          </w:p>
          <w:p w14:paraId="27EA2245" w14:textId="73D3E96B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717BDF">
              <w:rPr>
                <w:sz w:val="22"/>
                <w:szCs w:val="22"/>
              </w:rPr>
              <w:t>Increase of 15.44º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C317254" w14:textId="77777777" w:rsidR="00717BDF" w:rsidRPr="00670EC4" w:rsidRDefault="00717BDF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32</w:t>
            </w:r>
          </w:p>
        </w:tc>
      </w:tr>
      <w:tr w:rsidR="00F1243A" w:rsidRPr="00670EC4" w14:paraId="16D51EE7" w14:textId="77777777" w:rsidTr="00372D1C">
        <w:tc>
          <w:tcPr>
            <w:tcW w:w="0" w:type="auto"/>
            <w:vAlign w:val="center"/>
          </w:tcPr>
          <w:p w14:paraId="2D2838E5" w14:textId="77777777" w:rsidR="00717BDF" w:rsidRPr="00670EC4" w:rsidRDefault="00717BDF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proofErr w:type="spellStart"/>
            <w:r w:rsidRPr="00670EC4">
              <w:rPr>
                <w:sz w:val="22"/>
                <w:szCs w:val="22"/>
              </w:rPr>
              <w:t>Facque</w:t>
            </w:r>
            <w:proofErr w:type="spellEnd"/>
            <w:r w:rsidRPr="00670EC4">
              <w:rPr>
                <w:sz w:val="22"/>
                <w:szCs w:val="22"/>
              </w:rPr>
              <w:t xml:space="preserve"> et al. (2019)</w:t>
            </w:r>
          </w:p>
        </w:tc>
        <w:tc>
          <w:tcPr>
            <w:tcW w:w="0" w:type="auto"/>
            <w:vAlign w:val="center"/>
          </w:tcPr>
          <w:p w14:paraId="7B1B6FB2" w14:textId="77777777" w:rsidR="00717BDF" w:rsidRPr="00670EC4" w:rsidRDefault="00717BDF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NA</w:t>
            </w:r>
          </w:p>
        </w:tc>
        <w:tc>
          <w:tcPr>
            <w:tcW w:w="0" w:type="auto"/>
            <w:vAlign w:val="center"/>
          </w:tcPr>
          <w:p w14:paraId="6698FCF1" w14:textId="77777777" w:rsidR="00717BDF" w:rsidRPr="00670EC4" w:rsidRDefault="00717BDF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NA</w:t>
            </w:r>
          </w:p>
        </w:tc>
        <w:tc>
          <w:tcPr>
            <w:tcW w:w="0" w:type="auto"/>
            <w:vAlign w:val="center"/>
          </w:tcPr>
          <w:p w14:paraId="162C9E5E" w14:textId="77777777" w:rsidR="00717BDF" w:rsidRPr="00670EC4" w:rsidRDefault="00717BDF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NA</w:t>
            </w:r>
          </w:p>
        </w:tc>
        <w:tc>
          <w:tcPr>
            <w:tcW w:w="2939" w:type="dxa"/>
            <w:vAlign w:val="center"/>
          </w:tcPr>
          <w:p w14:paraId="48C43671" w14:textId="3909A3A4" w:rsidR="00717BDF" w:rsidRPr="00670EC4" w:rsidRDefault="00717BDF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717BDF">
              <w:rPr>
                <w:sz w:val="22"/>
                <w:szCs w:val="22"/>
              </w:rPr>
              <w:t xml:space="preserve">Frontal bone osteotomy, alloplastic forehead augmentation, anterior sinus plate removal, </w:t>
            </w:r>
            <w:proofErr w:type="spellStart"/>
            <w:r w:rsidRPr="00717BDF">
              <w:rPr>
                <w:sz w:val="22"/>
                <w:szCs w:val="22"/>
              </w:rPr>
              <w:t>capillary</w:t>
            </w:r>
            <w:proofErr w:type="spellEnd"/>
            <w:r w:rsidRPr="00717BDF">
              <w:rPr>
                <w:sz w:val="22"/>
                <w:szCs w:val="22"/>
              </w:rPr>
              <w:t xml:space="preserve"> </w:t>
            </w:r>
            <w:proofErr w:type="spellStart"/>
            <w:r w:rsidRPr="00717BDF">
              <w:rPr>
                <w:sz w:val="22"/>
                <w:szCs w:val="22"/>
              </w:rPr>
              <w:t>implantation</w:t>
            </w:r>
            <w:proofErr w:type="spellEnd"/>
            <w:r w:rsidRPr="00717BDF">
              <w:rPr>
                <w:sz w:val="22"/>
                <w:szCs w:val="22"/>
              </w:rPr>
              <w:t xml:space="preserve"> line advancement, rhinoplasty, </w:t>
            </w:r>
            <w:r>
              <w:rPr>
                <w:sz w:val="22"/>
                <w:szCs w:val="22"/>
              </w:rPr>
              <w:t>zygomatic</w:t>
            </w:r>
            <w:r w:rsidRPr="00717BDF">
              <w:rPr>
                <w:sz w:val="22"/>
                <w:szCs w:val="22"/>
              </w:rPr>
              <w:t xml:space="preserve"> augmentation, lip lift, mandibular osteotomy, mentoplasty, </w:t>
            </w:r>
            <w:proofErr w:type="spellStart"/>
            <w:r w:rsidRPr="00717BDF">
              <w:rPr>
                <w:sz w:val="22"/>
                <w:szCs w:val="22"/>
              </w:rPr>
              <w:t>hair</w:t>
            </w:r>
            <w:proofErr w:type="spellEnd"/>
            <w:r w:rsidRPr="00717BDF">
              <w:rPr>
                <w:sz w:val="22"/>
                <w:szCs w:val="22"/>
              </w:rPr>
              <w:t xml:space="preserve"> </w:t>
            </w:r>
            <w:proofErr w:type="spellStart"/>
            <w:r w:rsidRPr="00717BDF">
              <w:rPr>
                <w:sz w:val="22"/>
                <w:szCs w:val="22"/>
              </w:rPr>
              <w:t>transplant</w:t>
            </w:r>
            <w:proofErr w:type="spellEnd"/>
          </w:p>
        </w:tc>
        <w:tc>
          <w:tcPr>
            <w:tcW w:w="2828" w:type="dxa"/>
            <w:vAlign w:val="center"/>
          </w:tcPr>
          <w:p w14:paraId="2A697308" w14:textId="77777777" w:rsidR="00717BDF" w:rsidRPr="00670EC4" w:rsidRDefault="00717BDF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ND</w:t>
            </w:r>
          </w:p>
        </w:tc>
        <w:tc>
          <w:tcPr>
            <w:tcW w:w="0" w:type="auto"/>
            <w:vAlign w:val="center"/>
          </w:tcPr>
          <w:p w14:paraId="2A6EB58D" w14:textId="77777777" w:rsidR="00717BDF" w:rsidRPr="00670EC4" w:rsidRDefault="00717BDF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NA</w:t>
            </w:r>
          </w:p>
        </w:tc>
        <w:tc>
          <w:tcPr>
            <w:tcW w:w="0" w:type="auto"/>
            <w:vAlign w:val="center"/>
          </w:tcPr>
          <w:p w14:paraId="7437AC2D" w14:textId="77777777" w:rsidR="00717BDF" w:rsidRPr="00670EC4" w:rsidRDefault="00717BDF" w:rsidP="00372D1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NA</w:t>
            </w:r>
          </w:p>
        </w:tc>
      </w:tr>
      <w:tr w:rsidR="00F1243A" w:rsidRPr="00670EC4" w14:paraId="42B6B3B1" w14:textId="77777777" w:rsidTr="00372D1C">
        <w:tc>
          <w:tcPr>
            <w:tcW w:w="0" w:type="auto"/>
            <w:vAlign w:val="center"/>
          </w:tcPr>
          <w:p w14:paraId="090F54C5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proofErr w:type="spellStart"/>
            <w:r w:rsidRPr="00670EC4">
              <w:rPr>
                <w:sz w:val="22"/>
                <w:szCs w:val="22"/>
              </w:rPr>
              <w:lastRenderedPageBreak/>
              <w:t>Glorion</w:t>
            </w:r>
            <w:proofErr w:type="spellEnd"/>
            <w:r w:rsidRPr="00670EC4">
              <w:rPr>
                <w:sz w:val="22"/>
                <w:szCs w:val="22"/>
              </w:rPr>
              <w:t xml:space="preserve"> et al. (2022)</w:t>
            </w:r>
          </w:p>
        </w:tc>
        <w:tc>
          <w:tcPr>
            <w:tcW w:w="0" w:type="auto"/>
            <w:vAlign w:val="center"/>
          </w:tcPr>
          <w:p w14:paraId="2C33BCAB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NA</w:t>
            </w:r>
          </w:p>
        </w:tc>
        <w:tc>
          <w:tcPr>
            <w:tcW w:w="0" w:type="auto"/>
            <w:vAlign w:val="center"/>
          </w:tcPr>
          <w:p w14:paraId="57D9C150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NA</w:t>
            </w:r>
          </w:p>
        </w:tc>
        <w:tc>
          <w:tcPr>
            <w:tcW w:w="0" w:type="auto"/>
            <w:vAlign w:val="center"/>
          </w:tcPr>
          <w:p w14:paraId="57DA080E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NA</w:t>
            </w:r>
          </w:p>
        </w:tc>
        <w:tc>
          <w:tcPr>
            <w:tcW w:w="2939" w:type="dxa"/>
            <w:vAlign w:val="center"/>
          </w:tcPr>
          <w:p w14:paraId="6273F3CD" w14:textId="29648E85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717BDF">
              <w:rPr>
                <w:sz w:val="22"/>
                <w:szCs w:val="22"/>
              </w:rPr>
              <w:t>Mentoplasty</w:t>
            </w:r>
          </w:p>
        </w:tc>
        <w:tc>
          <w:tcPr>
            <w:tcW w:w="2828" w:type="dxa"/>
            <w:vAlign w:val="center"/>
          </w:tcPr>
          <w:p w14:paraId="155CDCD6" w14:textId="76616A1A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717BDF">
              <w:rPr>
                <w:sz w:val="22"/>
                <w:szCs w:val="22"/>
              </w:rPr>
              <w:t xml:space="preserve">Temporary neurosensory </w:t>
            </w:r>
            <w:proofErr w:type="spellStart"/>
            <w:r w:rsidRPr="00717BDF">
              <w:rPr>
                <w:sz w:val="22"/>
                <w:szCs w:val="22"/>
              </w:rPr>
              <w:t>rupture</w:t>
            </w:r>
            <w:proofErr w:type="spellEnd"/>
            <w:r w:rsidRPr="00717BDF">
              <w:rPr>
                <w:sz w:val="22"/>
                <w:szCs w:val="22"/>
              </w:rPr>
              <w:t xml:space="preserve"> of the inferior alveolar nerve, </w:t>
            </w:r>
            <w:proofErr w:type="spellStart"/>
            <w:r w:rsidRPr="00717BDF">
              <w:rPr>
                <w:sz w:val="22"/>
                <w:szCs w:val="22"/>
              </w:rPr>
              <w:t>sensory</w:t>
            </w:r>
            <w:proofErr w:type="spellEnd"/>
            <w:r w:rsidRPr="00717BDF">
              <w:rPr>
                <w:sz w:val="22"/>
                <w:szCs w:val="22"/>
              </w:rPr>
              <w:t xml:space="preserve"> </w:t>
            </w:r>
            <w:proofErr w:type="spellStart"/>
            <w:r w:rsidRPr="00717BDF">
              <w:rPr>
                <w:sz w:val="22"/>
                <w:szCs w:val="22"/>
              </w:rPr>
              <w:t>disturbances</w:t>
            </w:r>
            <w:proofErr w:type="spellEnd"/>
            <w:r w:rsidRPr="00717BDF">
              <w:rPr>
                <w:sz w:val="22"/>
                <w:szCs w:val="22"/>
              </w:rPr>
              <w:t xml:space="preserve"> of the lip and chin due to damage to the inferior alveolar nerve, hematoma, damage to the tooth root, surgical site </w:t>
            </w:r>
            <w:proofErr w:type="spellStart"/>
            <w:r w:rsidRPr="00717BDF">
              <w:rPr>
                <w:sz w:val="22"/>
                <w:szCs w:val="22"/>
              </w:rPr>
              <w:t>infections</w:t>
            </w:r>
            <w:proofErr w:type="spellEnd"/>
            <w:r w:rsidRPr="00717BDF">
              <w:rPr>
                <w:sz w:val="22"/>
                <w:szCs w:val="22"/>
              </w:rPr>
              <w:t xml:space="preserve">, </w:t>
            </w:r>
            <w:proofErr w:type="spellStart"/>
            <w:r w:rsidRPr="00717BDF">
              <w:rPr>
                <w:sz w:val="22"/>
                <w:szCs w:val="22"/>
              </w:rPr>
              <w:t>disjunctions</w:t>
            </w:r>
            <w:proofErr w:type="spellEnd"/>
            <w:r w:rsidRPr="00717BDF">
              <w:rPr>
                <w:sz w:val="22"/>
                <w:szCs w:val="22"/>
              </w:rPr>
              <w:t xml:space="preserve">, </w:t>
            </w:r>
            <w:proofErr w:type="spellStart"/>
            <w:r w:rsidRPr="00717BDF">
              <w:rPr>
                <w:sz w:val="22"/>
                <w:szCs w:val="22"/>
              </w:rPr>
              <w:t>salivary</w:t>
            </w:r>
            <w:proofErr w:type="spellEnd"/>
            <w:r w:rsidRPr="00717BDF">
              <w:rPr>
                <w:sz w:val="22"/>
                <w:szCs w:val="22"/>
              </w:rPr>
              <w:t xml:space="preserve"> fistulas or resorption of the osteotomized bone segments.</w:t>
            </w:r>
          </w:p>
        </w:tc>
        <w:tc>
          <w:tcPr>
            <w:tcW w:w="0" w:type="auto"/>
            <w:vAlign w:val="center"/>
          </w:tcPr>
          <w:p w14:paraId="2690BDA8" w14:textId="464F6F0E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NA</w:t>
            </w:r>
          </w:p>
        </w:tc>
        <w:tc>
          <w:tcPr>
            <w:tcW w:w="0" w:type="auto"/>
            <w:vAlign w:val="center"/>
          </w:tcPr>
          <w:p w14:paraId="19C8AD8D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NA</w:t>
            </w:r>
          </w:p>
        </w:tc>
      </w:tr>
      <w:tr w:rsidR="00F1243A" w:rsidRPr="00670EC4" w14:paraId="68441C47" w14:textId="77777777" w:rsidTr="00372D1C">
        <w:tc>
          <w:tcPr>
            <w:tcW w:w="0" w:type="auto"/>
            <w:vAlign w:val="center"/>
          </w:tcPr>
          <w:p w14:paraId="7618735A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Gupta et al. (2019)</w:t>
            </w:r>
          </w:p>
        </w:tc>
        <w:tc>
          <w:tcPr>
            <w:tcW w:w="0" w:type="auto"/>
            <w:vAlign w:val="center"/>
          </w:tcPr>
          <w:p w14:paraId="230E2CAC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14:paraId="71D48864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 xml:space="preserve">37 – 65 (53,9) </w:t>
            </w:r>
          </w:p>
        </w:tc>
        <w:tc>
          <w:tcPr>
            <w:tcW w:w="0" w:type="auto"/>
            <w:vAlign w:val="center"/>
          </w:tcPr>
          <w:p w14:paraId="0181503B" w14:textId="002CE749" w:rsidR="00717BDF" w:rsidRPr="00670EC4" w:rsidRDefault="00013564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013564">
              <w:rPr>
                <w:sz w:val="22"/>
                <w:szCs w:val="22"/>
              </w:rPr>
              <w:t>Study (US) Sample (ND)</w:t>
            </w:r>
          </w:p>
        </w:tc>
        <w:tc>
          <w:tcPr>
            <w:tcW w:w="2939" w:type="dxa"/>
            <w:vAlign w:val="center"/>
          </w:tcPr>
          <w:p w14:paraId="58EF8A20" w14:textId="3BCF619C" w:rsidR="00717BDF" w:rsidRPr="00670EC4" w:rsidRDefault="00013564" w:rsidP="00013564">
            <w:pPr>
              <w:spacing w:line="480" w:lineRule="auto"/>
              <w:jc w:val="center"/>
              <w:rPr>
                <w:sz w:val="22"/>
                <w:szCs w:val="22"/>
              </w:rPr>
            </w:pPr>
            <w:proofErr w:type="spellStart"/>
            <w:r w:rsidRPr="00013564">
              <w:rPr>
                <w:sz w:val="22"/>
                <w:szCs w:val="22"/>
              </w:rPr>
              <w:t>Rhytidoplasty</w:t>
            </w:r>
            <w:proofErr w:type="spellEnd"/>
            <w:r w:rsidRPr="00013564">
              <w:rPr>
                <w:sz w:val="22"/>
                <w:szCs w:val="22"/>
              </w:rPr>
              <w:t xml:space="preserve">, </w:t>
            </w:r>
            <w:proofErr w:type="spellStart"/>
            <w:r w:rsidRPr="00013564">
              <w:rPr>
                <w:sz w:val="22"/>
                <w:szCs w:val="22"/>
              </w:rPr>
              <w:t>recontouring</w:t>
            </w:r>
            <w:proofErr w:type="spellEnd"/>
            <w:r w:rsidRPr="00013564">
              <w:rPr>
                <w:sz w:val="22"/>
                <w:szCs w:val="22"/>
              </w:rPr>
              <w:t xml:space="preserve"> of the frontal region with </w:t>
            </w:r>
            <w:r>
              <w:rPr>
                <w:sz w:val="22"/>
                <w:szCs w:val="22"/>
              </w:rPr>
              <w:t xml:space="preserve">an </w:t>
            </w:r>
            <w:proofErr w:type="spellStart"/>
            <w:r w:rsidRPr="00013564">
              <w:rPr>
                <w:sz w:val="22"/>
                <w:szCs w:val="22"/>
              </w:rPr>
              <w:t>eyebrow</w:t>
            </w:r>
            <w:proofErr w:type="spellEnd"/>
            <w:r w:rsidRPr="00013564">
              <w:rPr>
                <w:sz w:val="22"/>
                <w:szCs w:val="22"/>
              </w:rPr>
              <w:t xml:space="preserve"> lift, implants in the </w:t>
            </w:r>
            <w:r w:rsidRPr="00013564">
              <w:rPr>
                <w:sz w:val="22"/>
                <w:szCs w:val="22"/>
              </w:rPr>
              <w:lastRenderedPageBreak/>
              <w:t>region</w:t>
            </w:r>
            <w:r>
              <w:rPr>
                <w:sz w:val="22"/>
                <w:szCs w:val="22"/>
              </w:rPr>
              <w:t xml:space="preserve"> </w:t>
            </w:r>
            <w:r w:rsidRPr="00013564">
              <w:rPr>
                <w:sz w:val="22"/>
                <w:szCs w:val="22"/>
              </w:rPr>
              <w:t xml:space="preserve">zygomatic, rhinoplasty, mandibular </w:t>
            </w:r>
            <w:proofErr w:type="spellStart"/>
            <w:r w:rsidRPr="00013564">
              <w:rPr>
                <w:sz w:val="22"/>
                <w:szCs w:val="22"/>
              </w:rPr>
              <w:t>recontouring</w:t>
            </w:r>
            <w:proofErr w:type="spellEnd"/>
          </w:p>
        </w:tc>
        <w:tc>
          <w:tcPr>
            <w:tcW w:w="2828" w:type="dxa"/>
            <w:vAlign w:val="center"/>
          </w:tcPr>
          <w:p w14:paraId="7892CB49" w14:textId="5EE6E99F" w:rsidR="00717BDF" w:rsidRPr="00670EC4" w:rsidRDefault="00013564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013564">
              <w:rPr>
                <w:sz w:val="22"/>
                <w:szCs w:val="22"/>
              </w:rPr>
              <w:lastRenderedPageBreak/>
              <w:t xml:space="preserve">Infection, </w:t>
            </w:r>
            <w:proofErr w:type="spellStart"/>
            <w:r w:rsidRPr="00013564">
              <w:rPr>
                <w:sz w:val="22"/>
                <w:szCs w:val="22"/>
              </w:rPr>
              <w:t>pulmonary</w:t>
            </w:r>
            <w:proofErr w:type="spellEnd"/>
            <w:r w:rsidRPr="00013564">
              <w:rPr>
                <w:sz w:val="22"/>
                <w:szCs w:val="22"/>
              </w:rPr>
              <w:t xml:space="preserve"> </w:t>
            </w:r>
            <w:proofErr w:type="spellStart"/>
            <w:r w:rsidRPr="00013564">
              <w:rPr>
                <w:sz w:val="22"/>
                <w:szCs w:val="22"/>
              </w:rPr>
              <w:t>embolism</w:t>
            </w:r>
            <w:proofErr w:type="spellEnd"/>
          </w:p>
        </w:tc>
        <w:tc>
          <w:tcPr>
            <w:tcW w:w="0" w:type="auto"/>
            <w:vAlign w:val="center"/>
          </w:tcPr>
          <w:p w14:paraId="328D96C6" w14:textId="79B1828A" w:rsidR="00717BDF" w:rsidRPr="00670EC4" w:rsidRDefault="00013564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013564">
              <w:rPr>
                <w:sz w:val="22"/>
                <w:szCs w:val="22"/>
              </w:rPr>
              <w:t xml:space="preserve">It is safe to </w:t>
            </w:r>
            <w:proofErr w:type="spellStart"/>
            <w:r w:rsidRPr="00013564">
              <w:rPr>
                <w:sz w:val="22"/>
                <w:szCs w:val="22"/>
              </w:rPr>
              <w:t>perform</w:t>
            </w:r>
            <w:proofErr w:type="spellEnd"/>
            <w:r w:rsidRPr="00013564">
              <w:rPr>
                <w:sz w:val="22"/>
                <w:szCs w:val="22"/>
              </w:rPr>
              <w:t xml:space="preserve"> multiple surgical procedures in different planes in a single surgical </w:t>
            </w:r>
            <w:r w:rsidRPr="00013564">
              <w:rPr>
                <w:sz w:val="22"/>
                <w:szCs w:val="22"/>
              </w:rPr>
              <w:lastRenderedPageBreak/>
              <w:t xml:space="preserve">procedure. The complications reported were due to the individual procedures, not the </w:t>
            </w:r>
            <w:r>
              <w:rPr>
                <w:sz w:val="22"/>
                <w:szCs w:val="22"/>
              </w:rPr>
              <w:t>numerous</w:t>
            </w:r>
            <w:r w:rsidRPr="00013564">
              <w:rPr>
                <w:sz w:val="22"/>
                <w:szCs w:val="22"/>
              </w:rPr>
              <w:t xml:space="preserve"> surgeries</w:t>
            </w:r>
          </w:p>
        </w:tc>
        <w:tc>
          <w:tcPr>
            <w:tcW w:w="0" w:type="auto"/>
            <w:vAlign w:val="center"/>
          </w:tcPr>
          <w:p w14:paraId="7CDDE917" w14:textId="392C4A3C" w:rsidR="00717BDF" w:rsidRPr="00670EC4" w:rsidRDefault="00013564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013564">
              <w:rPr>
                <w:sz w:val="22"/>
                <w:szCs w:val="22"/>
              </w:rPr>
              <w:lastRenderedPageBreak/>
              <w:t>20.58 weeks</w:t>
            </w:r>
          </w:p>
        </w:tc>
      </w:tr>
      <w:tr w:rsidR="00F1243A" w:rsidRPr="00670EC4" w14:paraId="56F71DF4" w14:textId="77777777" w:rsidTr="00372D1C">
        <w:tc>
          <w:tcPr>
            <w:tcW w:w="0" w:type="auto"/>
            <w:vAlign w:val="center"/>
          </w:tcPr>
          <w:p w14:paraId="17FDB2A0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proofErr w:type="spellStart"/>
            <w:r w:rsidRPr="00670EC4">
              <w:rPr>
                <w:sz w:val="22"/>
                <w:szCs w:val="22"/>
              </w:rPr>
              <w:t>Kannan</w:t>
            </w:r>
            <w:proofErr w:type="spellEnd"/>
            <w:r w:rsidRPr="00670EC4">
              <w:rPr>
                <w:sz w:val="22"/>
                <w:szCs w:val="22"/>
              </w:rPr>
              <w:t xml:space="preserve"> et al. (2022)</w:t>
            </w:r>
          </w:p>
        </w:tc>
        <w:tc>
          <w:tcPr>
            <w:tcW w:w="0" w:type="auto"/>
            <w:vAlign w:val="center"/>
          </w:tcPr>
          <w:p w14:paraId="7ABA6E00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5D1AF9F3" w14:textId="31B0C688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vAlign w:val="center"/>
          </w:tcPr>
          <w:p w14:paraId="6EF3B42B" w14:textId="5ABABB1D" w:rsidR="00717BDF" w:rsidRPr="00670EC4" w:rsidRDefault="00013564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717BDF" w:rsidRPr="00670EC4">
              <w:rPr>
                <w:sz w:val="22"/>
                <w:szCs w:val="22"/>
              </w:rPr>
              <w:t>ndia</w:t>
            </w:r>
          </w:p>
        </w:tc>
        <w:tc>
          <w:tcPr>
            <w:tcW w:w="2939" w:type="dxa"/>
            <w:vAlign w:val="center"/>
          </w:tcPr>
          <w:p w14:paraId="1653CE1C" w14:textId="4FD0459A" w:rsidR="00717BDF" w:rsidRPr="00670EC4" w:rsidRDefault="00013564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013564">
              <w:rPr>
                <w:sz w:val="22"/>
                <w:szCs w:val="22"/>
              </w:rPr>
              <w:t>Mandibular advancement</w:t>
            </w:r>
          </w:p>
        </w:tc>
        <w:tc>
          <w:tcPr>
            <w:tcW w:w="2828" w:type="dxa"/>
            <w:vAlign w:val="center"/>
          </w:tcPr>
          <w:p w14:paraId="2816BEA6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(0)</w:t>
            </w:r>
          </w:p>
        </w:tc>
        <w:tc>
          <w:tcPr>
            <w:tcW w:w="0" w:type="auto"/>
            <w:vAlign w:val="center"/>
          </w:tcPr>
          <w:p w14:paraId="0B9C9BCF" w14:textId="6281FB06" w:rsidR="00717BDF" w:rsidRPr="00670EC4" w:rsidRDefault="00013564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013564">
              <w:rPr>
                <w:sz w:val="22"/>
                <w:szCs w:val="22"/>
              </w:rPr>
              <w:t>5 mm of mandibular advancement, relation of the bone bases and Angle Classification in Class I</w:t>
            </w:r>
          </w:p>
        </w:tc>
        <w:tc>
          <w:tcPr>
            <w:tcW w:w="0" w:type="auto"/>
            <w:vAlign w:val="center"/>
          </w:tcPr>
          <w:p w14:paraId="1211FBD7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ND</w:t>
            </w:r>
          </w:p>
        </w:tc>
      </w:tr>
      <w:tr w:rsidR="00F1243A" w:rsidRPr="00670EC4" w14:paraId="47E58C9B" w14:textId="77777777" w:rsidTr="00372D1C">
        <w:tc>
          <w:tcPr>
            <w:tcW w:w="0" w:type="auto"/>
            <w:vAlign w:val="center"/>
          </w:tcPr>
          <w:p w14:paraId="6144F1FB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proofErr w:type="spellStart"/>
            <w:r w:rsidRPr="00670EC4">
              <w:rPr>
                <w:sz w:val="22"/>
                <w:szCs w:val="22"/>
              </w:rPr>
              <w:t>Lam</w:t>
            </w:r>
            <w:proofErr w:type="spellEnd"/>
            <w:r w:rsidRPr="00670EC4">
              <w:rPr>
                <w:sz w:val="22"/>
                <w:szCs w:val="22"/>
              </w:rPr>
              <w:t xml:space="preserve"> et al. (2017)</w:t>
            </w:r>
          </w:p>
        </w:tc>
        <w:tc>
          <w:tcPr>
            <w:tcW w:w="0" w:type="auto"/>
            <w:vAlign w:val="center"/>
          </w:tcPr>
          <w:p w14:paraId="2D0409F2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0EFE41A3" w14:textId="26A06853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65</w:t>
            </w:r>
          </w:p>
        </w:tc>
        <w:tc>
          <w:tcPr>
            <w:tcW w:w="0" w:type="auto"/>
            <w:vAlign w:val="center"/>
          </w:tcPr>
          <w:p w14:paraId="4B28D0F2" w14:textId="170823C0" w:rsidR="00717BDF" w:rsidRPr="00670EC4" w:rsidRDefault="00013564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013564">
              <w:rPr>
                <w:sz w:val="22"/>
                <w:szCs w:val="22"/>
              </w:rPr>
              <w:t>Study (US) Sample (ND)</w:t>
            </w:r>
          </w:p>
        </w:tc>
        <w:tc>
          <w:tcPr>
            <w:tcW w:w="2939" w:type="dxa"/>
            <w:vAlign w:val="center"/>
          </w:tcPr>
          <w:p w14:paraId="77E4BFBC" w14:textId="6A0E6A4A" w:rsidR="00717BDF" w:rsidRPr="00670EC4" w:rsidRDefault="00013564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proofErr w:type="spellStart"/>
            <w:r w:rsidRPr="00013564">
              <w:rPr>
                <w:sz w:val="22"/>
                <w:szCs w:val="22"/>
              </w:rPr>
              <w:t>Recontouring</w:t>
            </w:r>
            <w:proofErr w:type="spellEnd"/>
            <w:r w:rsidRPr="00013564">
              <w:rPr>
                <w:sz w:val="22"/>
                <w:szCs w:val="22"/>
              </w:rPr>
              <w:t xml:space="preserve"> of the frontal region</w:t>
            </w:r>
          </w:p>
        </w:tc>
        <w:tc>
          <w:tcPr>
            <w:tcW w:w="2828" w:type="dxa"/>
            <w:vAlign w:val="center"/>
          </w:tcPr>
          <w:p w14:paraId="1D9C77C0" w14:textId="3899F285" w:rsidR="00717BDF" w:rsidRPr="00670EC4" w:rsidRDefault="00013564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013564">
              <w:rPr>
                <w:sz w:val="22"/>
                <w:szCs w:val="22"/>
              </w:rPr>
              <w:t>Sinocutaneous fistula</w:t>
            </w:r>
          </w:p>
        </w:tc>
        <w:tc>
          <w:tcPr>
            <w:tcW w:w="0" w:type="auto"/>
            <w:vAlign w:val="center"/>
          </w:tcPr>
          <w:p w14:paraId="16AABC52" w14:textId="7CAA6ED0" w:rsidR="00717BDF" w:rsidRPr="00670EC4" w:rsidRDefault="00013564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013564">
              <w:rPr>
                <w:sz w:val="22"/>
                <w:szCs w:val="22"/>
              </w:rPr>
              <w:t>Complete closure of sinocutaneous fistula</w:t>
            </w:r>
          </w:p>
        </w:tc>
        <w:tc>
          <w:tcPr>
            <w:tcW w:w="0" w:type="auto"/>
            <w:vAlign w:val="center"/>
          </w:tcPr>
          <w:p w14:paraId="2F0758C7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 xml:space="preserve">9 </w:t>
            </w:r>
          </w:p>
        </w:tc>
      </w:tr>
      <w:tr w:rsidR="00F1243A" w:rsidRPr="00670EC4" w14:paraId="66B1B384" w14:textId="77777777" w:rsidTr="00372D1C">
        <w:tc>
          <w:tcPr>
            <w:tcW w:w="0" w:type="auto"/>
            <w:vAlign w:val="center"/>
          </w:tcPr>
          <w:p w14:paraId="4C4FE6A2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La Padula et al. (2019)</w:t>
            </w:r>
          </w:p>
        </w:tc>
        <w:tc>
          <w:tcPr>
            <w:tcW w:w="0" w:type="auto"/>
            <w:vAlign w:val="center"/>
          </w:tcPr>
          <w:p w14:paraId="304FA3E7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14:paraId="7A4FA098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ND</w:t>
            </w:r>
          </w:p>
        </w:tc>
        <w:tc>
          <w:tcPr>
            <w:tcW w:w="0" w:type="auto"/>
            <w:vAlign w:val="center"/>
          </w:tcPr>
          <w:p w14:paraId="5BD0D297" w14:textId="69A93E08" w:rsidR="00717BDF" w:rsidRPr="00670EC4" w:rsidRDefault="00013564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013564">
              <w:rPr>
                <w:sz w:val="22"/>
                <w:szCs w:val="22"/>
              </w:rPr>
              <w:t>Study (France) Sample (ND</w:t>
            </w:r>
            <w:r w:rsidR="00717BDF" w:rsidRPr="00670EC4">
              <w:rPr>
                <w:sz w:val="22"/>
                <w:szCs w:val="22"/>
              </w:rPr>
              <w:t>)</w:t>
            </w:r>
          </w:p>
        </w:tc>
        <w:tc>
          <w:tcPr>
            <w:tcW w:w="2939" w:type="dxa"/>
            <w:vAlign w:val="center"/>
          </w:tcPr>
          <w:p w14:paraId="752BCFEE" w14:textId="37F785D2" w:rsidR="00717BDF" w:rsidRPr="00670EC4" w:rsidRDefault="00013564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013564">
              <w:rPr>
                <w:sz w:val="22"/>
                <w:szCs w:val="22"/>
              </w:rPr>
              <w:t xml:space="preserve">Frontal </w:t>
            </w:r>
            <w:proofErr w:type="spellStart"/>
            <w:r w:rsidRPr="00013564">
              <w:rPr>
                <w:sz w:val="22"/>
                <w:szCs w:val="22"/>
              </w:rPr>
              <w:t>recontouring</w:t>
            </w:r>
            <w:proofErr w:type="spellEnd"/>
            <w:r w:rsidRPr="00013564">
              <w:rPr>
                <w:sz w:val="22"/>
                <w:szCs w:val="22"/>
              </w:rPr>
              <w:t>, advancement of the hairline, rhinoplasty, orthognathic</w:t>
            </w:r>
          </w:p>
        </w:tc>
        <w:tc>
          <w:tcPr>
            <w:tcW w:w="2828" w:type="dxa"/>
            <w:vAlign w:val="center"/>
          </w:tcPr>
          <w:p w14:paraId="2CD4DEF0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(0)</w:t>
            </w:r>
          </w:p>
        </w:tc>
        <w:tc>
          <w:tcPr>
            <w:tcW w:w="0" w:type="auto"/>
            <w:vAlign w:val="center"/>
          </w:tcPr>
          <w:p w14:paraId="7D79723A" w14:textId="688B2E13" w:rsidR="00717BDF" w:rsidRPr="00670EC4" w:rsidRDefault="00013564" w:rsidP="00013564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013564">
              <w:rPr>
                <w:sz w:val="22"/>
                <w:szCs w:val="22"/>
              </w:rPr>
              <w:t>Surgery duration 420 min; Preparation of the three-dimensional model 145 min</w:t>
            </w:r>
          </w:p>
        </w:tc>
        <w:tc>
          <w:tcPr>
            <w:tcW w:w="0" w:type="auto"/>
            <w:vAlign w:val="center"/>
          </w:tcPr>
          <w:p w14:paraId="3720217E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 xml:space="preserve">12 </w:t>
            </w:r>
          </w:p>
        </w:tc>
      </w:tr>
      <w:tr w:rsidR="00F1243A" w:rsidRPr="00670EC4" w14:paraId="2B9F6102" w14:textId="77777777" w:rsidTr="00372D1C">
        <w:tc>
          <w:tcPr>
            <w:tcW w:w="0" w:type="auto"/>
            <w:vAlign w:val="center"/>
          </w:tcPr>
          <w:p w14:paraId="4A40B980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proofErr w:type="spellStart"/>
            <w:r w:rsidRPr="00670EC4">
              <w:rPr>
                <w:sz w:val="22"/>
                <w:szCs w:val="22"/>
              </w:rPr>
              <w:lastRenderedPageBreak/>
              <w:t>MacGregor</w:t>
            </w:r>
            <w:proofErr w:type="spellEnd"/>
            <w:r w:rsidRPr="00670EC4">
              <w:rPr>
                <w:sz w:val="22"/>
                <w:szCs w:val="22"/>
              </w:rPr>
              <w:t xml:space="preserve"> &amp;Chang (2022)</w:t>
            </w:r>
          </w:p>
        </w:tc>
        <w:tc>
          <w:tcPr>
            <w:tcW w:w="0" w:type="auto"/>
            <w:vAlign w:val="center"/>
          </w:tcPr>
          <w:p w14:paraId="30194894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NA</w:t>
            </w:r>
          </w:p>
        </w:tc>
        <w:tc>
          <w:tcPr>
            <w:tcW w:w="0" w:type="auto"/>
            <w:vAlign w:val="center"/>
          </w:tcPr>
          <w:p w14:paraId="550230E1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NA</w:t>
            </w:r>
          </w:p>
        </w:tc>
        <w:tc>
          <w:tcPr>
            <w:tcW w:w="0" w:type="auto"/>
            <w:vAlign w:val="center"/>
          </w:tcPr>
          <w:p w14:paraId="5019FCC8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NA</w:t>
            </w:r>
          </w:p>
        </w:tc>
        <w:tc>
          <w:tcPr>
            <w:tcW w:w="2939" w:type="dxa"/>
            <w:vAlign w:val="center"/>
          </w:tcPr>
          <w:p w14:paraId="100364B8" w14:textId="51DF9156" w:rsidR="00717BDF" w:rsidRPr="00670EC4" w:rsidRDefault="00013564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013564">
              <w:rPr>
                <w:sz w:val="22"/>
                <w:szCs w:val="22"/>
              </w:rPr>
              <w:t>Rhinoplasty, chin and forehead implants</w:t>
            </w:r>
          </w:p>
        </w:tc>
        <w:tc>
          <w:tcPr>
            <w:tcW w:w="2828" w:type="dxa"/>
            <w:vAlign w:val="center"/>
          </w:tcPr>
          <w:p w14:paraId="6D3B9512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NA</w:t>
            </w:r>
          </w:p>
        </w:tc>
        <w:tc>
          <w:tcPr>
            <w:tcW w:w="0" w:type="auto"/>
            <w:vAlign w:val="center"/>
          </w:tcPr>
          <w:p w14:paraId="21D2D684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NA</w:t>
            </w:r>
          </w:p>
        </w:tc>
        <w:tc>
          <w:tcPr>
            <w:tcW w:w="0" w:type="auto"/>
            <w:vAlign w:val="center"/>
          </w:tcPr>
          <w:p w14:paraId="307C4CE9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NA</w:t>
            </w:r>
          </w:p>
        </w:tc>
      </w:tr>
      <w:tr w:rsidR="00F1243A" w:rsidRPr="00670EC4" w14:paraId="38DCF8C1" w14:textId="77777777" w:rsidTr="00372D1C">
        <w:tc>
          <w:tcPr>
            <w:tcW w:w="0" w:type="auto"/>
            <w:vAlign w:val="center"/>
          </w:tcPr>
          <w:p w14:paraId="1C5965D1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bookmarkStart w:id="1" w:name="_Hlk175861612"/>
            <w:r w:rsidRPr="00670EC4">
              <w:rPr>
                <w:sz w:val="22"/>
                <w:szCs w:val="22"/>
              </w:rPr>
              <w:t>Morrison et al. (2016)</w:t>
            </w:r>
          </w:p>
        </w:tc>
        <w:tc>
          <w:tcPr>
            <w:tcW w:w="0" w:type="auto"/>
            <w:vAlign w:val="center"/>
          </w:tcPr>
          <w:p w14:paraId="2CA3BF78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NA</w:t>
            </w:r>
          </w:p>
        </w:tc>
        <w:tc>
          <w:tcPr>
            <w:tcW w:w="0" w:type="auto"/>
            <w:vAlign w:val="center"/>
          </w:tcPr>
          <w:p w14:paraId="20F52F72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NA</w:t>
            </w:r>
          </w:p>
        </w:tc>
        <w:tc>
          <w:tcPr>
            <w:tcW w:w="0" w:type="auto"/>
            <w:vAlign w:val="center"/>
          </w:tcPr>
          <w:p w14:paraId="7929DB83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NA</w:t>
            </w:r>
          </w:p>
        </w:tc>
        <w:tc>
          <w:tcPr>
            <w:tcW w:w="2939" w:type="dxa"/>
            <w:vAlign w:val="center"/>
          </w:tcPr>
          <w:p w14:paraId="55D72C25" w14:textId="6A18F6E7" w:rsidR="00717BDF" w:rsidRPr="00670EC4" w:rsidRDefault="00013564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013564">
              <w:rPr>
                <w:sz w:val="22"/>
                <w:szCs w:val="22"/>
              </w:rPr>
              <w:t xml:space="preserve">Frontal </w:t>
            </w:r>
            <w:proofErr w:type="spellStart"/>
            <w:r w:rsidRPr="00013564">
              <w:rPr>
                <w:sz w:val="22"/>
                <w:szCs w:val="22"/>
              </w:rPr>
              <w:t>recontouring</w:t>
            </w:r>
            <w:proofErr w:type="spellEnd"/>
            <w:r w:rsidRPr="00013564">
              <w:rPr>
                <w:sz w:val="22"/>
                <w:szCs w:val="22"/>
              </w:rPr>
              <w:t xml:space="preserve">, rhinoplasty, mentoplasty, </w:t>
            </w:r>
            <w:r>
              <w:rPr>
                <w:sz w:val="22"/>
                <w:szCs w:val="22"/>
              </w:rPr>
              <w:t>mandibular angle reduction</w:t>
            </w:r>
            <w:r w:rsidRPr="00013564">
              <w:rPr>
                <w:sz w:val="22"/>
                <w:szCs w:val="22"/>
              </w:rPr>
              <w:t xml:space="preserve">, bimaxillary osteotomy, zygomatic osteotomy, </w:t>
            </w:r>
            <w:r>
              <w:rPr>
                <w:sz w:val="22"/>
                <w:szCs w:val="22"/>
              </w:rPr>
              <w:t xml:space="preserve">and </w:t>
            </w:r>
            <w:r w:rsidR="00F1243A">
              <w:rPr>
                <w:sz w:val="22"/>
                <w:szCs w:val="22"/>
              </w:rPr>
              <w:t>hairline advancement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28" w:type="dxa"/>
            <w:vAlign w:val="center"/>
          </w:tcPr>
          <w:p w14:paraId="3AC57583" w14:textId="42E52173" w:rsidR="00717BDF" w:rsidRPr="00670EC4" w:rsidRDefault="00F1243A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F1243A">
              <w:rPr>
                <w:sz w:val="22"/>
                <w:szCs w:val="22"/>
              </w:rPr>
              <w:t xml:space="preserve">Excessive </w:t>
            </w:r>
            <w:proofErr w:type="spellStart"/>
            <w:r w:rsidRPr="00F1243A">
              <w:rPr>
                <w:sz w:val="22"/>
                <w:szCs w:val="22"/>
              </w:rPr>
              <w:t>mobility</w:t>
            </w:r>
            <w:proofErr w:type="spellEnd"/>
            <w:r w:rsidRPr="00F1243A">
              <w:rPr>
                <w:sz w:val="22"/>
                <w:szCs w:val="22"/>
              </w:rPr>
              <w:t xml:space="preserve"> in bones that have not </w:t>
            </w:r>
            <w:proofErr w:type="spellStart"/>
            <w:r w:rsidRPr="00F1243A">
              <w:rPr>
                <w:sz w:val="22"/>
                <w:szCs w:val="22"/>
              </w:rPr>
              <w:t>united</w:t>
            </w:r>
            <w:proofErr w:type="spellEnd"/>
            <w:r w:rsidRPr="00F1243A">
              <w:rPr>
                <w:sz w:val="22"/>
                <w:szCs w:val="22"/>
              </w:rPr>
              <w:t xml:space="preserve">; </w:t>
            </w:r>
            <w:proofErr w:type="spellStart"/>
            <w:r w:rsidRPr="00F1243A">
              <w:rPr>
                <w:sz w:val="22"/>
                <w:szCs w:val="22"/>
              </w:rPr>
              <w:t>minor</w:t>
            </w:r>
            <w:proofErr w:type="spellEnd"/>
            <w:r w:rsidRPr="00F1243A">
              <w:rPr>
                <w:sz w:val="22"/>
                <w:szCs w:val="22"/>
              </w:rPr>
              <w:t xml:space="preserve"> fluid </w:t>
            </w:r>
            <w:proofErr w:type="spellStart"/>
            <w:r w:rsidRPr="00F1243A">
              <w:rPr>
                <w:sz w:val="22"/>
                <w:szCs w:val="22"/>
              </w:rPr>
              <w:t>accumulation</w:t>
            </w:r>
            <w:proofErr w:type="spellEnd"/>
            <w:r w:rsidRPr="00F1243A">
              <w:rPr>
                <w:sz w:val="22"/>
                <w:szCs w:val="22"/>
              </w:rPr>
              <w:t>; cartilaginous edema</w:t>
            </w:r>
          </w:p>
        </w:tc>
        <w:tc>
          <w:tcPr>
            <w:tcW w:w="0" w:type="auto"/>
            <w:vAlign w:val="center"/>
          </w:tcPr>
          <w:p w14:paraId="4439F5E9" w14:textId="7AA81B84" w:rsidR="00717BDF" w:rsidRPr="00670EC4" w:rsidRDefault="00F1243A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NA</w:t>
            </w:r>
          </w:p>
        </w:tc>
        <w:tc>
          <w:tcPr>
            <w:tcW w:w="0" w:type="auto"/>
            <w:vAlign w:val="center"/>
          </w:tcPr>
          <w:p w14:paraId="7E9BC4E1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NA</w:t>
            </w:r>
          </w:p>
        </w:tc>
      </w:tr>
      <w:bookmarkEnd w:id="1"/>
      <w:tr w:rsidR="00F1243A" w:rsidRPr="00670EC4" w14:paraId="4C214526" w14:textId="77777777" w:rsidTr="00372D1C">
        <w:tc>
          <w:tcPr>
            <w:tcW w:w="0" w:type="auto"/>
            <w:vAlign w:val="center"/>
          </w:tcPr>
          <w:p w14:paraId="103FD843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Raffaini et al. (2018)</w:t>
            </w:r>
          </w:p>
        </w:tc>
        <w:tc>
          <w:tcPr>
            <w:tcW w:w="0" w:type="auto"/>
            <w:vAlign w:val="center"/>
          </w:tcPr>
          <w:p w14:paraId="7C583523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14:paraId="5EFB85C3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19 – 33 (21)</w:t>
            </w:r>
          </w:p>
        </w:tc>
        <w:tc>
          <w:tcPr>
            <w:tcW w:w="0" w:type="auto"/>
            <w:vAlign w:val="center"/>
          </w:tcPr>
          <w:p w14:paraId="72476207" w14:textId="34015C83" w:rsidR="00717BDF" w:rsidRPr="00670EC4" w:rsidRDefault="00F1243A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F1243A">
              <w:rPr>
                <w:sz w:val="22"/>
                <w:szCs w:val="22"/>
              </w:rPr>
              <w:t>Study (Italy) Sample (ND)</w:t>
            </w:r>
          </w:p>
        </w:tc>
        <w:tc>
          <w:tcPr>
            <w:tcW w:w="2939" w:type="dxa"/>
            <w:vAlign w:val="center"/>
          </w:tcPr>
          <w:p w14:paraId="37889EBB" w14:textId="4C8B2D11" w:rsidR="00717BDF" w:rsidRPr="00670EC4" w:rsidRDefault="00F1243A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F1243A">
              <w:rPr>
                <w:sz w:val="22"/>
                <w:szCs w:val="22"/>
              </w:rPr>
              <w:t>Total facial feminization surgery</w:t>
            </w:r>
          </w:p>
        </w:tc>
        <w:tc>
          <w:tcPr>
            <w:tcW w:w="2828" w:type="dxa"/>
            <w:vAlign w:val="center"/>
          </w:tcPr>
          <w:p w14:paraId="0F3E2CE6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(0)</w:t>
            </w:r>
          </w:p>
        </w:tc>
        <w:tc>
          <w:tcPr>
            <w:tcW w:w="0" w:type="auto"/>
            <w:vAlign w:val="center"/>
          </w:tcPr>
          <w:p w14:paraId="5F4D3989" w14:textId="2E5C20AE" w:rsidR="00717BDF" w:rsidRPr="00670EC4" w:rsidRDefault="00F1243A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F1243A">
              <w:rPr>
                <w:sz w:val="22"/>
                <w:szCs w:val="22"/>
              </w:rPr>
              <w:t xml:space="preserve">Patient satisfaction with </w:t>
            </w:r>
            <w:r>
              <w:rPr>
                <w:sz w:val="22"/>
                <w:szCs w:val="22"/>
              </w:rPr>
              <w:t xml:space="preserve">the </w:t>
            </w:r>
            <w:r w:rsidRPr="00F1243A">
              <w:rPr>
                <w:sz w:val="22"/>
                <w:szCs w:val="22"/>
              </w:rPr>
              <w:t xml:space="preserve">scale stated significant improvement with </w:t>
            </w:r>
            <w:proofErr w:type="spellStart"/>
            <w:r w:rsidRPr="00F1243A">
              <w:rPr>
                <w:sz w:val="22"/>
                <w:szCs w:val="22"/>
              </w:rPr>
              <w:t>mild</w:t>
            </w:r>
            <w:proofErr w:type="spellEnd"/>
            <w:r w:rsidRPr="00F1243A">
              <w:rPr>
                <w:sz w:val="22"/>
                <w:szCs w:val="22"/>
              </w:rPr>
              <w:t xml:space="preserve"> </w:t>
            </w:r>
            <w:proofErr w:type="spellStart"/>
            <w:r w:rsidRPr="00F1243A">
              <w:rPr>
                <w:sz w:val="22"/>
                <w:szCs w:val="22"/>
              </w:rPr>
              <w:t>irregularities</w:t>
            </w:r>
            <w:proofErr w:type="spellEnd"/>
            <w:r w:rsidRPr="00F1243A">
              <w:rPr>
                <w:sz w:val="22"/>
                <w:szCs w:val="22"/>
              </w:rPr>
              <w:t xml:space="preserve"> and notable improvement</w:t>
            </w:r>
          </w:p>
        </w:tc>
        <w:tc>
          <w:tcPr>
            <w:tcW w:w="0" w:type="auto"/>
            <w:vAlign w:val="center"/>
          </w:tcPr>
          <w:p w14:paraId="30A52FA3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 xml:space="preserve">12 </w:t>
            </w:r>
          </w:p>
        </w:tc>
      </w:tr>
      <w:tr w:rsidR="00F1243A" w:rsidRPr="00670EC4" w14:paraId="0D500B28" w14:textId="77777777" w:rsidTr="00372D1C">
        <w:tc>
          <w:tcPr>
            <w:tcW w:w="0" w:type="auto"/>
            <w:vAlign w:val="center"/>
          </w:tcPr>
          <w:p w14:paraId="3366A0D7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Spiegel (2010)</w:t>
            </w:r>
          </w:p>
        </w:tc>
        <w:tc>
          <w:tcPr>
            <w:tcW w:w="0" w:type="auto"/>
            <w:vAlign w:val="center"/>
          </w:tcPr>
          <w:p w14:paraId="03353060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168</w:t>
            </w:r>
          </w:p>
        </w:tc>
        <w:tc>
          <w:tcPr>
            <w:tcW w:w="0" w:type="auto"/>
            <w:vAlign w:val="center"/>
          </w:tcPr>
          <w:p w14:paraId="2A8D854E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670EC4">
              <w:rPr>
                <w:sz w:val="22"/>
                <w:szCs w:val="22"/>
              </w:rPr>
              <w:t>18 – 62 (31,5)</w:t>
            </w:r>
          </w:p>
        </w:tc>
        <w:tc>
          <w:tcPr>
            <w:tcW w:w="0" w:type="auto"/>
            <w:vAlign w:val="center"/>
          </w:tcPr>
          <w:p w14:paraId="123FBE2F" w14:textId="001CADD8" w:rsidR="00717BDF" w:rsidRPr="00670EC4" w:rsidRDefault="00F1243A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F1243A">
              <w:rPr>
                <w:sz w:val="22"/>
                <w:szCs w:val="22"/>
              </w:rPr>
              <w:t>Study (US) Sample (ND)</w:t>
            </w:r>
          </w:p>
        </w:tc>
        <w:tc>
          <w:tcPr>
            <w:tcW w:w="2939" w:type="dxa"/>
            <w:vAlign w:val="center"/>
          </w:tcPr>
          <w:p w14:paraId="326FC813" w14:textId="7521B8F4" w:rsidR="00717BDF" w:rsidRPr="00670EC4" w:rsidRDefault="00F1243A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proofErr w:type="spellStart"/>
            <w:r w:rsidRPr="00F1243A">
              <w:rPr>
                <w:sz w:val="22"/>
                <w:szCs w:val="22"/>
              </w:rPr>
              <w:t>Cranioplasty</w:t>
            </w:r>
            <w:proofErr w:type="spellEnd"/>
            <w:r w:rsidRPr="00F1243A">
              <w:rPr>
                <w:sz w:val="22"/>
                <w:szCs w:val="22"/>
              </w:rPr>
              <w:t xml:space="preserve"> of the frontal region</w:t>
            </w:r>
          </w:p>
        </w:tc>
        <w:tc>
          <w:tcPr>
            <w:tcW w:w="2828" w:type="dxa"/>
            <w:vAlign w:val="center"/>
          </w:tcPr>
          <w:p w14:paraId="055B40D2" w14:textId="276FC517" w:rsidR="00717BDF" w:rsidRPr="00670EC4" w:rsidRDefault="00F1243A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F1243A">
              <w:rPr>
                <w:sz w:val="22"/>
                <w:szCs w:val="22"/>
              </w:rPr>
              <w:t>Mobility and non-</w:t>
            </w:r>
            <w:proofErr w:type="spellStart"/>
            <w:r w:rsidRPr="00F1243A">
              <w:rPr>
                <w:sz w:val="22"/>
                <w:szCs w:val="22"/>
              </w:rPr>
              <w:t>union</w:t>
            </w:r>
            <w:proofErr w:type="spellEnd"/>
            <w:r w:rsidRPr="00F1243A">
              <w:rPr>
                <w:sz w:val="22"/>
                <w:szCs w:val="22"/>
              </w:rPr>
              <w:t xml:space="preserve"> of frontal bone </w:t>
            </w:r>
            <w:proofErr w:type="spellStart"/>
            <w:r w:rsidRPr="00F1243A">
              <w:rPr>
                <w:sz w:val="22"/>
                <w:szCs w:val="22"/>
              </w:rPr>
              <w:t>fragments</w:t>
            </w:r>
            <w:proofErr w:type="spellEnd"/>
            <w:r w:rsidRPr="00F1243A">
              <w:rPr>
                <w:sz w:val="22"/>
                <w:szCs w:val="22"/>
              </w:rPr>
              <w:t xml:space="preserve"> (ND)</w:t>
            </w:r>
          </w:p>
        </w:tc>
        <w:tc>
          <w:tcPr>
            <w:tcW w:w="0" w:type="auto"/>
            <w:vAlign w:val="center"/>
          </w:tcPr>
          <w:p w14:paraId="18D26972" w14:textId="7EB8C580" w:rsidR="00717BDF" w:rsidRPr="00670EC4" w:rsidRDefault="00F1243A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F1243A">
              <w:rPr>
                <w:sz w:val="22"/>
                <w:szCs w:val="22"/>
              </w:rPr>
              <w:t xml:space="preserve">Modifications to the forehead and </w:t>
            </w:r>
            <w:proofErr w:type="spellStart"/>
            <w:r w:rsidRPr="00F1243A">
              <w:rPr>
                <w:sz w:val="22"/>
                <w:szCs w:val="22"/>
              </w:rPr>
              <w:t>eyebrows</w:t>
            </w:r>
            <w:proofErr w:type="spellEnd"/>
            <w:r w:rsidRPr="00F1243A">
              <w:rPr>
                <w:sz w:val="22"/>
                <w:szCs w:val="22"/>
              </w:rPr>
              <w:t xml:space="preserve"> </w:t>
            </w:r>
            <w:r w:rsidRPr="00F1243A">
              <w:rPr>
                <w:sz w:val="22"/>
                <w:szCs w:val="22"/>
              </w:rPr>
              <w:lastRenderedPageBreak/>
              <w:t>were considered more feminizing in a frontal view (100%) and to the nose in a sagittal view (13%)</w:t>
            </w:r>
          </w:p>
        </w:tc>
        <w:tc>
          <w:tcPr>
            <w:tcW w:w="0" w:type="auto"/>
            <w:vAlign w:val="center"/>
          </w:tcPr>
          <w:p w14:paraId="5B23F3E2" w14:textId="77777777" w:rsidR="00717BDF" w:rsidRPr="00670EC4" w:rsidRDefault="00717BDF" w:rsidP="00717BDF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</w:tr>
    </w:tbl>
    <w:p w14:paraId="7A801145" w14:textId="25CA88AA" w:rsidR="00C20ED7" w:rsidRDefault="00493617" w:rsidP="00493617">
      <w:r w:rsidRPr="00493617">
        <w:rPr>
          <w:sz w:val="22"/>
          <w:szCs w:val="22"/>
        </w:rPr>
        <w:t>Legend: NA: Not applicable. ND: Not described.</w:t>
      </w:r>
    </w:p>
    <w:sectPr w:rsidR="00C20ED7" w:rsidSect="00717BD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c0sDA0Mje2NLU0MjFW0lEKTi0uzszPAykwqgUA9rqMRCwAAAA="/>
  </w:docVars>
  <w:rsids>
    <w:rsidRoot w:val="00717BDF"/>
    <w:rsid w:val="00013564"/>
    <w:rsid w:val="0028641C"/>
    <w:rsid w:val="00493617"/>
    <w:rsid w:val="005E3593"/>
    <w:rsid w:val="00704080"/>
    <w:rsid w:val="00717BDF"/>
    <w:rsid w:val="00915C56"/>
    <w:rsid w:val="009E1EC6"/>
    <w:rsid w:val="00C20ED7"/>
    <w:rsid w:val="00DB3877"/>
    <w:rsid w:val="00F1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A3B95"/>
  <w15:chartTrackingRefBased/>
  <w15:docId w15:val="{1EB7CC0E-2FBA-49CA-BFCF-67EF1271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B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17B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7B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7BD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7BD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7BD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7BD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7BD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7BD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7BD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7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7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7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7B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7BD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7B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7BD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7B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7B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7B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17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7BD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17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7BD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17B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7B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17BD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7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7BD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7BDF"/>
    <w:rPr>
      <w:b/>
      <w:bCs/>
      <w:smallCaps/>
      <w:color w:val="0F4761" w:themeColor="accent1" w:themeShade="BF"/>
      <w:spacing w:val="5"/>
    </w:rPr>
  </w:style>
  <w:style w:type="paragraph" w:styleId="Legenda">
    <w:name w:val="caption"/>
    <w:basedOn w:val="Normal"/>
    <w:next w:val="Normal"/>
    <w:qFormat/>
    <w:rsid w:val="00717BDF"/>
    <w:rPr>
      <w:b/>
      <w:bCs/>
    </w:rPr>
  </w:style>
  <w:style w:type="table" w:styleId="Tabelacomgrade">
    <w:name w:val="Table Grid"/>
    <w:basedOn w:val="Tabelanormal"/>
    <w:uiPriority w:val="39"/>
    <w:rsid w:val="00717B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422</Words>
  <Characters>2436</Characters>
  <Application>Microsoft Office Word</Application>
  <DocSecurity>0</DocSecurity>
  <Lines>194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Marília Leal</dc:creator>
  <cp:keywords/>
  <dc:description/>
  <cp:lastModifiedBy>Marília Leal</cp:lastModifiedBy>
  <cp:revision>3</cp:revision>
  <dcterms:created xsi:type="dcterms:W3CDTF">2024-12-05T21:35:00Z</dcterms:created>
  <dcterms:modified xsi:type="dcterms:W3CDTF">2024-12-13T15:07:00Z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ae3447f5-b5f1-43e3-bb3c-4659c88ad5ae</vt:lpwstr>
  </property>
</Properties>
</file>