
<file path=[Content_Types].xml><?xml version="1.0" encoding="utf-8"?>
<Types xmlns="http://schemas.openxmlformats.org/package/2006/content-types">
  <Default Extension="tiff" ContentType="image/tif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eastAsia="zh-Hans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A </w:t>
      </w:r>
      <w:r>
        <w:rPr>
          <w:rFonts w:hint="eastAsia" w:ascii="Times New Roman" w:hAnsi="Times New Roman" w:cs="Times New Roman"/>
          <w:b/>
          <w:bCs/>
          <w:sz w:val="28"/>
          <w:szCs w:val="28"/>
        </w:rPr>
        <w:t>SP1-Driven Translational</w:t>
      </w:r>
      <w:r>
        <w:rPr>
          <w:rFonts w:ascii="Times New Roman" w:hAnsi="Times New Roman" w:cs="Times New Roman"/>
          <w:b/>
          <w:bCs/>
          <w:sz w:val="28"/>
          <w:szCs w:val="28"/>
        </w:rPr>
        <w:t>-Proteostatic</w:t>
      </w:r>
      <w:r>
        <w:rPr>
          <w:rFonts w:hint="eastAsia" w:ascii="Times New Roman" w:hAnsi="Times New Roman" w:cs="Times New Roman"/>
          <w:b/>
          <w:bCs/>
          <w:sz w:val="28"/>
          <w:szCs w:val="28"/>
        </w:rPr>
        <w:t xml:space="preserve"> Checkpoint Modulates Autophagy-Proteasome Network </w:t>
      </w:r>
    </w:p>
    <w:p>
      <w:pPr>
        <w:spacing w:line="360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>Junyu Chen</w:t>
      </w:r>
      <w:r>
        <w:rPr>
          <w:rFonts w:ascii="Times New Roman" w:hAnsi="Times New Roman" w:cs="Times New Roman"/>
          <w:szCs w:val="21"/>
          <w:vertAlign w:val="superscript"/>
        </w:rPr>
        <w:t>1,2</w:t>
      </w:r>
      <w:r>
        <w:rPr>
          <w:rFonts w:ascii="Times New Roman" w:hAnsi="Times New Roman" w:cs="Times New Roman"/>
          <w:szCs w:val="21"/>
        </w:rPr>
        <w:t>, Amina Hamzatova</w:t>
      </w:r>
      <w:r>
        <w:rPr>
          <w:rFonts w:ascii="Times New Roman" w:hAnsi="Times New Roman" w:cs="Times New Roman"/>
          <w:szCs w:val="21"/>
          <w:vertAlign w:val="superscript"/>
        </w:rPr>
        <w:t>2</w:t>
      </w:r>
      <w:r>
        <w:rPr>
          <w:rFonts w:ascii="Times New Roman" w:hAnsi="Times New Roman" w:cs="Times New Roman"/>
          <w:szCs w:val="21"/>
        </w:rPr>
        <w:t xml:space="preserve">, </w:t>
      </w:r>
      <w:r>
        <w:rPr>
          <w:rFonts w:hint="eastAsia" w:ascii="Times New Roman" w:hAnsi="Times New Roman" w:cs="Times New Roman"/>
          <w:szCs w:val="21"/>
          <w:lang w:eastAsia="zh-Hans"/>
        </w:rPr>
        <w:t>Yi</w:t>
      </w:r>
      <w:r>
        <w:rPr>
          <w:rFonts w:ascii="Times New Roman" w:hAnsi="Times New Roman" w:cs="Times New Roman"/>
          <w:szCs w:val="21"/>
          <w:lang w:eastAsia="zh-Hans"/>
        </w:rPr>
        <w:t xml:space="preserve"> Zhang</w:t>
      </w:r>
      <w:r>
        <w:rPr>
          <w:rFonts w:ascii="Times New Roman" w:hAnsi="Times New Roman" w:cs="Times New Roman"/>
          <w:szCs w:val="21"/>
          <w:vertAlign w:val="superscript"/>
          <w:lang w:eastAsia="zh-Hans"/>
        </w:rPr>
        <w:t>3</w:t>
      </w:r>
      <w:r>
        <w:rPr>
          <w:rFonts w:ascii="Times New Roman" w:hAnsi="Times New Roman" w:cs="Times New Roman"/>
          <w:szCs w:val="21"/>
          <w:lang w:eastAsia="zh-Hans"/>
        </w:rPr>
        <w:t xml:space="preserve">, </w:t>
      </w:r>
      <w:r>
        <w:rPr>
          <w:rFonts w:hint="eastAsia" w:ascii="Times New Roman" w:hAnsi="Times New Roman" w:cs="Times New Roman"/>
          <w:szCs w:val="21"/>
          <w:lang w:eastAsia="zh-Hans"/>
        </w:rPr>
        <w:t>Xi</w:t>
      </w:r>
      <w:r>
        <w:rPr>
          <w:rFonts w:ascii="Times New Roman" w:hAnsi="Times New Roman" w:cs="Times New Roman"/>
          <w:szCs w:val="21"/>
          <w:lang w:eastAsia="zh-Hans"/>
        </w:rPr>
        <w:t>aoxue Fu</w:t>
      </w:r>
      <w:r>
        <w:rPr>
          <w:rFonts w:ascii="Times New Roman" w:hAnsi="Times New Roman" w:cs="Times New Roman"/>
          <w:szCs w:val="21"/>
          <w:vertAlign w:val="superscript"/>
          <w:lang w:eastAsia="zh-Hans"/>
        </w:rPr>
        <w:t>4</w:t>
      </w:r>
      <w:r>
        <w:rPr>
          <w:rFonts w:ascii="Times New Roman" w:hAnsi="Times New Roman" w:cs="Times New Roman"/>
          <w:szCs w:val="21"/>
          <w:lang w:eastAsia="zh-Hans"/>
        </w:rPr>
        <w:t xml:space="preserve">, </w:t>
      </w:r>
      <w:r>
        <w:rPr>
          <w:rFonts w:hint="eastAsia" w:ascii="Times New Roman" w:hAnsi="Times New Roman" w:cs="Times New Roman"/>
          <w:szCs w:val="21"/>
        </w:rPr>
        <w:t xml:space="preserve">Douglas </w:t>
      </w:r>
      <w:r>
        <w:rPr>
          <w:rFonts w:ascii="Times New Roman" w:hAnsi="Times New Roman" w:cs="Times New Roman"/>
          <w:szCs w:val="21"/>
        </w:rPr>
        <w:t>M.D.</w:t>
      </w:r>
      <w:r>
        <w:rPr>
          <w:rFonts w:hint="eastAsia" w:ascii="Times New Roman" w:hAnsi="Times New Roman" w:cs="Times New Roman"/>
          <w:szCs w:val="21"/>
        </w:rPr>
        <w:t xml:space="preserve"> Souza</w:t>
      </w:r>
      <w:r>
        <w:rPr>
          <w:rFonts w:ascii="Times New Roman" w:hAnsi="Times New Roman" w:cs="Times New Roman"/>
          <w:szCs w:val="21"/>
          <w:vertAlign w:val="superscript"/>
        </w:rPr>
        <w:t>2,4</w:t>
      </w:r>
      <w:r>
        <w:rPr>
          <w:rFonts w:ascii="Times New Roman" w:hAnsi="Times New Roman" w:cs="Times New Roman"/>
          <w:szCs w:val="21"/>
        </w:rPr>
        <w:t xml:space="preserve">, </w:t>
      </w:r>
      <w:r>
        <w:rPr>
          <w:rFonts w:hint="eastAsia" w:ascii="Times New Roman" w:hAnsi="Times New Roman" w:cs="Times New Roman"/>
          <w:szCs w:val="21"/>
          <w:lang w:eastAsia="zh-Hans"/>
        </w:rPr>
        <w:t>Ju</w:t>
      </w:r>
      <w:r>
        <w:rPr>
          <w:rFonts w:ascii="Times New Roman" w:hAnsi="Times New Roman" w:cs="Times New Roman"/>
          <w:szCs w:val="21"/>
          <w:lang w:eastAsia="zh-Hans"/>
        </w:rPr>
        <w:t>an Yuan</w:t>
      </w:r>
      <w:r>
        <w:rPr>
          <w:rFonts w:ascii="Times New Roman" w:hAnsi="Times New Roman" w:cs="Times New Roman"/>
          <w:szCs w:val="21"/>
          <w:vertAlign w:val="superscript"/>
          <w:lang w:eastAsia="zh-Hans"/>
        </w:rPr>
        <w:t>6</w:t>
      </w:r>
      <w:r>
        <w:rPr>
          <w:rFonts w:ascii="Times New Roman" w:hAnsi="Times New Roman" w:cs="Times New Roman"/>
          <w:szCs w:val="21"/>
          <w:lang w:eastAsia="zh-Hans"/>
        </w:rPr>
        <w:t xml:space="preserve">, </w:t>
      </w:r>
      <w:r>
        <w:rPr>
          <w:rFonts w:ascii="Times New Roman" w:hAnsi="Times New Roman" w:cs="Times New Roman"/>
          <w:szCs w:val="21"/>
        </w:rPr>
        <w:t>Xiaoting Chen</w:t>
      </w:r>
      <w:r>
        <w:rPr>
          <w:rFonts w:ascii="Times New Roman" w:hAnsi="Times New Roman" w:cs="Times New Roman"/>
          <w:szCs w:val="21"/>
          <w:vertAlign w:val="superscript"/>
        </w:rPr>
        <w:t>7</w:t>
      </w:r>
      <w:r>
        <w:rPr>
          <w:rFonts w:ascii="Times New Roman" w:hAnsi="Times New Roman" w:cs="Times New Roman"/>
          <w:szCs w:val="21"/>
        </w:rPr>
        <w:t>, David A. Hart</w:t>
      </w:r>
      <w:r>
        <w:rPr>
          <w:rFonts w:ascii="Times New Roman" w:hAnsi="Times New Roman" w:cs="Times New Roman"/>
          <w:szCs w:val="21"/>
          <w:vertAlign w:val="superscript"/>
        </w:rPr>
        <w:t>8</w:t>
      </w:r>
      <w:r>
        <w:rPr>
          <w:rFonts w:ascii="Times New Roman" w:hAnsi="Times New Roman" w:cs="Times New Roman"/>
          <w:szCs w:val="21"/>
        </w:rPr>
        <w:t xml:space="preserve">, </w:t>
      </w:r>
      <w:r>
        <w:rPr>
          <w:rFonts w:ascii="Times New Roman" w:hAnsi="Times New Roman" w:cs="Times New Roman"/>
          <w:szCs w:val="21"/>
          <w:lang w:eastAsia="zh-Hans"/>
        </w:rPr>
        <w:t>Weinan Zeng</w:t>
      </w:r>
      <w:r>
        <w:rPr>
          <w:rFonts w:ascii="Times New Roman" w:hAnsi="Times New Roman" w:cs="Times New Roman"/>
          <w:szCs w:val="21"/>
          <w:vertAlign w:val="superscript"/>
          <w:lang w:eastAsia="zh-Hans"/>
        </w:rPr>
        <w:t>1</w:t>
      </w:r>
      <w:r>
        <w:rPr>
          <w:rFonts w:ascii="Times New Roman" w:hAnsi="Times New Roman" w:cs="Times New Roman"/>
          <w:szCs w:val="21"/>
        </w:rPr>
        <w:t>, Zongke Zhou</w:t>
      </w:r>
      <w:r>
        <w:rPr>
          <w:rFonts w:ascii="Times New Roman" w:hAnsi="Times New Roman" w:cs="Times New Roman"/>
          <w:szCs w:val="21"/>
          <w:vertAlign w:val="superscript"/>
        </w:rPr>
        <w:t>1,*,§</w:t>
      </w:r>
      <w:r>
        <w:rPr>
          <w:rFonts w:ascii="Times New Roman" w:hAnsi="Times New Roman" w:cs="Times New Roman"/>
          <w:szCs w:val="21"/>
        </w:rPr>
        <w:t xml:space="preserve"> and Aisha S. Ahmed</w:t>
      </w:r>
      <w:r>
        <w:rPr>
          <w:rFonts w:ascii="Times New Roman" w:hAnsi="Times New Roman" w:cs="Times New Roman"/>
          <w:szCs w:val="21"/>
          <w:vertAlign w:val="superscript"/>
        </w:rPr>
        <w:t xml:space="preserve">2,*,§ </w:t>
      </w:r>
    </w:p>
    <w:p>
      <w:pPr>
        <w:spacing w:line="360" w:lineRule="auto"/>
        <w:rPr>
          <w:rFonts w:ascii="Times New Roman" w:hAnsi="Times New Roman" w:cs="Times New Roman"/>
          <w:szCs w:val="21"/>
        </w:rPr>
      </w:pPr>
    </w:p>
    <w:p>
      <w:pPr>
        <w:spacing w:line="360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 xml:space="preserve">1.Department of Orthopedics, Orthopedic Research Institute, West China Hospital, Sichuan University, #37 Guoxue Road, Chengdu, 610041, China. </w:t>
      </w:r>
    </w:p>
    <w:p>
      <w:pPr>
        <w:spacing w:line="360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>2.Department of Molecular Medicine and Surgery, Karolinska Institutet, Stockholm 17164, Sweden.</w:t>
      </w:r>
    </w:p>
    <w:p>
      <w:pPr>
        <w:spacing w:line="360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>3.</w:t>
      </w:r>
      <w:r>
        <w:rPr>
          <w:rFonts w:hint="eastAsia" w:ascii="Times New Roman" w:hAnsi="Times New Roman" w:cs="Times New Roman"/>
          <w:szCs w:val="21"/>
        </w:rPr>
        <w:t>Department of Medicine, Luoyang Polytechnic, Luoyang, Henan, China.</w:t>
      </w:r>
    </w:p>
    <w:p>
      <w:pPr>
        <w:spacing w:line="360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>4.Department of Pharmacology, School of Medical Sciences, University of Campinas, São Paulo, Brazil.</w:t>
      </w:r>
    </w:p>
    <w:p>
      <w:pPr>
        <w:spacing w:line="360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  <w:lang w:eastAsia="zh-Hans"/>
        </w:rPr>
        <w:t>5</w:t>
      </w:r>
      <w:r>
        <w:rPr>
          <w:rFonts w:hint="eastAsia" w:ascii="Times New Roman" w:hAnsi="Times New Roman" w:cs="Times New Roman"/>
          <w:szCs w:val="21"/>
          <w:lang w:eastAsia="zh-Hans"/>
        </w:rPr>
        <w:t>.Department of Orthopedics, Xinqiao Hospital, Chongqing, China</w:t>
      </w:r>
    </w:p>
    <w:p>
      <w:pPr>
        <w:spacing w:line="360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>6.Department of Cell and Molecular Biology, Karolinska Institutet, Stockholm, 17176, Sweden.</w:t>
      </w:r>
    </w:p>
    <w:p>
      <w:pPr>
        <w:spacing w:line="360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>7.</w:t>
      </w:r>
      <w:r>
        <w:rPr>
          <w:rFonts w:hint="eastAsia" w:ascii="Times New Roman" w:hAnsi="Times New Roman" w:cs="Times New Roman"/>
          <w:szCs w:val="21"/>
        </w:rPr>
        <w:t>Animal Experimental Center, West China Hospital, Sichuan University, Chengdu, China</w:t>
      </w:r>
      <w:r>
        <w:rPr>
          <w:rFonts w:ascii="Times New Roman" w:hAnsi="Times New Roman" w:cs="Times New Roman"/>
          <w:szCs w:val="21"/>
        </w:rPr>
        <w:t>.</w:t>
      </w:r>
    </w:p>
    <w:p>
      <w:pPr>
        <w:spacing w:line="360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>8.Department of Surgery, Faculty of Kinesiology, and McCaig Institute for Bone &amp; Joint Health, University of Calgary, Calgary, Alberta, Canada.</w:t>
      </w:r>
    </w:p>
    <w:p>
      <w:pPr>
        <w:rPr>
          <w:rFonts w:ascii="Times New Roman" w:hAnsi="Times New Roman" w:cs="Times New Roman"/>
          <w:sz w:val="24"/>
        </w:rPr>
      </w:pPr>
    </w:p>
    <w:p>
      <w:pPr>
        <w:spacing w:line="360" w:lineRule="auto"/>
        <w:rPr>
          <w:rFonts w:ascii="Times New Roman Bold" w:hAnsi="Times New Roman Bold" w:cs="Times New Roman Bold"/>
          <w:b/>
          <w:szCs w:val="21"/>
        </w:rPr>
      </w:pPr>
      <w:r>
        <w:rPr>
          <w:rFonts w:ascii="Times New Roman Bold" w:hAnsi="Times New Roman Bold" w:cs="Times New Roman Bold"/>
          <w:b/>
          <w:szCs w:val="21"/>
        </w:rPr>
        <w:t>Corresponding author:</w:t>
      </w:r>
    </w:p>
    <w:p>
      <w:pPr>
        <w:spacing w:line="360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>Zongke Zhou, MD, PhD. (</w:t>
      </w:r>
      <w:r>
        <w:fldChar w:fldCharType="begin"/>
      </w:r>
      <w:r>
        <w:instrText xml:space="preserve"> HYPERLINK "mailto:zhouzongke@scu.edu.com" </w:instrText>
      </w:r>
      <w:r>
        <w:fldChar w:fldCharType="separate"/>
      </w:r>
      <w:r>
        <w:rPr>
          <w:rStyle w:val="4"/>
          <w:rFonts w:ascii="Times New Roman" w:hAnsi="Times New Roman" w:cs="Times New Roman"/>
          <w:szCs w:val="21"/>
        </w:rPr>
        <w:t>zhouzongke@scu.edu.com</w:t>
      </w:r>
      <w:r>
        <w:rPr>
          <w:rStyle w:val="4"/>
          <w:rFonts w:ascii="Times New Roman" w:hAnsi="Times New Roman" w:cs="Times New Roman"/>
          <w:szCs w:val="21"/>
        </w:rPr>
        <w:fldChar w:fldCharType="end"/>
      </w:r>
      <w:r>
        <w:rPr>
          <w:rFonts w:ascii="Times New Roman" w:hAnsi="Times New Roman" w:cs="Times New Roman"/>
          <w:szCs w:val="21"/>
        </w:rPr>
        <w:t xml:space="preserve">, +86 18980601028 ) </w:t>
      </w:r>
    </w:p>
    <w:p>
      <w:pPr>
        <w:spacing w:line="360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 xml:space="preserve">Department of Orthopedics, Orthopedic Research Institute, West China Hospital, Sichuan University, #37 Guoxue Road, Chengdu, 610041, China </w:t>
      </w:r>
    </w:p>
    <w:p>
      <w:pPr>
        <w:spacing w:line="360" w:lineRule="auto"/>
        <w:outlineLvl w:val="0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 xml:space="preserve">Aisha S. Ahmed PhD. </w:t>
      </w:r>
      <w:r>
        <w:fldChar w:fldCharType="begin"/>
      </w:r>
      <w:r>
        <w:instrText xml:space="preserve"> HYPERLINK "mailto:(aisha.ahmed@ki.se" </w:instrText>
      </w:r>
      <w:r>
        <w:fldChar w:fldCharType="separate"/>
      </w:r>
      <w:r>
        <w:rPr>
          <w:rStyle w:val="4"/>
          <w:rFonts w:ascii="Times New Roman" w:hAnsi="Times New Roman" w:cs="Times New Roman"/>
          <w:szCs w:val="21"/>
        </w:rPr>
        <w:t>(aisha.ahmed@ki.se</w:t>
      </w:r>
      <w:r>
        <w:rPr>
          <w:rStyle w:val="4"/>
          <w:rFonts w:ascii="Times New Roman" w:hAnsi="Times New Roman" w:cs="Times New Roman"/>
          <w:szCs w:val="21"/>
        </w:rPr>
        <w:fldChar w:fldCharType="end"/>
      </w:r>
      <w:r>
        <w:rPr>
          <w:rFonts w:ascii="Times New Roman" w:hAnsi="Times New Roman" w:cs="Times New Roman"/>
          <w:szCs w:val="21"/>
        </w:rPr>
        <w:t xml:space="preserve">, +46 735056601) </w:t>
      </w:r>
    </w:p>
    <w:p>
      <w:pPr>
        <w:spacing w:line="360" w:lineRule="auto"/>
        <w:outlineLvl w:val="0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>Department of Molecular Medicine and Surgery, Karolinska Institutet, 17176 Stockholm, Sweden</w:t>
      </w:r>
    </w:p>
    <w:p>
      <w:pPr>
        <w:spacing w:line="360" w:lineRule="auto"/>
        <w:rPr>
          <w:rFonts w:ascii="Times New Roman" w:hAnsi="Times New Roman" w:cs="Times New Roman"/>
          <w:szCs w:val="21"/>
        </w:rPr>
      </w:pPr>
    </w:p>
    <w:p>
      <w:pPr>
        <w:spacing w:line="360" w:lineRule="auto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t>* Shared corresponding authorship and Aisha S. Ahmed is the major corresponding author</w:t>
      </w:r>
    </w:p>
    <w:p>
      <w:pPr>
        <w:spacing w:line="360" w:lineRule="auto"/>
        <w:rPr>
          <w:rFonts w:ascii="Times New Roman" w:hAnsi="Times New Roman" w:cs="Times New Roman"/>
          <w:szCs w:val="21"/>
          <w:lang w:eastAsia="zh-Hans"/>
        </w:rPr>
      </w:pPr>
      <w:r>
        <w:rPr>
          <w:rFonts w:ascii="Times New Roman" w:hAnsi="Times New Roman" w:cs="Times New Roman"/>
          <w:szCs w:val="21"/>
        </w:rPr>
        <w:t>§ Shared last authorship and Aisha S. Ahmed is the major last author</w:t>
      </w:r>
    </w:p>
    <w:p>
      <w:pPr>
        <w:rPr>
          <w:rFonts w:hint="default" w:ascii="Times New Roman Regular" w:hAnsi="Times New Roman Regular" w:cs="Times New Roman Regular"/>
          <w:sz w:val="28"/>
          <w:szCs w:val="36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</w:rPr>
        <w:t>Fig.S1.</w:t>
      </w:r>
    </w:p>
    <w:p>
      <w:pPr>
        <w:spacing w:line="240" w:lineRule="auto"/>
        <w:jc w:val="center"/>
        <w:rPr>
          <w:rFonts w:hint="default" w:ascii="Times New Roman Regular" w:hAnsi="Times New Roman Regular" w:cs="Times New Roman Regular"/>
          <w:sz w:val="24"/>
          <w:szCs w:val="32"/>
        </w:rPr>
      </w:pPr>
      <w:r>
        <w:rPr>
          <w:rFonts w:hint="default" w:ascii="Times New Roman Regular" w:hAnsi="Times New Roman Regular" w:cs="Times New Roman Regular"/>
          <w:sz w:val="24"/>
          <w:szCs w:val="32"/>
        </w:rPr>
        <w:drawing>
          <wp:inline distT="0" distB="0" distL="114300" distR="114300">
            <wp:extent cx="4319905" cy="2731135"/>
            <wp:effectExtent l="0" t="0" r="23495" b="12065"/>
            <wp:docPr id="1" name="图片 1" descr="Fig.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ig.S1"/>
                    <pic:cNvPicPr>
                      <a:picLocks noChangeAspect="1"/>
                    </pic:cNvPicPr>
                  </pic:nvPicPr>
                  <pic:blipFill>
                    <a:blip r:embed="rId4"/>
                    <a:srcRect l="4473" t="5090" r="12612" b="58571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73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rPr>
          <w:rFonts w:hint="default" w:ascii="Times New Roman Regular" w:hAnsi="Times New Roman Regular" w:cs="Times New Roman Regular"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 xml:space="preserve">Fig.S1. </w:t>
      </w:r>
      <w:r>
        <w:rPr>
          <w:rFonts w:hint="default" w:ascii="Times New Roman Regular" w:hAnsi="Times New Roman Regular" w:cs="Times New Roman Regular"/>
          <w:sz w:val="20"/>
          <w:szCs w:val="22"/>
        </w:rPr>
        <w:t>Quality control for the single-cell RNA sequencing.</w:t>
      </w: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</w:rPr>
        <w:t>Fig.S2.</w:t>
      </w:r>
    </w:p>
    <w:p>
      <w:pPr>
        <w:jc w:val="center"/>
        <w:rPr>
          <w:rFonts w:hint="default" w:ascii="Times New Roman Regular" w:hAnsi="Times New Roman Regular" w:cs="Times New Roman Regular"/>
          <w:sz w:val="24"/>
          <w:szCs w:val="32"/>
        </w:rPr>
      </w:pPr>
      <w:r>
        <w:rPr>
          <w:rFonts w:hint="default" w:ascii="Times New Roman Regular" w:hAnsi="Times New Roman Regular" w:cs="Times New Roman Regular"/>
          <w:sz w:val="24"/>
          <w:szCs w:val="32"/>
        </w:rPr>
        <w:drawing>
          <wp:inline distT="0" distB="0" distL="114300" distR="114300">
            <wp:extent cx="4319905" cy="1884045"/>
            <wp:effectExtent l="0" t="0" r="23495" b="20955"/>
            <wp:docPr id="2" name="图片 2" descr="Fig.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.S1"/>
                    <pic:cNvPicPr>
                      <a:picLocks noChangeAspect="1"/>
                    </pic:cNvPicPr>
                  </pic:nvPicPr>
                  <pic:blipFill>
                    <a:blip r:embed="rId4"/>
                    <a:srcRect l="2399" t="45934" r="1121" b="24906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188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rPr>
          <w:rFonts w:hint="default" w:ascii="Times New Roman Regular" w:hAnsi="Times New Roman Regular" w:cs="Times New Roman Regular"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 xml:space="preserve">Fig.S2. </w:t>
      </w:r>
      <w:r>
        <w:rPr>
          <w:rFonts w:hint="default" w:ascii="Times New Roman Regular" w:hAnsi="Times New Roman Regular" w:cs="Times New Roman Regular"/>
          <w:sz w:val="20"/>
          <w:szCs w:val="22"/>
        </w:rPr>
        <w:t>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A</w:t>
      </w:r>
      <w:r>
        <w:rPr>
          <w:rFonts w:hint="default" w:ascii="Times New Roman Regular" w:hAnsi="Times New Roman Regular" w:cs="Times New Roman Regular"/>
          <w:sz w:val="20"/>
          <w:szCs w:val="22"/>
        </w:rPr>
        <w:t>) Pearson correlation analysis among all cell subpopulations across merged samples.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B</w:t>
      </w:r>
      <w:r>
        <w:rPr>
          <w:rFonts w:hint="default" w:ascii="Times New Roman Regular" w:hAnsi="Times New Roman Regular" w:cs="Times New Roman Regular"/>
          <w:sz w:val="20"/>
          <w:szCs w:val="22"/>
        </w:rPr>
        <w:t xml:space="preserve">) Pearson correlation between cell subpopulations in OA samples (X-axis) and those in the NC group. </w:t>
      </w: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</w:rPr>
        <w:t>Fig.S3.</w:t>
      </w:r>
    </w:p>
    <w:p>
      <w:pPr>
        <w:spacing w:line="240" w:lineRule="auto"/>
        <w:jc w:val="center"/>
        <w:rPr>
          <w:rFonts w:hint="default" w:ascii="Times New Roman Regular" w:hAnsi="Times New Roman Regular" w:cs="Times New Roman Regular"/>
          <w:sz w:val="24"/>
          <w:szCs w:val="32"/>
        </w:rPr>
      </w:pPr>
      <w:r>
        <w:rPr>
          <w:rFonts w:hint="default" w:ascii="Times New Roman Regular" w:hAnsi="Times New Roman Regular" w:cs="Times New Roman Regular"/>
          <w:sz w:val="24"/>
          <w:szCs w:val="32"/>
        </w:rPr>
        <w:drawing>
          <wp:inline distT="0" distB="0" distL="114300" distR="114300">
            <wp:extent cx="4319905" cy="4732655"/>
            <wp:effectExtent l="0" t="0" r="23495" b="17145"/>
            <wp:docPr id="3" name="图片 3" descr="Fig.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.S3"/>
                    <pic:cNvPicPr>
                      <a:picLocks noChangeAspect="1"/>
                    </pic:cNvPicPr>
                  </pic:nvPicPr>
                  <pic:blipFill>
                    <a:blip r:embed="rId5"/>
                    <a:srcRect l="15915" t="5675" r="16916" b="43318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473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both"/>
        <w:rPr>
          <w:rFonts w:hint="default" w:ascii="Times New Roman Regular" w:hAnsi="Times New Roman Regular" w:cs="Times New Roman Regular"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 xml:space="preserve">Fig.S3. Overview of cellular and genetic landscape based on single-cell sequencing. </w:t>
      </w:r>
      <w:r>
        <w:rPr>
          <w:rFonts w:hint="default" w:ascii="Times New Roman Regular" w:hAnsi="Times New Roman Regular" w:cs="Times New Roman Regular"/>
          <w:sz w:val="20"/>
          <w:szCs w:val="22"/>
        </w:rPr>
        <w:t>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A</w:t>
      </w:r>
      <w:r>
        <w:rPr>
          <w:rFonts w:hint="default" w:ascii="Times New Roman Regular" w:hAnsi="Times New Roman Regular" w:cs="Times New Roman Regular"/>
          <w:sz w:val="20"/>
          <w:szCs w:val="22"/>
        </w:rPr>
        <w:t>) Overall cell landsacpe across all the samples.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B</w:t>
      </w:r>
      <w:r>
        <w:rPr>
          <w:rFonts w:hint="default" w:ascii="Times New Roman Regular" w:hAnsi="Times New Roman Regular" w:cs="Times New Roman Regular"/>
          <w:sz w:val="20"/>
          <w:szCs w:val="22"/>
        </w:rPr>
        <w:t>) Overall gene detection rates were comparable between NC and OA samples.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C</w:t>
      </w:r>
      <w:r>
        <w:rPr>
          <w:rFonts w:hint="default" w:ascii="Times New Roman Regular" w:hAnsi="Times New Roman Regular" w:cs="Times New Roman Regular"/>
          <w:sz w:val="20"/>
          <w:szCs w:val="22"/>
        </w:rPr>
        <w:t>) Overall gene account were comparable between NC and OA samples.</w:t>
      </w: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  <w:r>
        <w:rPr>
          <w:rFonts w:hint="default" w:ascii="Times New Roman Regular" w:hAnsi="Times New Roman Regular" w:cs="Times New Roman Regular"/>
          <w:sz w:val="24"/>
          <w:szCs w:val="32"/>
        </w:rPr>
        <w:t>Fig.S4</w:t>
      </w:r>
    </w:p>
    <w:p>
      <w:pPr>
        <w:jc w:val="center"/>
        <w:rPr>
          <w:rFonts w:hint="default" w:ascii="Times New Roman Regular" w:hAnsi="Times New Roman Regular" w:cs="Times New Roman Regular"/>
          <w:sz w:val="24"/>
          <w:szCs w:val="32"/>
        </w:rPr>
      </w:pPr>
      <w:r>
        <w:rPr>
          <w:rFonts w:hint="default" w:ascii="Times New Roman Regular" w:hAnsi="Times New Roman Regular" w:cs="Times New Roman Regular"/>
          <w:sz w:val="24"/>
          <w:szCs w:val="32"/>
        </w:rPr>
        <w:drawing>
          <wp:inline distT="0" distB="0" distL="114300" distR="114300">
            <wp:extent cx="2122170" cy="2258060"/>
            <wp:effectExtent l="0" t="0" r="11430" b="2540"/>
            <wp:docPr id="4" name="图片 4" descr="Fig.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ig.S4"/>
                    <pic:cNvPicPr>
                      <a:picLocks noChangeAspect="1"/>
                    </pic:cNvPicPr>
                  </pic:nvPicPr>
                  <pic:blipFill>
                    <a:blip r:embed="rId6"/>
                    <a:srcRect l="24488" t="12695" r="35218" b="57585"/>
                    <a:stretch>
                      <a:fillRect/>
                    </a:stretch>
                  </pic:blipFill>
                  <pic:spPr>
                    <a:xfrm>
                      <a:off x="0" y="0"/>
                      <a:ext cx="2122170" cy="225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Fig.S4. Top gene (</w:t>
      </w:r>
      <w:r>
        <w:rPr>
          <w:rFonts w:hint="default" w:ascii="Times New Roman Bold Italic" w:hAnsi="Times New Roman Bold Italic" w:cs="Times New Roman Bold Italic"/>
          <w:b/>
          <w:bCs/>
          <w:i/>
          <w:iCs/>
          <w:sz w:val="20"/>
          <w:szCs w:val="22"/>
        </w:rPr>
        <w:t>COL2A1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 xml:space="preserve">) consistently identified across pseudotime models. </w:t>
      </w: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  <w:r>
        <w:rPr>
          <w:rFonts w:hint="default" w:ascii="Times New Roman Regular" w:hAnsi="Times New Roman Regular" w:cs="Times New Roman Regular"/>
          <w:sz w:val="24"/>
          <w:szCs w:val="32"/>
        </w:rPr>
        <w:t>Fig.S5</w:t>
      </w:r>
    </w:p>
    <w:p>
      <w:pPr>
        <w:jc w:val="center"/>
        <w:rPr>
          <w:rFonts w:hint="default" w:ascii="Times New Roman Regular" w:hAnsi="Times New Roman Regular" w:cs="Times New Roman Regular"/>
          <w:sz w:val="24"/>
          <w:szCs w:val="32"/>
        </w:rPr>
      </w:pPr>
      <w:r>
        <w:rPr>
          <w:rFonts w:hint="default" w:ascii="Times New Roman Regular" w:hAnsi="Times New Roman Regular" w:cs="Times New Roman Regular"/>
          <w:sz w:val="24"/>
          <w:szCs w:val="32"/>
        </w:rPr>
        <w:drawing>
          <wp:inline distT="0" distB="0" distL="114300" distR="114300">
            <wp:extent cx="3599815" cy="6459220"/>
            <wp:effectExtent l="0" t="0" r="6985" b="17780"/>
            <wp:docPr id="5" name="图片 5" descr="Fig.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ig.S5"/>
                    <pic:cNvPicPr>
                      <a:picLocks noChangeAspect="1"/>
                    </pic:cNvPicPr>
                  </pic:nvPicPr>
                  <pic:blipFill>
                    <a:blip r:embed="rId7"/>
                    <a:srcRect l="10984" t="1814" r="11623" b="1922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645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 Regular" w:hAnsi="Times New Roman Regular" w:cs="Times New Roman Regular"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 xml:space="preserve">Fig.S5. Overview of cellular and molecular function of HomC. </w:t>
      </w:r>
      <w:r>
        <w:rPr>
          <w:rFonts w:hint="default" w:ascii="Times New Roman Regular" w:hAnsi="Times New Roman Regular" w:cs="Times New Roman Regular"/>
          <w:sz w:val="20"/>
          <w:szCs w:val="22"/>
        </w:rPr>
        <w:t>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A</w:t>
      </w:r>
      <w:r>
        <w:rPr>
          <w:rFonts w:hint="default" w:ascii="Times New Roman Regular" w:hAnsi="Times New Roman Regular" w:cs="Times New Roman Regular"/>
          <w:sz w:val="20"/>
          <w:szCs w:val="22"/>
        </w:rPr>
        <w:t xml:space="preserve">) Differentially expressed genes (DEGs) between NC and OA samples. Red dots mean up-regulated genes, blue dots mean down-regulated gens and gray dots present genes with no-significance. Fold change &gt; 2 and &lt; 0.5, together with </w:t>
      </w:r>
      <w:r>
        <w:rPr>
          <w:rFonts w:hint="default" w:ascii="Times New Roman Italic" w:hAnsi="Times New Roman Italic" w:cs="Times New Roman Italic"/>
          <w:i/>
          <w:iCs/>
          <w:sz w:val="20"/>
          <w:szCs w:val="22"/>
        </w:rPr>
        <w:t>p</w:t>
      </w:r>
      <w:r>
        <w:rPr>
          <w:rFonts w:hint="default" w:ascii="Times New Roman Regular" w:hAnsi="Times New Roman Regular" w:cs="Times New Roman Regular"/>
          <w:sz w:val="20"/>
          <w:szCs w:val="22"/>
        </w:rPr>
        <w:t xml:space="preserve"> &lt; 0.05 was set as statistical significance. Enriched significant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B</w:t>
      </w:r>
      <w:r>
        <w:rPr>
          <w:rFonts w:hint="default" w:ascii="Times New Roman Regular" w:hAnsi="Times New Roman Regular" w:cs="Times New Roman Regular"/>
          <w:sz w:val="20"/>
          <w:szCs w:val="22"/>
        </w:rPr>
        <w:t xml:space="preserve">) cellular components and (C) molecular functions between different groups based on the DEGs. </w:t>
      </w:r>
    </w:p>
    <w:p>
      <w:pPr>
        <w:rPr>
          <w:rFonts w:hint="default" w:ascii="Times New Roman Regular" w:hAnsi="Times New Roman Regular" w:cs="Times New Roman Regular"/>
          <w:sz w:val="20"/>
          <w:szCs w:val="22"/>
        </w:rPr>
      </w:pPr>
    </w:p>
    <w:p>
      <w:pPr>
        <w:rPr>
          <w:rFonts w:hint="default" w:ascii="Times New Roman Regular" w:hAnsi="Times New Roman Regular" w:cs="Times New Roman Regular"/>
          <w:sz w:val="20"/>
          <w:szCs w:val="22"/>
        </w:rPr>
      </w:pPr>
    </w:p>
    <w:p>
      <w:pPr>
        <w:rPr>
          <w:rFonts w:hint="default" w:ascii="Times New Roman Regular" w:hAnsi="Times New Roman Regular" w:cs="Times New Roman Regular"/>
          <w:sz w:val="20"/>
          <w:szCs w:val="22"/>
        </w:rPr>
      </w:pPr>
    </w:p>
    <w:p>
      <w:pPr>
        <w:rPr>
          <w:rFonts w:hint="default" w:ascii="Times New Roman Regular" w:hAnsi="Times New Roman Regular" w:cs="Times New Roman Regular"/>
          <w:sz w:val="20"/>
          <w:szCs w:val="22"/>
        </w:rPr>
      </w:pPr>
    </w:p>
    <w:p>
      <w:pPr>
        <w:rPr>
          <w:rFonts w:hint="default" w:ascii="Times New Roman Regular" w:hAnsi="Times New Roman Regular" w:cs="Times New Roman Regular"/>
          <w:sz w:val="20"/>
          <w:szCs w:val="2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</w:rPr>
        <w:t>Fig.S6.</w:t>
      </w:r>
    </w:p>
    <w:p>
      <w:pPr>
        <w:jc w:val="center"/>
        <w:rPr>
          <w:rFonts w:hint="default" w:ascii="Times New Roman Regular" w:hAnsi="Times New Roman Regular" w:cs="Times New Roman Regular"/>
          <w:sz w:val="24"/>
          <w:szCs w:val="32"/>
        </w:rPr>
      </w:pPr>
      <w:r>
        <w:rPr>
          <w:rFonts w:hint="default" w:ascii="Times New Roman Regular" w:hAnsi="Times New Roman Regular" w:cs="Times New Roman Regular"/>
          <w:sz w:val="24"/>
          <w:szCs w:val="32"/>
        </w:rPr>
        <w:drawing>
          <wp:inline distT="0" distB="0" distL="114300" distR="114300">
            <wp:extent cx="3599815" cy="6043295"/>
            <wp:effectExtent l="0" t="0" r="6985" b="1905"/>
            <wp:docPr id="6" name="图片 6" descr="Fig.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ig.S6"/>
                    <pic:cNvPicPr>
                      <a:picLocks noChangeAspect="1"/>
                    </pic:cNvPicPr>
                  </pic:nvPicPr>
                  <pic:blipFill>
                    <a:blip r:embed="rId8"/>
                    <a:srcRect l="13009" t="2315" r="13648" b="12336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604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 xml:space="preserve">Fig.S5. Overview of cellular and molecular function of InFC. </w:t>
      </w:r>
      <w:r>
        <w:rPr>
          <w:rFonts w:hint="default" w:ascii="Times New Roman Regular" w:hAnsi="Times New Roman Regular" w:cs="Times New Roman Regular"/>
          <w:sz w:val="20"/>
          <w:szCs w:val="22"/>
        </w:rPr>
        <w:t>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A</w:t>
      </w:r>
      <w:r>
        <w:rPr>
          <w:rFonts w:hint="default" w:ascii="Times New Roman Regular" w:hAnsi="Times New Roman Regular" w:cs="Times New Roman Regular"/>
          <w:sz w:val="20"/>
          <w:szCs w:val="22"/>
        </w:rPr>
        <w:t xml:space="preserve">) Differentially expressed genes (DEGs) between NC and OA samples. Red dots mean up-regulated genes, blue dots mean down-regulated gens and gray dots present genes with no-significance. Fold change &gt; 2 and &lt; 0.5, together with </w:t>
      </w:r>
      <w:r>
        <w:rPr>
          <w:rFonts w:hint="default" w:ascii="Times New Roman Italic" w:hAnsi="Times New Roman Italic" w:cs="Times New Roman Italic"/>
          <w:i/>
          <w:iCs/>
          <w:sz w:val="20"/>
          <w:szCs w:val="22"/>
        </w:rPr>
        <w:t>p</w:t>
      </w:r>
      <w:r>
        <w:rPr>
          <w:rFonts w:hint="default" w:ascii="Times New Roman Regular" w:hAnsi="Times New Roman Regular" w:cs="Times New Roman Regular"/>
          <w:sz w:val="20"/>
          <w:szCs w:val="22"/>
        </w:rPr>
        <w:t xml:space="preserve"> &lt; 0.05 was set as statistical significance. Enriched significant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B</w:t>
      </w:r>
      <w:r>
        <w:rPr>
          <w:rFonts w:hint="default" w:ascii="Times New Roman Regular" w:hAnsi="Times New Roman Regular" w:cs="Times New Roman Regular"/>
          <w:sz w:val="20"/>
          <w:szCs w:val="22"/>
        </w:rPr>
        <w:t xml:space="preserve">) cellular components and (C) molecular functions between different groups based on the DEGs. </w:t>
      </w: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</w:rPr>
        <w:t>Fig.S7.</w:t>
      </w:r>
    </w:p>
    <w:p>
      <w:pPr>
        <w:jc w:val="center"/>
        <w:rPr>
          <w:rFonts w:hint="default" w:ascii="Times New Roman Regular" w:hAnsi="Times New Roman Regular" w:cs="Times New Roman Regular"/>
          <w:sz w:val="24"/>
          <w:szCs w:val="32"/>
        </w:rPr>
      </w:pPr>
      <w:r>
        <w:rPr>
          <w:rFonts w:hint="default" w:ascii="Times New Roman Regular" w:hAnsi="Times New Roman Regular" w:cs="Times New Roman Regular"/>
          <w:sz w:val="24"/>
          <w:szCs w:val="32"/>
        </w:rPr>
        <w:drawing>
          <wp:inline distT="0" distB="0" distL="114300" distR="114300">
            <wp:extent cx="3599815" cy="6254115"/>
            <wp:effectExtent l="0" t="0" r="6985" b="19685"/>
            <wp:docPr id="7" name="图片 7" descr="Fig.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ig.S7"/>
                    <pic:cNvPicPr>
                      <a:picLocks noChangeAspect="1"/>
                    </pic:cNvPicPr>
                  </pic:nvPicPr>
                  <pic:blipFill>
                    <a:blip r:embed="rId9"/>
                    <a:srcRect l="14902" t="4288" r="7439" b="2190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625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 xml:space="preserve">Fig.S7. Overview of cellular and molecular function of ProC. </w:t>
      </w:r>
      <w:r>
        <w:rPr>
          <w:rFonts w:hint="default" w:ascii="Times New Roman Regular" w:hAnsi="Times New Roman Regular" w:cs="Times New Roman Regular"/>
          <w:sz w:val="20"/>
          <w:szCs w:val="22"/>
        </w:rPr>
        <w:t>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A</w:t>
      </w:r>
      <w:r>
        <w:rPr>
          <w:rFonts w:hint="default" w:ascii="Times New Roman Regular" w:hAnsi="Times New Roman Regular" w:cs="Times New Roman Regular"/>
          <w:sz w:val="20"/>
          <w:szCs w:val="22"/>
        </w:rPr>
        <w:t xml:space="preserve">) Differentially expressed genes (DEGs) between NC and OA samples. Red dots mean up-regulated genes, blue dots mean down-regulated gens and gray dots present genes with no-significance. Fold change &gt; 2 and &lt; 0.5, together with </w:t>
      </w:r>
      <w:r>
        <w:rPr>
          <w:rFonts w:hint="default" w:ascii="Times New Roman Italic" w:hAnsi="Times New Roman Italic" w:cs="Times New Roman Italic"/>
          <w:i/>
          <w:iCs/>
          <w:sz w:val="20"/>
          <w:szCs w:val="22"/>
        </w:rPr>
        <w:t>p</w:t>
      </w:r>
      <w:r>
        <w:rPr>
          <w:rFonts w:hint="default" w:ascii="Times New Roman Regular" w:hAnsi="Times New Roman Regular" w:cs="Times New Roman Regular"/>
          <w:sz w:val="20"/>
          <w:szCs w:val="22"/>
        </w:rPr>
        <w:t xml:space="preserve"> &lt; 0.05 was set as statistical significance. Enriched significant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B</w:t>
      </w:r>
      <w:r>
        <w:rPr>
          <w:rFonts w:hint="default" w:ascii="Times New Roman Regular" w:hAnsi="Times New Roman Regular" w:cs="Times New Roman Regular"/>
          <w:sz w:val="20"/>
          <w:szCs w:val="22"/>
        </w:rPr>
        <w:t xml:space="preserve">) cellular components and (C) molecular functions between different groups based on the DEGs. </w:t>
      </w: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  <w:r>
        <w:rPr>
          <w:rFonts w:hint="default" w:ascii="Times New Roman Regular" w:hAnsi="Times New Roman Regular" w:cs="Times New Roman Regular"/>
          <w:sz w:val="24"/>
          <w:szCs w:val="32"/>
        </w:rPr>
        <w:t>Fig.S8</w:t>
      </w:r>
    </w:p>
    <w:p>
      <w:pPr>
        <w:jc w:val="center"/>
        <w:rPr>
          <w:rFonts w:hint="default" w:ascii="Times New Roman Regular" w:hAnsi="Times New Roman Regular" w:cs="Times New Roman Regular"/>
          <w:sz w:val="24"/>
          <w:szCs w:val="32"/>
        </w:rPr>
      </w:pPr>
      <w:r>
        <w:rPr>
          <w:rFonts w:hint="default" w:ascii="Times New Roman Regular" w:hAnsi="Times New Roman Regular" w:cs="Times New Roman Regular"/>
          <w:sz w:val="24"/>
          <w:szCs w:val="32"/>
        </w:rPr>
        <w:drawing>
          <wp:inline distT="0" distB="0" distL="114300" distR="114300">
            <wp:extent cx="3599815" cy="4641215"/>
            <wp:effectExtent l="0" t="0" r="6985" b="6985"/>
            <wp:docPr id="8" name="图片 8" descr="Fig.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ig.S8"/>
                    <pic:cNvPicPr>
                      <a:picLocks noChangeAspect="1"/>
                    </pic:cNvPicPr>
                  </pic:nvPicPr>
                  <pic:blipFill>
                    <a:blip r:embed="rId10"/>
                    <a:srcRect l="15662" t="6377" r="12877" b="29753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464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 Regular" w:hAnsi="Times New Roman Regular" w:cs="Times New Roman Regular"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 xml:space="preserve">Fig.S8. Overview of signaling arrangement across all the samples. </w:t>
      </w:r>
      <w:r>
        <w:rPr>
          <w:rFonts w:hint="default" w:ascii="Times New Roman Regular" w:hAnsi="Times New Roman Regular" w:cs="Times New Roman Regular"/>
          <w:sz w:val="20"/>
          <w:szCs w:val="22"/>
        </w:rPr>
        <w:t>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A</w:t>
      </w:r>
      <w:r>
        <w:rPr>
          <w:rFonts w:hint="default" w:ascii="Times New Roman Regular" w:hAnsi="Times New Roman Regular" w:cs="Times New Roman Regular"/>
          <w:sz w:val="20"/>
          <w:szCs w:val="22"/>
        </w:rPr>
        <w:t>) Incoming signaling measurement among normal samples.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B</w:t>
      </w:r>
      <w:r>
        <w:rPr>
          <w:rFonts w:hint="default" w:ascii="Times New Roman Regular" w:hAnsi="Times New Roman Regular" w:cs="Times New Roman Regular"/>
          <w:sz w:val="20"/>
          <w:szCs w:val="22"/>
        </w:rPr>
        <w:t>) Outgoing signaling measurement among normal samples.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C</w:t>
      </w:r>
      <w:r>
        <w:rPr>
          <w:rFonts w:hint="default" w:ascii="Times New Roman Regular" w:hAnsi="Times New Roman Regular" w:cs="Times New Roman Regular"/>
          <w:sz w:val="20"/>
          <w:szCs w:val="22"/>
        </w:rPr>
        <w:t>) Incoming signaling measurement among OA samples.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D</w:t>
      </w:r>
      <w:r>
        <w:rPr>
          <w:rFonts w:hint="default" w:ascii="Times New Roman Regular" w:hAnsi="Times New Roman Regular" w:cs="Times New Roman Regular"/>
          <w:sz w:val="20"/>
          <w:szCs w:val="22"/>
        </w:rPr>
        <w:t>) Outgoing signaling measurement among OA samples. Green line means cophenetic while yellow line represents silhouette.</w:t>
      </w: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</w:rPr>
        <w:t>Fig.S9.</w:t>
      </w:r>
    </w:p>
    <w:p>
      <w:pPr>
        <w:jc w:val="center"/>
        <w:rPr>
          <w:rFonts w:hint="default" w:ascii="Times New Roman Regular" w:hAnsi="Times New Roman Regular" w:cs="Times New Roman Regular"/>
          <w:sz w:val="24"/>
          <w:szCs w:val="32"/>
        </w:rPr>
      </w:pPr>
      <w:r>
        <w:rPr>
          <w:rFonts w:hint="default" w:ascii="Times New Roman Regular" w:hAnsi="Times New Roman Regular" w:cs="Times New Roman Regular"/>
          <w:sz w:val="24"/>
          <w:szCs w:val="32"/>
        </w:rPr>
        <w:drawing>
          <wp:inline distT="0" distB="0" distL="114300" distR="114300">
            <wp:extent cx="3599815" cy="7292975"/>
            <wp:effectExtent l="0" t="0" r="6985" b="22225"/>
            <wp:docPr id="9" name="图片 9" descr="Fig.S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ig.S9"/>
                    <pic:cNvPicPr>
                      <a:picLocks noChangeAspect="1"/>
                    </pic:cNvPicPr>
                  </pic:nvPicPr>
                  <pic:blipFill>
                    <a:blip r:embed="rId11"/>
                    <a:srcRect l="9850" t="3577" r="23607" b="2975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729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Fig.S9. Overview of signaling patterns across all the samples based on top DEGs.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</w:rPr>
        <w:t xml:space="preserve"> </w:t>
      </w:r>
      <w:r>
        <w:rPr>
          <w:rFonts w:hint="default" w:ascii="Times New Roman Regular" w:hAnsi="Times New Roman Regular" w:cs="Times New Roman Regular"/>
          <w:sz w:val="20"/>
          <w:szCs w:val="22"/>
        </w:rPr>
        <w:t>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A</w:t>
      </w:r>
      <w:r>
        <w:rPr>
          <w:rFonts w:hint="default" w:ascii="Times New Roman Regular" w:hAnsi="Times New Roman Regular" w:cs="Times New Roman Regular"/>
          <w:sz w:val="20"/>
          <w:szCs w:val="22"/>
        </w:rPr>
        <w:t>) Incoming signaling patterns among normal samples.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B</w:t>
      </w:r>
      <w:r>
        <w:rPr>
          <w:rFonts w:hint="default" w:ascii="Times New Roman Regular" w:hAnsi="Times New Roman Regular" w:cs="Times New Roman Regular"/>
          <w:sz w:val="20"/>
          <w:szCs w:val="22"/>
        </w:rPr>
        <w:t>) Outgoing signaling patterns among normal samples.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C</w:t>
      </w:r>
      <w:r>
        <w:rPr>
          <w:rFonts w:hint="default" w:ascii="Times New Roman Regular" w:hAnsi="Times New Roman Regular" w:cs="Times New Roman Regular"/>
          <w:sz w:val="20"/>
          <w:szCs w:val="22"/>
        </w:rPr>
        <w:t>) Incoming signaling patterns among OA samples.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D</w:t>
      </w:r>
      <w:r>
        <w:rPr>
          <w:rFonts w:hint="default" w:ascii="Times New Roman Regular" w:hAnsi="Times New Roman Regular" w:cs="Times New Roman Regular"/>
          <w:sz w:val="20"/>
          <w:szCs w:val="22"/>
        </w:rPr>
        <w:t xml:space="preserve">) Outgoing signaling patterns among OA samples. </w:t>
      </w: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</w:rPr>
        <w:t>Fig.S10.</w:t>
      </w:r>
    </w:p>
    <w:p>
      <w:pPr>
        <w:jc w:val="center"/>
        <w:rPr>
          <w:rFonts w:hint="default" w:ascii="Times New Roman Regular" w:hAnsi="Times New Roman Regular" w:cs="Times New Roman Regular"/>
          <w:sz w:val="24"/>
          <w:szCs w:val="32"/>
        </w:rPr>
      </w:pPr>
      <w:r>
        <w:rPr>
          <w:rFonts w:hint="default" w:ascii="Times New Roman Regular" w:hAnsi="Times New Roman Regular" w:cs="Times New Roman Regular"/>
          <w:sz w:val="24"/>
          <w:szCs w:val="32"/>
        </w:rPr>
        <w:drawing>
          <wp:inline distT="0" distB="0" distL="114300" distR="114300">
            <wp:extent cx="3599815" cy="5329555"/>
            <wp:effectExtent l="0" t="0" r="6985" b="4445"/>
            <wp:docPr id="16" name="图片 16" descr="Fig.S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Fig.S10"/>
                    <pic:cNvPicPr>
                      <a:picLocks noChangeAspect="1"/>
                    </pic:cNvPicPr>
                  </pic:nvPicPr>
                  <pic:blipFill>
                    <a:blip r:embed="rId12"/>
                    <a:srcRect l="4799" t="3936" r="11490" b="10155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532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Fig.S10. Original western blot membrane of protein-to-protein interaction between SP1 and eEF2K based on Co-IP.</w:t>
      </w: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</w:rPr>
        <w:t>Fig.S11.</w:t>
      </w:r>
    </w:p>
    <w:p>
      <w:pPr>
        <w:jc w:val="center"/>
        <w:rPr>
          <w:rFonts w:hint="default" w:ascii="Times New Roman Regular" w:hAnsi="Times New Roman Regular" w:cs="Times New Roman Regular"/>
          <w:sz w:val="24"/>
          <w:szCs w:val="32"/>
        </w:rPr>
      </w:pPr>
      <w:r>
        <w:rPr>
          <w:rFonts w:hint="default" w:ascii="Times New Roman Regular" w:hAnsi="Times New Roman Regular" w:cs="Times New Roman Regular"/>
          <w:sz w:val="24"/>
          <w:szCs w:val="32"/>
        </w:rPr>
        <w:drawing>
          <wp:inline distT="0" distB="0" distL="114300" distR="114300">
            <wp:extent cx="3599815" cy="5564505"/>
            <wp:effectExtent l="0" t="0" r="6985" b="23495"/>
            <wp:docPr id="17" name="图片 17" descr="Fig.S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Fig.S11"/>
                    <pic:cNvPicPr>
                      <a:picLocks noChangeAspect="1"/>
                    </pic:cNvPicPr>
                  </pic:nvPicPr>
                  <pic:blipFill>
                    <a:blip r:embed="rId13"/>
                    <a:srcRect l="1772" t="1555" r="6438" b="92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556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Fig.S11. Original western blot membrane of protein-to-protein interaction between SP1 and eEF2K based on Co-IP.</w:t>
      </w: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</w:rPr>
        <w:t>Fig.S12.</w:t>
      </w:r>
    </w:p>
    <w:p>
      <w:pPr>
        <w:jc w:val="center"/>
        <w:rPr>
          <w:rFonts w:hint="default" w:ascii="Times New Roman Regular" w:hAnsi="Times New Roman Regular" w:cs="Times New Roman Regular"/>
          <w:sz w:val="24"/>
          <w:szCs w:val="32"/>
        </w:rPr>
      </w:pPr>
      <w:r>
        <w:rPr>
          <w:rFonts w:hint="default" w:ascii="Times New Roman Regular" w:hAnsi="Times New Roman Regular" w:cs="Times New Roman Regular"/>
          <w:sz w:val="24"/>
          <w:szCs w:val="32"/>
        </w:rPr>
        <w:drawing>
          <wp:inline distT="0" distB="0" distL="114300" distR="114300">
            <wp:extent cx="3599815" cy="6009005"/>
            <wp:effectExtent l="0" t="0" r="6985" b="10795"/>
            <wp:docPr id="18" name="图片 18" descr="Fig.S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Fig.S12"/>
                    <pic:cNvPicPr>
                      <a:picLocks noChangeAspect="1"/>
                    </pic:cNvPicPr>
                  </pic:nvPicPr>
                  <pic:blipFill>
                    <a:blip r:embed="rId14"/>
                    <a:srcRect l="1266" t="4371" r="18809" b="3151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Fig.S12. Original western blot membrane of protein-to-protein interaction between SP1 and eEF2K based on Co-IP.</w:t>
      </w: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  <w:lang w:val="en-US" w:eastAsia="zh-Hans"/>
        </w:rPr>
        <w:t>Fig</w:t>
      </w:r>
      <w:r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  <w:t>.13.</w:t>
      </w:r>
    </w:p>
    <w:p>
      <w:pPr>
        <w:jc w:val="center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  <w:r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  <w:drawing>
          <wp:inline distT="0" distB="0" distL="114300" distR="114300">
            <wp:extent cx="3599815" cy="6236970"/>
            <wp:effectExtent l="0" t="0" r="6985" b="11430"/>
            <wp:docPr id="13" name="图片 13" descr="Fig.S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Fig.S13"/>
                    <pic:cNvPicPr>
                      <a:picLocks noChangeAspect="1"/>
                    </pic:cNvPicPr>
                  </pic:nvPicPr>
                  <pic:blipFill>
                    <a:blip r:embed="rId15"/>
                    <a:srcRect l="1893" t="2791" r="17169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623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Fig.S13. Original western blot membrane of protein-to-protein interaction between SP1 and eEF2K based on Co-IP.</w:t>
      </w: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  <w:t>Fig.S14.</w:t>
      </w:r>
    </w:p>
    <w:p>
      <w:pPr>
        <w:jc w:val="center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  <w:r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  <w:drawing>
          <wp:inline distT="0" distB="0" distL="114300" distR="114300">
            <wp:extent cx="3599815" cy="6392545"/>
            <wp:effectExtent l="0" t="0" r="6985" b="8255"/>
            <wp:docPr id="14" name="图片 14" descr="Fig.S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Fig.S14"/>
                    <pic:cNvPicPr>
                      <a:picLocks noChangeAspect="1"/>
                    </pic:cNvPicPr>
                  </pic:nvPicPr>
                  <pic:blipFill>
                    <a:blip r:embed="rId16"/>
                    <a:srcRect l="3798" t="3652" r="18568" b="786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639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Fig.S14. Original western blot membrane of protein-to-protein interaction between SP1 and eEF2K based on Co-IP.</w:t>
      </w: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Fig.15.</w:t>
      </w:r>
    </w:p>
    <w:p>
      <w:pPr>
        <w:jc w:val="center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drawing>
          <wp:inline distT="0" distB="0" distL="114300" distR="114300">
            <wp:extent cx="3599815" cy="4953635"/>
            <wp:effectExtent l="0" t="0" r="6985" b="24765"/>
            <wp:docPr id="19" name="图片 19" descr="Fig.S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Fig.S15"/>
                    <pic:cNvPicPr>
                      <a:picLocks noChangeAspect="1"/>
                    </pic:cNvPicPr>
                  </pic:nvPicPr>
                  <pic:blipFill>
                    <a:blip r:embed="rId17"/>
                    <a:srcRect l="2532" t="6812" r="5558" b="5516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495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Fig.S15. Original western blot membrane of protein-to-protein interaction between eEF2 and SPP1 based on Co-IP .</w:t>
      </w: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  <w:lang w:val="en-US" w:eastAsia="zh-Hans"/>
        </w:rPr>
        <w:t>Fi</w:t>
      </w:r>
      <w:r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  <w:t>g.S16.</w:t>
      </w:r>
    </w:p>
    <w:p>
      <w:pPr>
        <w:jc w:val="center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  <w:r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  <w:drawing>
          <wp:inline distT="0" distB="0" distL="114300" distR="114300">
            <wp:extent cx="3599815" cy="5252720"/>
            <wp:effectExtent l="0" t="0" r="6985" b="5080"/>
            <wp:docPr id="20" name="图片 20" descr="Fig.S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Fig.S16"/>
                    <pic:cNvPicPr>
                      <a:picLocks noChangeAspect="1"/>
                    </pic:cNvPicPr>
                  </pic:nvPicPr>
                  <pic:blipFill>
                    <a:blip r:embed="rId18"/>
                    <a:srcRect l="2520" t="6895" r="8199" b="2800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525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Fig.S16. Original western blot membrane of protein-to-protein interaction between eEF2 and SPP1 based on Co-IP .</w:t>
      </w: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</w:rPr>
        <w:t>Fig.S17.</w:t>
      </w:r>
    </w:p>
    <w:p>
      <w:pPr>
        <w:jc w:val="center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drawing>
          <wp:inline distT="0" distB="0" distL="114300" distR="114300">
            <wp:extent cx="3599815" cy="6449695"/>
            <wp:effectExtent l="0" t="0" r="6985" b="1905"/>
            <wp:docPr id="21" name="图片 21" descr="Fig.S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Fig.S17"/>
                    <pic:cNvPicPr>
                      <a:picLocks noChangeAspect="1"/>
                    </pic:cNvPicPr>
                  </pic:nvPicPr>
                  <pic:blipFill>
                    <a:blip r:embed="rId19"/>
                    <a:srcRect l="1374" t="4162" r="21461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644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Fig.S17. Original western blot membrane of protein-to-protein interaction between eEF2 and SPP1 based on Co-IP .</w:t>
      </w:r>
    </w:p>
    <w:p>
      <w:pPr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  <w:t>Fig.S18.</w:t>
      </w:r>
    </w:p>
    <w:p>
      <w:pPr>
        <w:jc w:val="center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  <w:r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  <w:drawing>
          <wp:inline distT="0" distB="0" distL="114300" distR="114300">
            <wp:extent cx="3599815" cy="6305550"/>
            <wp:effectExtent l="0" t="0" r="6985" b="19050"/>
            <wp:docPr id="22" name="图片 22" descr="Fig.S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Fig.S18"/>
                    <pic:cNvPicPr>
                      <a:picLocks noChangeAspect="1"/>
                    </pic:cNvPicPr>
                  </pic:nvPicPr>
                  <pic:blipFill>
                    <a:blip r:embed="rId20"/>
                    <a:srcRect l="1640" t="1889" r="17555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630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Fig.S18. Original western blot membrane of protein-to-protein interaction between eEF2 and SPP1 based on Co-IP .</w:t>
      </w: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  <w:t>Fig.S19.</w:t>
      </w:r>
    </w:p>
    <w:p>
      <w:pPr>
        <w:jc w:val="center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  <w:r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  <w:drawing>
          <wp:inline distT="0" distB="0" distL="114300" distR="114300">
            <wp:extent cx="3599815" cy="6944995"/>
            <wp:effectExtent l="0" t="0" r="6985" b="14605"/>
            <wp:docPr id="23" name="图片 23" descr="Fig.S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Fig.S19"/>
                    <pic:cNvPicPr>
                      <a:picLocks noChangeAspect="1"/>
                    </pic:cNvPicPr>
                  </pic:nvPicPr>
                  <pic:blipFill>
                    <a:blip r:embed="rId21"/>
                    <a:srcRect l="3665" t="702" r="22474" b="518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694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Fig.S19. Original western blot membrane of protein-to-protein interaction between eEF2 and SPP1 based on Co-IP .</w:t>
      </w: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  <w:lang w:val="en-US" w:eastAsia="zh-Hans"/>
        </w:rPr>
        <w:t>Fig</w:t>
      </w:r>
      <w:r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  <w:t>.S20.</w:t>
      </w:r>
    </w:p>
    <w:p>
      <w:pPr>
        <w:jc w:val="center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  <w:r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  <w:drawing>
          <wp:inline distT="0" distB="0" distL="114300" distR="114300">
            <wp:extent cx="3599815" cy="4607560"/>
            <wp:effectExtent l="0" t="0" r="6985" b="15240"/>
            <wp:docPr id="24" name="图片 24" descr="Fig.S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Fig.S20"/>
                    <pic:cNvPicPr>
                      <a:picLocks noChangeAspect="1"/>
                    </pic:cNvPicPr>
                  </pic:nvPicPr>
                  <pic:blipFill>
                    <a:blip r:embed="rId22"/>
                    <a:srcRect l="6957" t="2532" r="5679" b="19950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460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 Bold" w:hAnsi="Times New Roman Bold" w:cs="Times New Roman Bold"/>
          <w:b/>
          <w:bCs/>
          <w:sz w:val="24"/>
          <w:szCs w:val="3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 xml:space="preserve">Fig.S20. </w:t>
      </w:r>
      <w:r>
        <w:rPr>
          <w:rFonts w:hint="eastAsia" w:ascii="Times New Roman Bold" w:hAnsi="Times New Roman Bold" w:cs="Times New Roman Bold"/>
          <w:b/>
          <w:bCs/>
          <w:sz w:val="20"/>
          <w:szCs w:val="22"/>
          <w:lang w:val="en-US" w:eastAsia="zh-Hans"/>
        </w:rPr>
        <w:t>Ori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ginal western blot membrane of the n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uclear-cytoplasmic separation of chondrocytes to identify the accurate location of SP1 and eEF2K.</w:t>
      </w: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  <w:t>Fig.S21.</w:t>
      </w:r>
    </w:p>
    <w:p>
      <w:pPr>
        <w:jc w:val="center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  <w:r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  <w:drawing>
          <wp:inline distT="0" distB="0" distL="114300" distR="114300">
            <wp:extent cx="3599815" cy="4262120"/>
            <wp:effectExtent l="0" t="0" r="6985" b="5080"/>
            <wp:docPr id="25" name="图片 25" descr="Fig.S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Fig.S21"/>
                    <pic:cNvPicPr>
                      <a:picLocks noChangeAspect="1"/>
                    </pic:cNvPicPr>
                  </pic:nvPicPr>
                  <pic:blipFill>
                    <a:blip r:embed="rId23"/>
                    <a:srcRect l="6559" t="6109" r="14010" b="28700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426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 xml:space="preserve">Fig.S21. </w:t>
      </w:r>
      <w:r>
        <w:rPr>
          <w:rFonts w:hint="eastAsia" w:ascii="Times New Roman Bold" w:hAnsi="Times New Roman Bold" w:cs="Times New Roman Bold"/>
          <w:b/>
          <w:bCs/>
          <w:sz w:val="20"/>
          <w:szCs w:val="22"/>
          <w:lang w:val="en-US" w:eastAsia="zh-Hans"/>
        </w:rPr>
        <w:t>Ori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ginal western blot membrane of the n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uclear-cytoplasmic separation of chondrocytes to identify the accurate location of SP1 and eEF2K.</w:t>
      </w: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  <w:t>Fig.S22.</w:t>
      </w:r>
    </w:p>
    <w:p>
      <w:pPr>
        <w:jc w:val="center"/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</w:pPr>
      <w:r>
        <w:rPr>
          <w:rFonts w:hint="default" w:ascii="Times New Roman Regular" w:hAnsi="Times New Roman Regular" w:cs="Times New Roman Regular"/>
          <w:sz w:val="24"/>
          <w:szCs w:val="32"/>
          <w:lang w:eastAsia="zh-Hans"/>
        </w:rPr>
        <w:drawing>
          <wp:inline distT="0" distB="0" distL="114300" distR="114300">
            <wp:extent cx="3599815" cy="4512310"/>
            <wp:effectExtent l="0" t="0" r="6985" b="8890"/>
            <wp:docPr id="26" name="图片 26" descr="Fig.S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Fig.S22"/>
                    <pic:cNvPicPr>
                      <a:picLocks noChangeAspect="1"/>
                    </pic:cNvPicPr>
                  </pic:nvPicPr>
                  <pic:blipFill>
                    <a:blip r:embed="rId24"/>
                    <a:srcRect l="6559" t="5240" r="14396" b="26076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451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 xml:space="preserve">Fig.S22. </w:t>
      </w:r>
      <w:r>
        <w:rPr>
          <w:rFonts w:hint="eastAsia" w:ascii="Times New Roman Bold" w:hAnsi="Times New Roman Bold" w:cs="Times New Roman Bold"/>
          <w:b/>
          <w:bCs/>
          <w:sz w:val="20"/>
          <w:szCs w:val="22"/>
          <w:lang w:val="en-US" w:eastAsia="zh-Hans"/>
        </w:rPr>
        <w:t>Ori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ginal western blot membrane of the n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uclear-cytoplasmic separation of chondrocytes to identify the accurate location of SP1 and eEF2K.</w:t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Fig.23.</w:t>
      </w:r>
    </w:p>
    <w:p>
      <w:pPr>
        <w:jc w:val="center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drawing>
          <wp:inline distT="0" distB="0" distL="114300" distR="114300">
            <wp:extent cx="3599815" cy="3112770"/>
            <wp:effectExtent l="0" t="0" r="6985" b="11430"/>
            <wp:docPr id="27" name="图片 27" descr="Fig.S23-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Fig.S23-24"/>
                    <pic:cNvPicPr>
                      <a:picLocks noChangeAspect="1"/>
                    </pic:cNvPicPr>
                  </pic:nvPicPr>
                  <pic:blipFill>
                    <a:blip r:embed="rId25"/>
                    <a:srcRect l="11864" t="5600" r="8464" b="46644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11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 xml:space="preserve">Fig.S23. </w:t>
      </w:r>
      <w:r>
        <w:rPr>
          <w:rFonts w:hint="eastAsia" w:ascii="Times New Roman Bold" w:hAnsi="Times New Roman Bold" w:cs="Times New Roman Bold"/>
          <w:b/>
          <w:bCs/>
          <w:sz w:val="20"/>
          <w:szCs w:val="22"/>
          <w:lang w:val="en-US" w:eastAsia="zh-Hans"/>
        </w:rPr>
        <w:t>T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he 3D structure and surface electrostatic potential distribution of the SP1-eEF2K protein complex. The wheat-colored region represents the SP1 protein, while the red-blue colored region corresponds to the eEF2K protein, with the color mapping indicating the surface electrostatic potential distribution.</w:t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</w:rPr>
        <w:t>Fig.S24.</w:t>
      </w:r>
    </w:p>
    <w:p>
      <w:pPr>
        <w:jc w:val="center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drawing>
          <wp:inline distT="0" distB="0" distL="114300" distR="114300">
            <wp:extent cx="3599815" cy="2613660"/>
            <wp:effectExtent l="0" t="0" r="6985" b="2540"/>
            <wp:docPr id="28" name="图片 28" descr="Fig.S23-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Fig.S23-24"/>
                    <pic:cNvPicPr>
                      <a:picLocks noChangeAspect="1"/>
                    </pic:cNvPicPr>
                  </pic:nvPicPr>
                  <pic:blipFill>
                    <a:blip r:embed="rId25"/>
                    <a:srcRect l="13636" t="60986" r="18061" b="4639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 xml:space="preserve">Fig.S24. Intramolecular hydrogen bond dynamics of </w:t>
      </w:r>
      <w:r>
        <w:rPr>
          <w:rFonts w:hint="eastAsia" w:ascii="Times New Roman Bold" w:hAnsi="Times New Roman Bold" w:cs="Times New Roman Bold"/>
          <w:b/>
          <w:bCs/>
          <w:sz w:val="20"/>
          <w:szCs w:val="22"/>
          <w:lang w:val="en-US" w:eastAsia="zh-Hans"/>
        </w:rPr>
        <w:t>S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 xml:space="preserve">P1 and 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 xml:space="preserve">eEF2K during 100 ns molecular dynamics simulation. 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</w:rPr>
        <w:t>The numbers of intramolecular hydrogen bonds within eEF2K and SP1 were quantified during the 100 ns molecular dynamics simulation of the eEF2K–SP1 complex. eEF2K showed an average of 452.5189 ± 10.2536 intramolecular hydrogen bonds, with frequent fluctuations over time. SP1 showed an average of 51.3729 ± 4.1665 intramolecular hydrogen bonds and comparatively smaller temporal fluctuations.</w:t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</w:rPr>
        <w:t>Fig.25.</w:t>
      </w:r>
    </w:p>
    <w:p>
      <w:pPr>
        <w:jc w:val="center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drawing>
          <wp:inline distT="0" distB="0" distL="114300" distR="114300">
            <wp:extent cx="3599815" cy="5337810"/>
            <wp:effectExtent l="0" t="0" r="6985" b="21590"/>
            <wp:docPr id="29" name="图片 29" descr="Fig.S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Fig.S25"/>
                    <pic:cNvPicPr>
                      <a:picLocks noChangeAspect="1"/>
                    </pic:cNvPicPr>
                  </pic:nvPicPr>
                  <pic:blipFill>
                    <a:blip r:embed="rId26"/>
                    <a:srcRect l="4799" t="7263" r="11104" b="6302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533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Fig.S25. The 2D structure and surface electrostatic potential distribution of the eEF2-p-eEF2 protein complex.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</w:rPr>
        <w:t xml:space="preserve">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A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</w:rPr>
        <w:t>) SP1 displayed multiple dispersed low-energy basins across a broad conformational space, consistent with conformational heterogeneity and high structural flexibility.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B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</w:rPr>
        <w:t>) eEF2K exhibited a single dominant deep energy basin, with higher-energy states confined to the periphery of the landscape, indicating relatively stable global conformational dynamics with defined energetic barriers to conformational transition.</w:t>
      </w: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</w:rPr>
        <w:t>Fig.S26.</w:t>
      </w: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2"/>
        </w:rPr>
        <w:drawing>
          <wp:inline distT="0" distB="0" distL="114300" distR="114300">
            <wp:extent cx="4980940" cy="7006590"/>
            <wp:effectExtent l="0" t="0" r="22860" b="3810"/>
            <wp:docPr id="30" name="图片 30" descr="Fig.S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Fig.S26"/>
                    <pic:cNvPicPr>
                      <a:picLocks noChangeAspect="1"/>
                    </pic:cNvPicPr>
                  </pic:nvPicPr>
                  <pic:blipFill>
                    <a:blip r:embed="rId27"/>
                    <a:srcRect l="1640" t="5240" r="3786" b="2541"/>
                    <a:stretch>
                      <a:fillRect/>
                    </a:stretch>
                  </pic:blipFill>
                  <pic:spPr>
                    <a:xfrm>
                      <a:off x="0" y="0"/>
                      <a:ext cx="4980940" cy="700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 xml:space="preserve">Fig.S26. 2D and 3D interaction map of the eEF2-p-eEF2 protein complex. 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</w:rPr>
        <w:t>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A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</w:rPr>
        <w:t>) 2D interaction map of the eEF2-p-eEF2 complex. The dashed line indicates the protein-to-protein interface. Residues above and below the interface correspond to eEF2 and p-eEF2, respectively.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>B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</w:rPr>
        <w:t xml:space="preserve">) The 3D structure and surface electrostatic potential distribution of the eEF2-p-eEF2 protein complex. </w:t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</w:rPr>
        <w:t>Fig.S27.</w:t>
      </w:r>
    </w:p>
    <w:p>
      <w:pPr>
        <w:jc w:val="center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drawing>
          <wp:inline distT="0" distB="0" distL="114300" distR="114300">
            <wp:extent cx="3599815" cy="2667635"/>
            <wp:effectExtent l="0" t="0" r="6985" b="24765"/>
            <wp:docPr id="31" name="图片 31" descr="Fig.S27-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Fig.S27-28"/>
                    <pic:cNvPicPr>
                      <a:picLocks noChangeAspect="1"/>
                    </pic:cNvPicPr>
                  </pic:nvPicPr>
                  <pic:blipFill>
                    <a:blip r:embed="rId28"/>
                    <a:srcRect l="6559" t="6552" r="1133" b="46034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6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Fig.27. Decomposition of residue-wise binding free energy contributions.</w:t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  <w:t>Fig.28.</w:t>
      </w:r>
    </w:p>
    <w:p>
      <w:pPr>
        <w:jc w:val="center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drawing>
          <wp:inline distT="0" distB="0" distL="114300" distR="114300">
            <wp:extent cx="3599815" cy="2583815"/>
            <wp:effectExtent l="0" t="0" r="6985" b="6985"/>
            <wp:docPr id="32" name="图片 32" descr="Fig.S27-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Fig.S27-28"/>
                    <pic:cNvPicPr>
                      <a:picLocks noChangeAspect="1"/>
                    </pic:cNvPicPr>
                  </pic:nvPicPr>
                  <pic:blipFill>
                    <a:blip r:embed="rId28"/>
                    <a:srcRect l="6185" t="55127" r="7837" b="2098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58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Fig.S28. Binding free-energy decomposition of the eEF2-p-eEF2 complex by MM/GBSA.</w:t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Bar plot showing the residue-wise decomposition of binding free energy in the eEF2-p-eEF2 complex </w:t>
      </w:r>
      <w:r>
        <w:rPr>
          <w:rFonts w:hint="eastAsia" w:ascii="Times New Roman" w:hAnsi="Times New Roman" w:cs="Times New Roman"/>
          <w:b w:val="0"/>
          <w:bCs w:val="0"/>
          <w:sz w:val="20"/>
          <w:szCs w:val="22"/>
          <w:lang w:val="en-US" w:eastAsia="zh-Hans"/>
        </w:rPr>
        <w:t>that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 calculated by MM/GBSA.</w:t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  <w:t>Fig.S29.</w:t>
      </w:r>
    </w:p>
    <w:p>
      <w:pPr>
        <w:jc w:val="center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drawing>
          <wp:inline distT="0" distB="0" distL="114300" distR="114300">
            <wp:extent cx="3599815" cy="2657475"/>
            <wp:effectExtent l="0" t="0" r="6985" b="9525"/>
            <wp:docPr id="33" name="图片 33" descr="Fig.S29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Fig.S29-30"/>
                    <pic:cNvPicPr>
                      <a:picLocks noChangeAspect="1"/>
                    </pic:cNvPicPr>
                  </pic:nvPicPr>
                  <pic:blipFill>
                    <a:blip r:embed="rId29"/>
                    <a:srcRect l="9718" t="8926" r="9091" b="49528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Fig.S29. Intermolecular hydrogen bonds in the eEF2-p-eEF2 complex during 100 ns molecular dynamics simulation.</w:t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>Plot showing the time-dependent changes in the number of hydrogen bonds formed between eEF2 and p-eEF2.</w:t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  <w:t>Fig.S30.</w:t>
      </w:r>
    </w:p>
    <w:p>
      <w:pPr>
        <w:jc w:val="center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drawing>
          <wp:inline distT="0" distB="0" distL="114300" distR="114300">
            <wp:extent cx="3599815" cy="2710180"/>
            <wp:effectExtent l="0" t="0" r="6985" b="7620"/>
            <wp:docPr id="34" name="图片 34" descr="Fig.S29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Fig.S29-30"/>
                    <pic:cNvPicPr>
                      <a:picLocks noChangeAspect="1"/>
                    </pic:cNvPicPr>
                  </pic:nvPicPr>
                  <pic:blipFill>
                    <a:blip r:embed="rId29"/>
                    <a:srcRect l="10863" t="53297" r="8705" b="4730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71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Fig.S30. Residue-wise RMSF profiles of eEF2 and p-eEF2 during 100 ns molecular dynamics simulation.</w:t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>Plot showing differences in residue-level flexibility between eEF2 and p-eEF2.</w:t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Fig.S31.</w:t>
      </w:r>
    </w:p>
    <w:p>
      <w:pPr>
        <w:jc w:val="center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drawing>
          <wp:inline distT="0" distB="0" distL="114300" distR="114300">
            <wp:extent cx="3599815" cy="5114925"/>
            <wp:effectExtent l="0" t="0" r="6985" b="15875"/>
            <wp:docPr id="35" name="图片 35" descr="Fig.S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Fig.S31"/>
                    <pic:cNvPicPr>
                      <a:picLocks noChangeAspect="1"/>
                    </pic:cNvPicPr>
                  </pic:nvPicPr>
                  <pic:blipFill>
                    <a:blip r:embed="rId30"/>
                    <a:srcRect l="4292" t="6903" r="16289" b="14877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511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Fig.S31. 2D free-energy landscapes of eEF2 and p-eEF2.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A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>) eEF2 showed a single dominant low-energy basin, consistent with a globally stable conformational state and relatively high structural rigidity.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B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>) p-eEF2 exhibited multiple dispersed low-energy basins, indicating a multistate conformational landscape with increased flexibility and enhanced dynamic transition among metastable states after phosphorylation.</w:t>
      </w: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  <w:t>Fig.S32.</w:t>
      </w:r>
    </w:p>
    <w:p>
      <w:pPr>
        <w:jc w:val="center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drawing>
          <wp:inline distT="0" distB="0" distL="114300" distR="114300">
            <wp:extent cx="3599815" cy="2439670"/>
            <wp:effectExtent l="0" t="0" r="6985" b="24130"/>
            <wp:docPr id="10" name="图片 10" descr="Fig.S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ig.S32"/>
                    <pic:cNvPicPr>
                      <a:picLocks noChangeAspect="1"/>
                    </pic:cNvPicPr>
                  </pic:nvPicPr>
                  <pic:blipFill>
                    <a:blip r:embed="rId31"/>
                    <a:srcRect l="3870" t="4973" r="7753" b="53506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43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 xml:space="preserve">Fig.S32. 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 xml:space="preserve">Thermodynamic and structural dynamics of the SP1 </w:t>
      </w:r>
      <w:r>
        <w:rPr>
          <w:rFonts w:hint="eastAsia" w:ascii="Times New Roman Bold" w:hAnsi="Times New Roman Bold" w:cs="Times New Roman Bold"/>
          <w:b/>
          <w:bCs/>
          <w:sz w:val="20"/>
          <w:szCs w:val="22"/>
          <w:lang w:val="en-US" w:eastAsia="zh-Hans"/>
        </w:rPr>
        <w:t>prote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 xml:space="preserve">in to eEF2K DNA promoter. 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>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A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) Time evolution of the number of hydrogen bonds (NHB) formed between SP1 and the </w:t>
      </w:r>
      <w:r>
        <w:rPr>
          <w:rFonts w:hint="default" w:ascii="Times New Roman Italic" w:hAnsi="Times New Roman Italic" w:cs="Times New Roman Italic"/>
          <w:b w:val="0"/>
          <w:bCs w:val="0"/>
          <w:i/>
          <w:iCs/>
          <w:sz w:val="20"/>
          <w:szCs w:val="22"/>
          <w:lang w:val="en-US" w:eastAsia="zh-Hans"/>
        </w:rPr>
        <w:t>e</w:t>
      </w:r>
      <w:r>
        <w:rPr>
          <w:rFonts w:hint="default" w:ascii="Times New Roman Italic" w:hAnsi="Times New Roman Italic" w:cs="Times New Roman Italic"/>
          <w:b w:val="0"/>
          <w:bCs w:val="0"/>
          <w:i/>
          <w:iCs/>
          <w:sz w:val="20"/>
          <w:szCs w:val="22"/>
          <w:lang w:eastAsia="zh-Hans"/>
        </w:rPr>
        <w:t>EF2K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 promoter DNA, shown to assess the dynamic stability of the protein-DNA interface.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B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>) Average secondary-structure profiling showed that SP1 was dominated by coil and α-helical elements, with lower contributions from β-sheets and turns.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C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>) MM/GBSA calculations based on the molecular dynamics trajectory showed a favorable total binding free energy for the SP1-eEF2K promoter DNA complex.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D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) RMSF analysis of SP1 in complex with eEF2K promoter DNA showed a non-uniform residue-wise fluctuation profile, indicating the presence of localized conformational flexibility within the bound SP1 structure. </w:t>
      </w:r>
      <w:r>
        <w:rPr>
          <w:rFonts w:ascii="Times New Roman" w:hAnsi="Times New Roman" w:cs="Times New Roman"/>
          <w:sz w:val="20"/>
          <w:szCs w:val="20"/>
          <w:lang w:eastAsia="zh-Hans"/>
        </w:rPr>
        <w:t>All the molecular dynamic (MD) simulation was performed under 100 ns</w:t>
      </w:r>
      <w:r>
        <w:rPr>
          <w:rFonts w:hint="default" w:ascii="Times New Roman" w:hAnsi="Times New Roman" w:cs="Times New Roman"/>
          <w:sz w:val="20"/>
          <w:szCs w:val="20"/>
          <w:lang w:eastAsia="zh-Hans"/>
        </w:rPr>
        <w:t>.</w:t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  <w:t>Fig.S33.</w:t>
      </w:r>
    </w:p>
    <w:p>
      <w:pPr>
        <w:jc w:val="center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drawing>
          <wp:inline distT="0" distB="0" distL="114300" distR="114300">
            <wp:extent cx="3420110" cy="3081020"/>
            <wp:effectExtent l="0" t="0" r="8890" b="17780"/>
            <wp:docPr id="37" name="图片 37" descr="Fig.S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Fig.S33"/>
                    <pic:cNvPicPr>
                      <a:picLocks noChangeAspect="1"/>
                    </pic:cNvPicPr>
                  </pic:nvPicPr>
                  <pic:blipFill>
                    <a:blip r:embed="rId32"/>
                    <a:srcRect t="5341" r="1519" b="33163"/>
                    <a:stretch>
                      <a:fillRect/>
                    </a:stretch>
                  </pic:blipFill>
                  <pic:spPr>
                    <a:xfrm>
                      <a:off x="0" y="0"/>
                      <a:ext cx="3420110" cy="308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 xml:space="preserve">Fig.S32. Spatial organization of degradative organelles in chondrocytes. 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Representative HIS-SIM confocal images of autophagy-proteasome network that presented by lysosome, ER and mitochondria among normal chondrocytes, TNF-α induced cells, </w:t>
      </w:r>
      <w:r>
        <w:rPr>
          <w:rFonts w:hint="default" w:ascii="Times New Roman Italic" w:hAnsi="Times New Roman Italic" w:cs="Times New Roman Italic"/>
          <w:b w:val="0"/>
          <w:bCs w:val="0"/>
          <w:i/>
          <w:iCs/>
          <w:sz w:val="20"/>
          <w:szCs w:val="22"/>
          <w:lang w:eastAsia="zh-Hans"/>
        </w:rPr>
        <w:t>SP1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 KO-, </w:t>
      </w:r>
      <w:r>
        <w:rPr>
          <w:rFonts w:hint="default" w:ascii="Times New Roman Italic" w:hAnsi="Times New Roman Italic" w:cs="Times New Roman Italic"/>
          <w:b w:val="0"/>
          <w:bCs w:val="0"/>
          <w:i/>
          <w:iCs/>
          <w:sz w:val="20"/>
          <w:szCs w:val="22"/>
          <w:lang w:eastAsia="zh-Hans"/>
        </w:rPr>
        <w:t>eEF2K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 KO-, </w:t>
      </w:r>
      <w:r>
        <w:rPr>
          <w:rFonts w:hint="default" w:ascii="Times New Roman Italic" w:hAnsi="Times New Roman Italic" w:cs="Times New Roman Italic"/>
          <w:b w:val="0"/>
          <w:bCs w:val="0"/>
          <w:i/>
          <w:iCs/>
          <w:sz w:val="20"/>
          <w:szCs w:val="22"/>
          <w:lang w:eastAsia="zh-Hans"/>
        </w:rPr>
        <w:t>eEF2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 KO- and </w:t>
      </w:r>
      <w:r>
        <w:rPr>
          <w:rFonts w:hint="default" w:ascii="Times New Roman Italic" w:hAnsi="Times New Roman Italic" w:cs="Times New Roman Italic"/>
          <w:b w:val="0"/>
          <w:bCs w:val="0"/>
          <w:i/>
          <w:iCs/>
          <w:sz w:val="20"/>
          <w:szCs w:val="22"/>
          <w:lang w:eastAsia="zh-Hans"/>
        </w:rPr>
        <w:t>SPP1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 KO treated cells co-treated with TNF-α at 36hours.</w:t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  <w:t>Fig.S34.</w:t>
      </w:r>
    </w:p>
    <w:p>
      <w:pPr>
        <w:jc w:val="center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drawing>
          <wp:inline distT="0" distB="0" distL="114300" distR="114300">
            <wp:extent cx="3420110" cy="3066415"/>
            <wp:effectExtent l="0" t="0" r="8890" b="6985"/>
            <wp:docPr id="39" name="图片 39" descr="Fig.S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Fig.S34"/>
                    <pic:cNvPicPr>
                      <a:picLocks noChangeAspect="1"/>
                    </pic:cNvPicPr>
                  </pic:nvPicPr>
                  <pic:blipFill>
                    <a:blip r:embed="rId33"/>
                    <a:srcRect t="5867" r="1640" b="32996"/>
                    <a:stretch>
                      <a:fillRect/>
                    </a:stretch>
                  </pic:blipFill>
                  <pic:spPr>
                    <a:xfrm>
                      <a:off x="0" y="0"/>
                      <a:ext cx="3420110" cy="306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 xml:space="preserve">Fig.S34. Spatial organization of degradative organelles in chondrocytes. 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Representative 3D reconstruction of the autophagy-proteasome network that presented by lysosome, ER and mitochondria among normal chondrocytes, TNF-α induced cells, </w:t>
      </w:r>
      <w:r>
        <w:rPr>
          <w:rFonts w:hint="default" w:ascii="Times New Roman Italic" w:hAnsi="Times New Roman Italic" w:cs="Times New Roman Italic"/>
          <w:b w:val="0"/>
          <w:bCs w:val="0"/>
          <w:i/>
          <w:iCs/>
          <w:sz w:val="20"/>
          <w:szCs w:val="22"/>
          <w:lang w:eastAsia="zh-Hans"/>
        </w:rPr>
        <w:t>SP1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 KO-, </w:t>
      </w:r>
      <w:r>
        <w:rPr>
          <w:rFonts w:hint="default" w:ascii="Times New Roman Italic" w:hAnsi="Times New Roman Italic" w:cs="Times New Roman Italic"/>
          <w:b w:val="0"/>
          <w:bCs w:val="0"/>
          <w:i/>
          <w:iCs/>
          <w:sz w:val="20"/>
          <w:szCs w:val="22"/>
          <w:lang w:eastAsia="zh-Hans"/>
        </w:rPr>
        <w:t>eEF2K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 KO-, </w:t>
      </w:r>
      <w:r>
        <w:rPr>
          <w:rFonts w:hint="default" w:ascii="Times New Roman Italic" w:hAnsi="Times New Roman Italic" w:cs="Times New Roman Italic"/>
          <w:b w:val="0"/>
          <w:bCs w:val="0"/>
          <w:i/>
          <w:iCs/>
          <w:sz w:val="20"/>
          <w:szCs w:val="22"/>
          <w:lang w:eastAsia="zh-Hans"/>
        </w:rPr>
        <w:t>eEF2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 KO- and </w:t>
      </w:r>
      <w:r>
        <w:rPr>
          <w:rFonts w:hint="default" w:ascii="Times New Roman Italic" w:hAnsi="Times New Roman Italic" w:cs="Times New Roman Italic"/>
          <w:b w:val="0"/>
          <w:bCs w:val="0"/>
          <w:i/>
          <w:iCs/>
          <w:sz w:val="20"/>
          <w:szCs w:val="22"/>
          <w:lang w:eastAsia="zh-Hans"/>
        </w:rPr>
        <w:t>SPP1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 KO treated cells co-treated with TNF-α at 36hours.</w:t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  <w:t>Fig.S35.</w:t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drawing>
          <wp:inline distT="0" distB="0" distL="114300" distR="114300">
            <wp:extent cx="5014595" cy="2712085"/>
            <wp:effectExtent l="0" t="0" r="14605" b="5715"/>
            <wp:docPr id="40" name="图片 40" descr="Fig.S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Fig.S35"/>
                    <pic:cNvPicPr>
                      <a:picLocks noChangeAspect="1"/>
                    </pic:cNvPicPr>
                  </pic:nvPicPr>
                  <pic:blipFill>
                    <a:blip r:embed="rId34"/>
                    <a:srcRect l="2014" t="6636" r="2773" b="57668"/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271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 xml:space="preserve">Fig.S35. 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>Pearson’s correlation coefficients, reporting the organelle co-localization strength within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A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>) normal chondrocytes,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B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>) TNF-α induced OA model, (</w:t>
      </w:r>
      <w:r>
        <w:rPr>
          <w:rFonts w:hint="default" w:ascii="Times New Roman Bold" w:hAnsi="Times New Roman Bold" w:cs="Times New Roman Bold"/>
          <w:b/>
          <w:bCs/>
          <w:i w:val="0"/>
          <w:iCs w:val="0"/>
          <w:sz w:val="20"/>
          <w:szCs w:val="22"/>
          <w:lang w:eastAsia="zh-Hans"/>
        </w:rPr>
        <w:t>C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) </w:t>
      </w:r>
      <w:r>
        <w:rPr>
          <w:rFonts w:hint="default" w:ascii="Times New Roman Italic" w:hAnsi="Times New Roman Italic" w:cs="Times New Roman Italic"/>
          <w:b w:val="0"/>
          <w:bCs w:val="0"/>
          <w:i/>
          <w:iCs/>
          <w:sz w:val="20"/>
          <w:szCs w:val="22"/>
          <w:lang w:eastAsia="zh-Hans"/>
        </w:rPr>
        <w:t>SP1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 KO chondrocytes under OA simulation,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D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) </w:t>
      </w:r>
      <w:r>
        <w:rPr>
          <w:rFonts w:hint="default" w:ascii="Times New Roman Italic" w:hAnsi="Times New Roman Italic" w:cs="Times New Roman Italic"/>
          <w:b w:val="0"/>
          <w:bCs w:val="0"/>
          <w:i/>
          <w:iCs/>
          <w:sz w:val="20"/>
          <w:szCs w:val="22"/>
          <w:lang w:eastAsia="zh-Hans"/>
        </w:rPr>
        <w:t>eEF2K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 KO chondrocytes under OA simulation,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E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>)</w:t>
      </w:r>
      <w:r>
        <w:rPr>
          <w:rFonts w:hint="default" w:ascii="Times New Roman Italic" w:hAnsi="Times New Roman Italic" w:cs="Times New Roman Italic"/>
          <w:b w:val="0"/>
          <w:bCs w:val="0"/>
          <w:i/>
          <w:iCs/>
          <w:sz w:val="20"/>
          <w:szCs w:val="22"/>
          <w:lang w:eastAsia="zh-Hans"/>
        </w:rPr>
        <w:t xml:space="preserve"> eEF2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 KO chondrocytes under OA simulation and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F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) </w:t>
      </w:r>
      <w:r>
        <w:rPr>
          <w:rFonts w:hint="default" w:ascii="Times New Roman Italic" w:hAnsi="Times New Roman Italic" w:cs="Times New Roman Italic"/>
          <w:b w:val="0"/>
          <w:bCs w:val="0"/>
          <w:i/>
          <w:iCs/>
          <w:sz w:val="20"/>
          <w:szCs w:val="22"/>
          <w:lang w:eastAsia="zh-Hans"/>
        </w:rPr>
        <w:t>SPP1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 KO chondrocytes under OA simulation. Data were repeated for three times (n = 3) and presented as mean ± SD. Statistical significance was calculated using one-way ANOVA. * </w:t>
      </w:r>
      <w:r>
        <w:rPr>
          <w:rFonts w:hint="default" w:ascii="Times New Roman Italic" w:hAnsi="Times New Roman Italic" w:cs="Times New Roman Italic"/>
          <w:b w:val="0"/>
          <w:bCs w:val="0"/>
          <w:i/>
          <w:iCs/>
          <w:sz w:val="20"/>
          <w:szCs w:val="22"/>
          <w:lang w:eastAsia="zh-Hans"/>
        </w:rPr>
        <w:t>p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 &lt; 0.05, ** </w:t>
      </w:r>
      <w:r>
        <w:rPr>
          <w:rFonts w:hint="default" w:ascii="Times New Roman Italic" w:hAnsi="Times New Roman Italic" w:cs="Times New Roman Italic"/>
          <w:b w:val="0"/>
          <w:bCs w:val="0"/>
          <w:i/>
          <w:iCs/>
          <w:sz w:val="20"/>
          <w:szCs w:val="22"/>
          <w:lang w:eastAsia="zh-Hans"/>
        </w:rPr>
        <w:t>p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 &lt; 0.01, *** </w:t>
      </w:r>
      <w:r>
        <w:rPr>
          <w:rFonts w:hint="default" w:ascii="Times New Roman Italic" w:hAnsi="Times New Roman Italic" w:cs="Times New Roman Italic"/>
          <w:b w:val="0"/>
          <w:bCs w:val="0"/>
          <w:i/>
          <w:iCs/>
          <w:sz w:val="20"/>
          <w:szCs w:val="22"/>
          <w:lang w:eastAsia="zh-Hans"/>
        </w:rPr>
        <w:t xml:space="preserve">p 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>&lt; 0.001, and ns represented no significant difference.</w:t>
      </w: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  <w:t>Fig.S36.</w:t>
      </w:r>
    </w:p>
    <w:p>
      <w:pPr>
        <w:jc w:val="center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drawing>
          <wp:inline distT="0" distB="0" distL="114300" distR="114300">
            <wp:extent cx="3599815" cy="5165725"/>
            <wp:effectExtent l="0" t="0" r="6985" b="15875"/>
            <wp:docPr id="42" name="图片 42" descr="Fig.S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Fig.S36"/>
                    <pic:cNvPicPr>
                      <a:picLocks noChangeAspect="1"/>
                    </pic:cNvPicPr>
                  </pic:nvPicPr>
                  <pic:blipFill>
                    <a:blip r:embed="rId35"/>
                    <a:srcRect l="9477" t="5951" r="18941" b="22842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516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Times New Roman Bold" w:hAnsi="Times New Roman Bold" w:cs="Times New Roman Bold"/>
          <w:b/>
          <w:bCs/>
          <w:sz w:val="20"/>
          <w:szCs w:val="22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</w:rPr>
        <w:t xml:space="preserve">Fig.S36. </w:t>
      </w:r>
      <w:r>
        <w:rPr>
          <w:rFonts w:hint="eastAsia" w:ascii="Times New Roman Bold" w:hAnsi="Times New Roman Bold" w:cs="Times New Roman Bold"/>
          <w:b/>
          <w:bCs/>
          <w:sz w:val="20"/>
          <w:szCs w:val="22"/>
          <w:lang w:val="en-US" w:eastAsia="zh-Hans"/>
        </w:rPr>
        <w:t>Ori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ginal western blot membrane of cells treated with different treatments.</w:t>
      </w: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  <w:bookmarkStart w:id="0" w:name="_GoBack"/>
      <w:bookmarkEnd w:id="0"/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  <w:t>Fig.S37.</w:t>
      </w:r>
    </w:p>
    <w:p>
      <w:pPr>
        <w:jc w:val="center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drawing>
          <wp:inline distT="0" distB="0" distL="114300" distR="114300">
            <wp:extent cx="3239770" cy="6391275"/>
            <wp:effectExtent l="0" t="0" r="11430" b="9525"/>
            <wp:docPr id="47" name="图片 47" descr="Fig.S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Fig.S37"/>
                    <pic:cNvPicPr>
                      <a:picLocks noChangeAspect="1"/>
                    </pic:cNvPicPr>
                  </pic:nvPicPr>
                  <pic:blipFill>
                    <a:blip r:embed="rId36"/>
                    <a:srcRect l="15903" t="4288" r="17048" b="4028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639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 xml:space="preserve">Fig.S37. Mendelian randomization (MR) analysis eEF2K and eEF2 with tissue degeneration risk at the population level. 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>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A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) Two-sample MR analysis of genetically predicted </w:t>
      </w:r>
      <w:r>
        <w:rPr>
          <w:rFonts w:hint="default" w:ascii="Times New Roman Italic" w:hAnsi="Times New Roman Italic" w:cs="Times New Roman Italic"/>
          <w:b w:val="0"/>
          <w:bCs w:val="0"/>
          <w:i/>
          <w:iCs/>
          <w:sz w:val="20"/>
          <w:szCs w:val="22"/>
          <w:lang w:eastAsia="zh-Hans"/>
        </w:rPr>
        <w:t>eEF2K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 mRNA expression in OA.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B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) </w:t>
      </w:r>
      <w:r>
        <w:rPr>
          <w:rFonts w:ascii="Times New Roman" w:hAnsi="Times New Roman" w:cs="Times New Roman"/>
          <w:sz w:val="20"/>
          <w:szCs w:val="20"/>
          <w:lang w:eastAsia="zh-Hans"/>
        </w:rPr>
        <w:t xml:space="preserve">Two-sample MR analysis of genetically predicted </w:t>
      </w:r>
      <w:r>
        <w:rPr>
          <w:rFonts w:hint="default" w:ascii="Times New Roman Italic" w:hAnsi="Times New Roman Italic" w:cs="Times New Roman Italic"/>
          <w:i/>
          <w:iCs/>
          <w:sz w:val="20"/>
          <w:szCs w:val="20"/>
          <w:lang w:eastAsia="zh-Hans"/>
        </w:rPr>
        <w:t>eEF2</w:t>
      </w:r>
      <w:r>
        <w:rPr>
          <w:rFonts w:ascii="Times New Roman" w:hAnsi="Times New Roman" w:cs="Times New Roman"/>
          <w:sz w:val="20"/>
          <w:szCs w:val="20"/>
          <w:lang w:eastAsia="zh-Hans"/>
        </w:rPr>
        <w:t xml:space="preserve"> mRNA expression in OA</w:t>
      </w:r>
      <w:r>
        <w:rPr>
          <w:rFonts w:hint="default" w:ascii="Times New Roman" w:hAnsi="Times New Roman" w:cs="Times New Roman"/>
          <w:sz w:val="20"/>
          <w:szCs w:val="20"/>
          <w:lang w:eastAsia="zh-Hans"/>
        </w:rPr>
        <w:t>.</w:t>
      </w: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p>
      <w:pPr>
        <w:jc w:val="both"/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4"/>
          <w:szCs w:val="32"/>
          <w:lang w:eastAsia="zh-Hans"/>
        </w:rPr>
        <w:t>Fig.S38.</w:t>
      </w:r>
    </w:p>
    <w:p>
      <w:pPr>
        <w:jc w:val="center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drawing>
          <wp:inline distT="0" distB="0" distL="114300" distR="114300">
            <wp:extent cx="3239770" cy="6508750"/>
            <wp:effectExtent l="0" t="0" r="11430" b="19050"/>
            <wp:docPr id="46" name="图片 46" descr="Fig.S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Fig.S38"/>
                    <pic:cNvPicPr>
                      <a:picLocks noChangeAspect="1"/>
                    </pic:cNvPicPr>
                  </pic:nvPicPr>
                  <pic:blipFill>
                    <a:blip r:embed="rId37"/>
                    <a:srcRect l="17048" t="7346" r="18809" b="3326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650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 xml:space="preserve">Fig.S38. Mendelian randomization (MR) analysis </w:t>
      </w:r>
      <w:r>
        <w:rPr>
          <w:rFonts w:hint="default" w:ascii="Times New Roman Bold Italic" w:hAnsi="Times New Roman Bold Italic" w:cs="Times New Roman Bold Italic"/>
          <w:b/>
          <w:bCs/>
          <w:i/>
          <w:iCs/>
          <w:sz w:val="20"/>
          <w:szCs w:val="22"/>
          <w:lang w:eastAsia="zh-Hans"/>
        </w:rPr>
        <w:t>LB3B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 xml:space="preserve"> and </w:t>
      </w:r>
      <w:r>
        <w:rPr>
          <w:rFonts w:hint="default" w:ascii="Times New Roman Bold Italic" w:hAnsi="Times New Roman Bold Italic" w:cs="Times New Roman Bold Italic"/>
          <w:b/>
          <w:bCs/>
          <w:i/>
          <w:iCs/>
          <w:sz w:val="20"/>
          <w:szCs w:val="22"/>
          <w:lang w:eastAsia="zh-Hans"/>
        </w:rPr>
        <w:t>SOX9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 xml:space="preserve"> with tissue degeneration risk at the population level. 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>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A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) Two-sample MR analysis of genetically predicted </w:t>
      </w:r>
      <w:r>
        <w:rPr>
          <w:rFonts w:hint="default" w:ascii="Times New Roman Italic" w:hAnsi="Times New Roman Italic" w:cs="Times New Roman Italic"/>
          <w:b w:val="0"/>
          <w:bCs w:val="0"/>
          <w:i/>
          <w:iCs/>
          <w:sz w:val="20"/>
          <w:szCs w:val="22"/>
          <w:lang w:eastAsia="zh-Hans"/>
        </w:rPr>
        <w:t>LC3B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 mRNA expression in OA. (</w:t>
      </w:r>
      <w:r>
        <w:rPr>
          <w:rFonts w:hint="default" w:ascii="Times New Roman Bold" w:hAnsi="Times New Roman Bold" w:cs="Times New Roman Bold"/>
          <w:b/>
          <w:bCs/>
          <w:sz w:val="20"/>
          <w:szCs w:val="22"/>
          <w:lang w:eastAsia="zh-Hans"/>
        </w:rPr>
        <w:t>B</w:t>
      </w:r>
      <w:r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  <w:t xml:space="preserve">) </w:t>
      </w:r>
      <w:r>
        <w:rPr>
          <w:rFonts w:ascii="Times New Roman" w:hAnsi="Times New Roman" w:cs="Times New Roman"/>
          <w:sz w:val="20"/>
          <w:szCs w:val="20"/>
          <w:lang w:eastAsia="zh-Hans"/>
        </w:rPr>
        <w:t xml:space="preserve">Two-sample MR analysis of genetically predicted </w:t>
      </w:r>
      <w:r>
        <w:rPr>
          <w:rFonts w:hint="default" w:ascii="Times New Roman Italic" w:hAnsi="Times New Roman Italic" w:cs="Times New Roman Italic"/>
          <w:i/>
          <w:iCs/>
          <w:sz w:val="20"/>
          <w:szCs w:val="20"/>
          <w:lang w:eastAsia="zh-Hans"/>
        </w:rPr>
        <w:t>SOX9</w:t>
      </w:r>
      <w:r>
        <w:rPr>
          <w:rFonts w:ascii="Times New Roman" w:hAnsi="Times New Roman" w:cs="Times New Roman"/>
          <w:sz w:val="20"/>
          <w:szCs w:val="20"/>
          <w:lang w:eastAsia="zh-Hans"/>
        </w:rPr>
        <w:t xml:space="preserve"> mRNA expression in OA</w:t>
      </w:r>
      <w:r>
        <w:rPr>
          <w:rFonts w:hint="default" w:ascii="Times New Roman" w:hAnsi="Times New Roman" w:cs="Times New Roman"/>
          <w:sz w:val="20"/>
          <w:szCs w:val="20"/>
          <w:lang w:eastAsia="zh-Hans"/>
        </w:rPr>
        <w:t>.</w:t>
      </w:r>
    </w:p>
    <w:p>
      <w:pPr>
        <w:jc w:val="both"/>
        <w:rPr>
          <w:rFonts w:hint="default" w:ascii="Times New Roman" w:hAnsi="Times New Roman" w:cs="Times New Roman"/>
          <w:b w:val="0"/>
          <w:bCs w:val="0"/>
          <w:sz w:val="20"/>
          <w:szCs w:val="22"/>
          <w:lang w:eastAsia="zh-Hans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Times New Roman Bold">
    <w:panose1 w:val="02020603050405020304"/>
    <w:charset w:val="00"/>
    <w:family w:val="roman"/>
    <w:pitch w:val="default"/>
    <w:sig w:usb0="00000000" w:usb1="00000000" w:usb2="00000000" w:usb3="00000000" w:csb0="00000000" w:csb1="00000000"/>
  </w:font>
  <w:font w:name="Times New Roman Regular">
    <w:panose1 w:val="02020603050405020304"/>
    <w:charset w:val="00"/>
    <w:family w:val="auto"/>
    <w:pitch w:val="default"/>
    <w:sig w:usb0="00000000" w:usb1="00000000" w:usb2="00000000" w:usb3="00000000" w:csb0="00000000" w:csb1="00000000"/>
  </w:font>
  <w:font w:name="Times New Roman Bold Italic">
    <w:panose1 w:val="02020603050405020304"/>
    <w:charset w:val="00"/>
    <w:family w:val="auto"/>
    <w:pitch w:val="default"/>
    <w:sig w:usb0="00000000" w:usb1="00000000" w:usb2="00000000" w:usb3="00000000" w:csb0="00000000" w:csb1="00000000"/>
  </w:font>
  <w:font w:name="Times New Roman Italic">
    <w:panose1 w:val="02020603050405020304"/>
    <w:charset w:val="00"/>
    <w:family w:val="auto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  <w:font w:name="Arial Unicode MS">
    <w:panose1 w:val="020B0604020202020204"/>
    <w:charset w:val="86"/>
    <w:family w:val="auto"/>
    <w:pitch w:val="default"/>
    <w:sig w:usb0="00000000" w:usb1="00000000" w:usb2="00000000" w:usb3="00000000" w:csb0="003E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2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FF712A4"/>
    <w:rsid w:val="15CF918A"/>
    <w:rsid w:val="6FF712A4"/>
    <w:rsid w:val="6FFCFBA5"/>
    <w:rsid w:val="7A7A67C2"/>
    <w:rsid w:val="7BFFB360"/>
    <w:rsid w:val="7FD35900"/>
    <w:rsid w:val="FBBEAF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8" Type="http://schemas.openxmlformats.org/officeDocument/2006/relationships/image" Target="media/image5.tiff"/><Relationship Id="rId7" Type="http://schemas.openxmlformats.org/officeDocument/2006/relationships/image" Target="media/image4.tiff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8" Type="http://schemas.openxmlformats.org/officeDocument/2006/relationships/fontTable" Target="fontTable.xml"/><Relationship Id="rId37" Type="http://schemas.openxmlformats.org/officeDocument/2006/relationships/image" Target="media/image34.tiff"/><Relationship Id="rId36" Type="http://schemas.openxmlformats.org/officeDocument/2006/relationships/image" Target="media/image33.tiff"/><Relationship Id="rId35" Type="http://schemas.openxmlformats.org/officeDocument/2006/relationships/image" Target="media/image32.tiff"/><Relationship Id="rId34" Type="http://schemas.openxmlformats.org/officeDocument/2006/relationships/image" Target="media/image31.tiff"/><Relationship Id="rId33" Type="http://schemas.openxmlformats.org/officeDocument/2006/relationships/image" Target="media/image30.tiff"/><Relationship Id="rId32" Type="http://schemas.openxmlformats.org/officeDocument/2006/relationships/image" Target="media/image29.tiff"/><Relationship Id="rId31" Type="http://schemas.openxmlformats.org/officeDocument/2006/relationships/image" Target="media/image28.tiff"/><Relationship Id="rId30" Type="http://schemas.openxmlformats.org/officeDocument/2006/relationships/image" Target="media/image27.tiff"/><Relationship Id="rId3" Type="http://schemas.openxmlformats.org/officeDocument/2006/relationships/theme" Target="theme/theme1.xml"/><Relationship Id="rId29" Type="http://schemas.openxmlformats.org/officeDocument/2006/relationships/image" Target="media/image26.tiff"/><Relationship Id="rId28" Type="http://schemas.openxmlformats.org/officeDocument/2006/relationships/image" Target="media/image25.tiff"/><Relationship Id="rId27" Type="http://schemas.openxmlformats.org/officeDocument/2006/relationships/image" Target="media/image24.tiff"/><Relationship Id="rId26" Type="http://schemas.openxmlformats.org/officeDocument/2006/relationships/image" Target="media/image23.tiff"/><Relationship Id="rId25" Type="http://schemas.openxmlformats.org/officeDocument/2006/relationships/image" Target="media/image22.tiff"/><Relationship Id="rId24" Type="http://schemas.openxmlformats.org/officeDocument/2006/relationships/image" Target="media/image21.tiff"/><Relationship Id="rId23" Type="http://schemas.openxmlformats.org/officeDocument/2006/relationships/image" Target="media/image20.tiff"/><Relationship Id="rId22" Type="http://schemas.openxmlformats.org/officeDocument/2006/relationships/image" Target="media/image19.tiff"/><Relationship Id="rId21" Type="http://schemas.openxmlformats.org/officeDocument/2006/relationships/image" Target="media/image18.tiff"/><Relationship Id="rId20" Type="http://schemas.openxmlformats.org/officeDocument/2006/relationships/image" Target="media/image17.tiff"/><Relationship Id="rId2" Type="http://schemas.openxmlformats.org/officeDocument/2006/relationships/settings" Target="settings.xml"/><Relationship Id="rId19" Type="http://schemas.openxmlformats.org/officeDocument/2006/relationships/image" Target="media/image16.tiff"/><Relationship Id="rId18" Type="http://schemas.openxmlformats.org/officeDocument/2006/relationships/image" Target="media/image15.tiff"/><Relationship Id="rId17" Type="http://schemas.openxmlformats.org/officeDocument/2006/relationships/image" Target="media/image14.tiff"/><Relationship Id="rId16" Type="http://schemas.openxmlformats.org/officeDocument/2006/relationships/image" Target="media/image13.tiff"/><Relationship Id="rId15" Type="http://schemas.openxmlformats.org/officeDocument/2006/relationships/image" Target="media/image12.tiff"/><Relationship Id="rId14" Type="http://schemas.openxmlformats.org/officeDocument/2006/relationships/image" Target="media/image11.tiff"/><Relationship Id="rId13" Type="http://schemas.openxmlformats.org/officeDocument/2006/relationships/image" Target="media/image10.tiff"/><Relationship Id="rId12" Type="http://schemas.openxmlformats.org/officeDocument/2006/relationships/image" Target="media/image9.tiff"/><Relationship Id="rId11" Type="http://schemas.openxmlformats.org/officeDocument/2006/relationships/image" Target="media/image8.tiff"/><Relationship Id="rId10" Type="http://schemas.openxmlformats.org/officeDocument/2006/relationships/image" Target="media/image7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Office_5.5.0.7954_F1E327BC-269C-435d-A152-05C5408002CA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2026-03-16T04:24:00Z</dcterms:created>
  <dc:creator>dada</dc:creator>
  <cp:lastModifiedBy>dada</cp:lastModifiedBy>
  <dcterms:modified xsi:type="dcterms:W3CDTF">2026-03-29T23:55:02Z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2052-5.5.0.7954</vt:lpwstr>
  </property>
  <property fmtid="{D5CDD505-2E9C-101B-9397-08002B2CF9AE}" pid="3" name="ICV">
    <vt:lpwstr>56DC50F5551FBD5C0BA5B669E1555D74_41</vt:lpwstr>
  </property>
</Properties>
</file>