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E28011">
      <w:pPr>
        <w:jc w:val="center"/>
        <w:rPr>
          <w:rFonts w:hint="default" w:ascii="Times New Roman" w:hAnsi="Times New Roman" w:cs="Times New Roman"/>
          <w:b/>
          <w:bCs/>
          <w:color w:val="auto"/>
          <w:sz w:val="28"/>
          <w:szCs w:val="28"/>
          <w:highlight w:val="none"/>
          <w:lang w:val="en-US" w:eastAsia="zh-CN"/>
        </w:rPr>
      </w:pPr>
      <w:r>
        <w:rPr>
          <w:rFonts w:hint="default" w:ascii="Times New Roman" w:hAnsi="Times New Roman" w:cs="Times New Roman"/>
          <w:b/>
          <w:bCs/>
          <w:color w:val="auto"/>
          <w:sz w:val="28"/>
          <w:szCs w:val="28"/>
          <w:highlight w:val="none"/>
          <w:lang w:val="en-US" w:eastAsia="zh-CN"/>
        </w:rPr>
        <w:t>Appendi</w:t>
      </w:r>
      <w:r>
        <w:rPr>
          <w:rFonts w:hint="eastAsia" w:ascii="Times New Roman" w:hAnsi="Times New Roman" w:cs="Times New Roman"/>
          <w:b/>
          <w:bCs/>
          <w:color w:val="auto"/>
          <w:sz w:val="28"/>
          <w:szCs w:val="28"/>
          <w:highlight w:val="none"/>
          <w:lang w:val="en-US" w:eastAsia="zh-CN"/>
        </w:rPr>
        <w:t>ces</w:t>
      </w:r>
    </w:p>
    <w:p w14:paraId="02EDD96E">
      <w:pPr>
        <w:rPr>
          <w:rFonts w:hint="default" w:ascii="Times New Roman" w:hAnsi="Times New Roman" w:cs="Times New Roman"/>
          <w:color w:val="auto"/>
          <w:sz w:val="21"/>
          <w:szCs w:val="21"/>
          <w:highlight w:val="none"/>
          <w:lang w:val="en-US" w:eastAsia="zh-CN"/>
        </w:rPr>
      </w:pPr>
    </w:p>
    <w:p w14:paraId="212059BB">
      <w:pPr>
        <w:keepNext w:val="0"/>
        <w:keepLines w:val="0"/>
        <w:pageBreakBefore w:val="0"/>
        <w:widowControl w:val="0"/>
        <w:kinsoku/>
        <w:wordWrap/>
        <w:overflowPunct/>
        <w:topLinePunct w:val="0"/>
        <w:autoSpaceDE w:val="0"/>
        <w:autoSpaceDN w:val="0"/>
        <w:bidi w:val="0"/>
        <w:adjustRightInd w:val="0"/>
        <w:snapToGrid/>
        <w:spacing w:line="240" w:lineRule="auto"/>
        <w:textAlignment w:val="auto"/>
        <w:rPr>
          <w:rFonts w:hint="default" w:ascii="Times New Roman" w:hAnsi="Times New Roman" w:cs="Times New Roman"/>
          <w:b/>
          <w:color w:val="auto"/>
          <w:kern w:val="0"/>
          <w:sz w:val="21"/>
          <w:szCs w:val="21"/>
          <w:highlight w:val="none"/>
        </w:rPr>
      </w:pPr>
      <w:r>
        <w:rPr>
          <w:rFonts w:hint="default" w:ascii="Times New Roman" w:hAnsi="Times New Roman" w:cs="Times New Roman"/>
          <w:b/>
          <w:color w:val="auto"/>
          <w:kern w:val="0"/>
          <w:sz w:val="21"/>
          <w:szCs w:val="21"/>
          <w:highlight w:val="none"/>
          <w:lang w:val="en-US" w:eastAsia="zh-CN"/>
        </w:rPr>
        <w:t>Appendix</w:t>
      </w:r>
      <w:r>
        <w:rPr>
          <w:rFonts w:hint="default" w:ascii="Times New Roman" w:hAnsi="Times New Roman" w:cs="Times New Roman"/>
          <w:b/>
          <w:color w:val="auto"/>
          <w:kern w:val="0"/>
          <w:sz w:val="21"/>
          <w:szCs w:val="21"/>
          <w:highlight w:val="none"/>
        </w:rPr>
        <w:t xml:space="preserve"> 1 </w:t>
      </w:r>
      <w:r>
        <w:rPr>
          <w:rFonts w:hint="default" w:ascii="Times New Roman" w:hAnsi="Times New Roman" w:cs="Times New Roman"/>
          <w:bCs/>
          <w:color w:val="auto"/>
          <w:kern w:val="0"/>
          <w:sz w:val="21"/>
          <w:szCs w:val="21"/>
          <w:highlight w:val="none"/>
        </w:rPr>
        <w:t xml:space="preserve">Sample </w:t>
      </w:r>
      <w:r>
        <w:rPr>
          <w:rFonts w:hint="eastAsia" w:ascii="Times New Roman" w:hAnsi="Times New Roman" w:cs="Times New Roman"/>
          <w:bCs/>
          <w:color w:val="auto"/>
          <w:kern w:val="0"/>
          <w:sz w:val="21"/>
          <w:szCs w:val="21"/>
          <w:highlight w:val="none"/>
          <w:lang w:val="en-US" w:eastAsia="zh-CN"/>
        </w:rPr>
        <w:t>d</w:t>
      </w:r>
      <w:r>
        <w:rPr>
          <w:rFonts w:hint="default" w:ascii="Times New Roman" w:hAnsi="Times New Roman" w:cs="Times New Roman"/>
          <w:bCs/>
          <w:color w:val="auto"/>
          <w:kern w:val="0"/>
          <w:sz w:val="21"/>
          <w:szCs w:val="21"/>
          <w:highlight w:val="none"/>
        </w:rPr>
        <w:t xml:space="preserve">escriptive </w:t>
      </w:r>
      <w:r>
        <w:rPr>
          <w:rFonts w:hint="eastAsia" w:ascii="Times New Roman" w:hAnsi="Times New Roman" w:cs="Times New Roman"/>
          <w:bCs/>
          <w:color w:val="auto"/>
          <w:kern w:val="0"/>
          <w:sz w:val="21"/>
          <w:szCs w:val="21"/>
          <w:highlight w:val="none"/>
          <w:lang w:val="en-US" w:eastAsia="zh-CN"/>
        </w:rPr>
        <w:t>s</w:t>
      </w:r>
      <w:r>
        <w:rPr>
          <w:rFonts w:hint="default" w:ascii="Times New Roman" w:hAnsi="Times New Roman" w:cs="Times New Roman"/>
          <w:bCs/>
          <w:color w:val="auto"/>
          <w:kern w:val="0"/>
          <w:sz w:val="21"/>
          <w:szCs w:val="21"/>
          <w:highlight w:val="none"/>
        </w:rPr>
        <w:t>tatistics</w:t>
      </w:r>
    </w:p>
    <w:tbl>
      <w:tblPr>
        <w:tblStyle w:val="5"/>
        <w:tblW w:w="0" w:type="auto"/>
        <w:tblInd w:w="-7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281"/>
        <w:gridCol w:w="3444"/>
        <w:gridCol w:w="1205"/>
        <w:gridCol w:w="1534"/>
      </w:tblGrid>
      <w:tr w14:paraId="6F2611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81" w:type="dxa"/>
            <w:tcBorders>
              <w:left w:val="nil"/>
              <w:right w:val="nil"/>
            </w:tcBorders>
            <w:noWrap w:val="0"/>
            <w:vAlign w:val="center"/>
          </w:tcPr>
          <w:p w14:paraId="31A6D1D3">
            <w:pPr>
              <w:autoSpaceDE w:val="0"/>
              <w:autoSpaceDN w:val="0"/>
              <w:adjustRightInd w:val="0"/>
              <w:spacing w:line="240" w:lineRule="auto"/>
              <w:jc w:val="left"/>
              <w:rPr>
                <w:rFonts w:hint="default" w:ascii="Times New Roman" w:hAnsi="Times New Roman" w:cs="Times New Roman"/>
                <w:b w:val="0"/>
                <w:bCs w:val="0"/>
                <w:color w:val="auto"/>
                <w:kern w:val="0"/>
                <w:sz w:val="21"/>
                <w:szCs w:val="21"/>
                <w:highlight w:val="none"/>
              </w:rPr>
            </w:pPr>
            <w:r>
              <w:rPr>
                <w:rFonts w:hint="default" w:ascii="Times New Roman" w:hAnsi="Times New Roman" w:cs="Times New Roman"/>
                <w:b w:val="0"/>
                <w:bCs w:val="0"/>
                <w:color w:val="auto"/>
                <w:kern w:val="0"/>
                <w:sz w:val="21"/>
                <w:szCs w:val="21"/>
                <w:highlight w:val="none"/>
              </w:rPr>
              <w:t>Sociometric Variables</w:t>
            </w:r>
          </w:p>
        </w:tc>
        <w:tc>
          <w:tcPr>
            <w:tcW w:w="3444" w:type="dxa"/>
            <w:tcBorders>
              <w:left w:val="nil"/>
              <w:right w:val="nil"/>
            </w:tcBorders>
            <w:noWrap w:val="0"/>
            <w:vAlign w:val="center"/>
          </w:tcPr>
          <w:p w14:paraId="1C1E7248">
            <w:pPr>
              <w:autoSpaceDE w:val="0"/>
              <w:autoSpaceDN w:val="0"/>
              <w:adjustRightInd w:val="0"/>
              <w:spacing w:line="240" w:lineRule="auto"/>
              <w:jc w:val="left"/>
              <w:rPr>
                <w:rFonts w:hint="default" w:ascii="Times New Roman" w:hAnsi="Times New Roman" w:cs="Times New Roman"/>
                <w:b w:val="0"/>
                <w:bCs w:val="0"/>
                <w:color w:val="auto"/>
                <w:kern w:val="0"/>
                <w:sz w:val="21"/>
                <w:szCs w:val="21"/>
                <w:highlight w:val="none"/>
              </w:rPr>
            </w:pPr>
            <w:r>
              <w:rPr>
                <w:rFonts w:hint="default" w:ascii="Times New Roman" w:hAnsi="Times New Roman" w:cs="Times New Roman"/>
                <w:b w:val="0"/>
                <w:bCs w:val="0"/>
                <w:color w:val="auto"/>
                <w:kern w:val="0"/>
                <w:sz w:val="21"/>
                <w:szCs w:val="21"/>
                <w:highlight w:val="none"/>
              </w:rPr>
              <w:t>Project</w:t>
            </w:r>
          </w:p>
        </w:tc>
        <w:tc>
          <w:tcPr>
            <w:tcW w:w="1205" w:type="dxa"/>
            <w:tcBorders>
              <w:left w:val="nil"/>
              <w:right w:val="nil"/>
            </w:tcBorders>
            <w:noWrap w:val="0"/>
            <w:vAlign w:val="center"/>
          </w:tcPr>
          <w:p w14:paraId="33897C4D">
            <w:pPr>
              <w:autoSpaceDE w:val="0"/>
              <w:autoSpaceDN w:val="0"/>
              <w:adjustRightInd w:val="0"/>
              <w:spacing w:line="240" w:lineRule="auto"/>
              <w:jc w:val="left"/>
              <w:rPr>
                <w:rFonts w:hint="default" w:ascii="Times New Roman" w:hAnsi="Times New Roman" w:cs="Times New Roman"/>
                <w:b w:val="0"/>
                <w:bCs w:val="0"/>
                <w:color w:val="auto"/>
                <w:kern w:val="0"/>
                <w:sz w:val="21"/>
                <w:szCs w:val="21"/>
                <w:highlight w:val="none"/>
              </w:rPr>
            </w:pPr>
            <w:r>
              <w:rPr>
                <w:rFonts w:hint="default" w:ascii="Times New Roman" w:hAnsi="Times New Roman" w:cs="Times New Roman"/>
                <w:b w:val="0"/>
                <w:bCs w:val="0"/>
                <w:color w:val="auto"/>
                <w:kern w:val="0"/>
                <w:sz w:val="21"/>
                <w:szCs w:val="21"/>
                <w:highlight w:val="none"/>
              </w:rPr>
              <w:t>N</w:t>
            </w:r>
          </w:p>
        </w:tc>
        <w:tc>
          <w:tcPr>
            <w:tcW w:w="1534" w:type="dxa"/>
            <w:tcBorders>
              <w:left w:val="nil"/>
              <w:right w:val="nil"/>
            </w:tcBorders>
            <w:noWrap w:val="0"/>
            <w:vAlign w:val="center"/>
          </w:tcPr>
          <w:p w14:paraId="18ED1186">
            <w:pPr>
              <w:autoSpaceDE w:val="0"/>
              <w:autoSpaceDN w:val="0"/>
              <w:adjustRightInd w:val="0"/>
              <w:spacing w:line="240" w:lineRule="auto"/>
              <w:jc w:val="left"/>
              <w:rPr>
                <w:rFonts w:hint="default" w:ascii="Times New Roman" w:hAnsi="Times New Roman" w:cs="Times New Roman"/>
                <w:b w:val="0"/>
                <w:bCs w:val="0"/>
                <w:color w:val="auto"/>
                <w:kern w:val="0"/>
                <w:sz w:val="21"/>
                <w:szCs w:val="21"/>
                <w:highlight w:val="none"/>
              </w:rPr>
            </w:pPr>
            <w:r>
              <w:rPr>
                <w:rFonts w:hint="default" w:ascii="Times New Roman" w:hAnsi="Times New Roman" w:cs="Times New Roman"/>
                <w:b w:val="0"/>
                <w:bCs w:val="0"/>
                <w:color w:val="auto"/>
                <w:kern w:val="0"/>
                <w:sz w:val="21"/>
                <w:szCs w:val="21"/>
                <w:highlight w:val="none"/>
              </w:rPr>
              <w:t>Percentage (%)</w:t>
            </w:r>
          </w:p>
        </w:tc>
      </w:tr>
      <w:tr w14:paraId="7E2655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81" w:type="dxa"/>
            <w:vMerge w:val="restart"/>
            <w:tcBorders>
              <w:left w:val="nil"/>
              <w:bottom w:val="nil"/>
              <w:right w:val="nil"/>
            </w:tcBorders>
            <w:noWrap w:val="0"/>
            <w:vAlign w:val="center"/>
          </w:tcPr>
          <w:p w14:paraId="6FCC5CB2">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Gender</w:t>
            </w:r>
          </w:p>
          <w:p w14:paraId="60541691">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(N=1132)</w:t>
            </w:r>
          </w:p>
        </w:tc>
        <w:tc>
          <w:tcPr>
            <w:tcW w:w="3444" w:type="dxa"/>
            <w:tcBorders>
              <w:left w:val="nil"/>
              <w:bottom w:val="nil"/>
              <w:right w:val="nil"/>
            </w:tcBorders>
            <w:noWrap w:val="0"/>
            <w:vAlign w:val="center"/>
          </w:tcPr>
          <w:p w14:paraId="6FC2BC40">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Male</w:t>
            </w:r>
          </w:p>
        </w:tc>
        <w:tc>
          <w:tcPr>
            <w:tcW w:w="1205" w:type="dxa"/>
            <w:tcBorders>
              <w:left w:val="nil"/>
              <w:bottom w:val="nil"/>
              <w:right w:val="nil"/>
            </w:tcBorders>
            <w:noWrap w:val="0"/>
            <w:vAlign w:val="center"/>
          </w:tcPr>
          <w:p w14:paraId="565B4622">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56</w:t>
            </w:r>
          </w:p>
        </w:tc>
        <w:tc>
          <w:tcPr>
            <w:tcW w:w="1534" w:type="dxa"/>
            <w:tcBorders>
              <w:left w:val="nil"/>
              <w:bottom w:val="nil"/>
              <w:right w:val="nil"/>
            </w:tcBorders>
            <w:noWrap w:val="0"/>
            <w:vAlign w:val="center"/>
          </w:tcPr>
          <w:p w14:paraId="35C3CA32">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4.95</w:t>
            </w:r>
          </w:p>
        </w:tc>
      </w:tr>
      <w:tr w14:paraId="3DBB81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81" w:type="dxa"/>
            <w:vMerge w:val="continue"/>
            <w:tcBorders>
              <w:top w:val="nil"/>
              <w:left w:val="nil"/>
              <w:right w:val="nil"/>
            </w:tcBorders>
            <w:noWrap w:val="0"/>
            <w:vAlign w:val="center"/>
          </w:tcPr>
          <w:p w14:paraId="7F032410">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p>
        </w:tc>
        <w:tc>
          <w:tcPr>
            <w:tcW w:w="3444" w:type="dxa"/>
            <w:tcBorders>
              <w:top w:val="nil"/>
              <w:left w:val="nil"/>
              <w:right w:val="nil"/>
            </w:tcBorders>
            <w:noWrap w:val="0"/>
            <w:vAlign w:val="center"/>
          </w:tcPr>
          <w:p w14:paraId="104CB4F2">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Female</w:t>
            </w:r>
          </w:p>
        </w:tc>
        <w:tc>
          <w:tcPr>
            <w:tcW w:w="1205" w:type="dxa"/>
            <w:tcBorders>
              <w:top w:val="nil"/>
              <w:left w:val="nil"/>
              <w:right w:val="nil"/>
            </w:tcBorders>
            <w:noWrap w:val="0"/>
            <w:vAlign w:val="center"/>
          </w:tcPr>
          <w:p w14:paraId="43AA9D80">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1076</w:t>
            </w:r>
          </w:p>
        </w:tc>
        <w:tc>
          <w:tcPr>
            <w:tcW w:w="1534" w:type="dxa"/>
            <w:tcBorders>
              <w:top w:val="nil"/>
              <w:left w:val="nil"/>
              <w:right w:val="nil"/>
            </w:tcBorders>
            <w:noWrap w:val="0"/>
            <w:vAlign w:val="center"/>
          </w:tcPr>
          <w:p w14:paraId="2758D646">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95.05</w:t>
            </w:r>
          </w:p>
        </w:tc>
      </w:tr>
      <w:tr w14:paraId="3389C3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81" w:type="dxa"/>
            <w:vMerge w:val="restart"/>
            <w:tcBorders>
              <w:left w:val="nil"/>
              <w:bottom w:val="nil"/>
              <w:right w:val="nil"/>
            </w:tcBorders>
            <w:noWrap w:val="0"/>
            <w:vAlign w:val="center"/>
          </w:tcPr>
          <w:p w14:paraId="054F8C40">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 xml:space="preserve">Age </w:t>
            </w:r>
          </w:p>
          <w:p w14:paraId="0D092B57">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(In Years)</w:t>
            </w:r>
          </w:p>
          <w:p w14:paraId="7DF6E991">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(N=1132)</w:t>
            </w:r>
          </w:p>
        </w:tc>
        <w:tc>
          <w:tcPr>
            <w:tcW w:w="3444" w:type="dxa"/>
            <w:tcBorders>
              <w:left w:val="nil"/>
              <w:bottom w:val="nil"/>
              <w:right w:val="nil"/>
            </w:tcBorders>
            <w:noWrap w:val="0"/>
            <w:vAlign w:val="center"/>
          </w:tcPr>
          <w:p w14:paraId="32A12ECA">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&lt;20</w:t>
            </w:r>
          </w:p>
        </w:tc>
        <w:tc>
          <w:tcPr>
            <w:tcW w:w="1205" w:type="dxa"/>
            <w:tcBorders>
              <w:left w:val="nil"/>
              <w:bottom w:val="nil"/>
              <w:right w:val="nil"/>
            </w:tcBorders>
            <w:noWrap w:val="0"/>
            <w:vAlign w:val="center"/>
          </w:tcPr>
          <w:p w14:paraId="07CA89B7">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4</w:t>
            </w:r>
          </w:p>
        </w:tc>
        <w:tc>
          <w:tcPr>
            <w:tcW w:w="1534" w:type="dxa"/>
            <w:tcBorders>
              <w:left w:val="nil"/>
              <w:bottom w:val="nil"/>
              <w:right w:val="nil"/>
            </w:tcBorders>
            <w:noWrap w:val="0"/>
            <w:vAlign w:val="center"/>
          </w:tcPr>
          <w:p w14:paraId="5DBF22F1">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0.35</w:t>
            </w:r>
          </w:p>
        </w:tc>
      </w:tr>
      <w:tr w14:paraId="035E36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81" w:type="dxa"/>
            <w:vMerge w:val="continue"/>
            <w:tcBorders>
              <w:top w:val="nil"/>
              <w:left w:val="nil"/>
              <w:bottom w:val="nil"/>
              <w:right w:val="nil"/>
            </w:tcBorders>
            <w:noWrap w:val="0"/>
            <w:vAlign w:val="center"/>
          </w:tcPr>
          <w:p w14:paraId="126B326D">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p>
        </w:tc>
        <w:tc>
          <w:tcPr>
            <w:tcW w:w="3444" w:type="dxa"/>
            <w:tcBorders>
              <w:top w:val="nil"/>
              <w:left w:val="nil"/>
              <w:bottom w:val="nil"/>
              <w:right w:val="nil"/>
            </w:tcBorders>
            <w:noWrap w:val="0"/>
            <w:vAlign w:val="center"/>
          </w:tcPr>
          <w:p w14:paraId="66409D05">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20—29</w:t>
            </w:r>
          </w:p>
        </w:tc>
        <w:tc>
          <w:tcPr>
            <w:tcW w:w="1205" w:type="dxa"/>
            <w:tcBorders>
              <w:top w:val="nil"/>
              <w:left w:val="nil"/>
              <w:bottom w:val="nil"/>
              <w:right w:val="nil"/>
            </w:tcBorders>
            <w:noWrap w:val="0"/>
            <w:vAlign w:val="center"/>
          </w:tcPr>
          <w:p w14:paraId="1C707A97">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429</w:t>
            </w:r>
          </w:p>
        </w:tc>
        <w:tc>
          <w:tcPr>
            <w:tcW w:w="1534" w:type="dxa"/>
            <w:tcBorders>
              <w:top w:val="nil"/>
              <w:left w:val="nil"/>
              <w:bottom w:val="nil"/>
              <w:right w:val="nil"/>
            </w:tcBorders>
            <w:noWrap w:val="0"/>
            <w:vAlign w:val="center"/>
          </w:tcPr>
          <w:p w14:paraId="148EEF36">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37.9</w:t>
            </w:r>
          </w:p>
        </w:tc>
      </w:tr>
      <w:tr w14:paraId="2902B1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81" w:type="dxa"/>
            <w:vMerge w:val="continue"/>
            <w:tcBorders>
              <w:top w:val="nil"/>
              <w:left w:val="nil"/>
              <w:bottom w:val="nil"/>
              <w:right w:val="nil"/>
            </w:tcBorders>
            <w:noWrap w:val="0"/>
            <w:vAlign w:val="center"/>
          </w:tcPr>
          <w:p w14:paraId="100B1655">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p>
        </w:tc>
        <w:tc>
          <w:tcPr>
            <w:tcW w:w="3444" w:type="dxa"/>
            <w:tcBorders>
              <w:top w:val="nil"/>
              <w:left w:val="nil"/>
              <w:bottom w:val="nil"/>
              <w:right w:val="nil"/>
            </w:tcBorders>
            <w:noWrap w:val="0"/>
            <w:vAlign w:val="center"/>
          </w:tcPr>
          <w:p w14:paraId="38A2D884">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30—39</w:t>
            </w:r>
          </w:p>
        </w:tc>
        <w:tc>
          <w:tcPr>
            <w:tcW w:w="1205" w:type="dxa"/>
            <w:tcBorders>
              <w:top w:val="nil"/>
              <w:left w:val="nil"/>
              <w:bottom w:val="nil"/>
              <w:right w:val="nil"/>
            </w:tcBorders>
            <w:noWrap w:val="0"/>
            <w:vAlign w:val="center"/>
          </w:tcPr>
          <w:p w14:paraId="7904D20E">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536</w:t>
            </w:r>
          </w:p>
        </w:tc>
        <w:tc>
          <w:tcPr>
            <w:tcW w:w="1534" w:type="dxa"/>
            <w:tcBorders>
              <w:top w:val="nil"/>
              <w:left w:val="nil"/>
              <w:bottom w:val="nil"/>
              <w:right w:val="nil"/>
            </w:tcBorders>
            <w:noWrap w:val="0"/>
            <w:vAlign w:val="center"/>
          </w:tcPr>
          <w:p w14:paraId="774DA4E8">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47.35</w:t>
            </w:r>
          </w:p>
        </w:tc>
      </w:tr>
      <w:tr w14:paraId="5AEB1B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81" w:type="dxa"/>
            <w:vMerge w:val="continue"/>
            <w:tcBorders>
              <w:top w:val="nil"/>
              <w:left w:val="nil"/>
              <w:right w:val="nil"/>
            </w:tcBorders>
            <w:noWrap w:val="0"/>
            <w:vAlign w:val="center"/>
          </w:tcPr>
          <w:p w14:paraId="39C1781C">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p>
        </w:tc>
        <w:tc>
          <w:tcPr>
            <w:tcW w:w="3444" w:type="dxa"/>
            <w:tcBorders>
              <w:top w:val="nil"/>
              <w:left w:val="nil"/>
              <w:right w:val="nil"/>
            </w:tcBorders>
            <w:noWrap w:val="0"/>
            <w:vAlign w:val="center"/>
          </w:tcPr>
          <w:p w14:paraId="58E6C74B">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≥40</w:t>
            </w:r>
          </w:p>
        </w:tc>
        <w:tc>
          <w:tcPr>
            <w:tcW w:w="1205" w:type="dxa"/>
            <w:tcBorders>
              <w:top w:val="nil"/>
              <w:left w:val="nil"/>
              <w:right w:val="nil"/>
            </w:tcBorders>
            <w:noWrap w:val="0"/>
            <w:vAlign w:val="center"/>
          </w:tcPr>
          <w:p w14:paraId="5E0B4412">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163</w:t>
            </w:r>
          </w:p>
        </w:tc>
        <w:tc>
          <w:tcPr>
            <w:tcW w:w="1534" w:type="dxa"/>
            <w:tcBorders>
              <w:top w:val="nil"/>
              <w:left w:val="nil"/>
              <w:right w:val="nil"/>
            </w:tcBorders>
            <w:noWrap w:val="0"/>
            <w:vAlign w:val="center"/>
          </w:tcPr>
          <w:p w14:paraId="1C8A27AB">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14.4</w:t>
            </w:r>
          </w:p>
        </w:tc>
      </w:tr>
      <w:tr w14:paraId="39AD81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81" w:type="dxa"/>
            <w:vMerge w:val="restart"/>
            <w:tcBorders>
              <w:left w:val="nil"/>
              <w:bottom w:val="nil"/>
              <w:right w:val="nil"/>
            </w:tcBorders>
            <w:noWrap w:val="0"/>
            <w:vAlign w:val="center"/>
          </w:tcPr>
          <w:p w14:paraId="1BB75ACE">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Marital Status</w:t>
            </w:r>
          </w:p>
          <w:p w14:paraId="49EAA2B8">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(N=1132)</w:t>
            </w:r>
          </w:p>
        </w:tc>
        <w:tc>
          <w:tcPr>
            <w:tcW w:w="3444" w:type="dxa"/>
            <w:tcBorders>
              <w:left w:val="nil"/>
              <w:bottom w:val="nil"/>
              <w:right w:val="nil"/>
            </w:tcBorders>
            <w:noWrap w:val="0"/>
            <w:vAlign w:val="center"/>
          </w:tcPr>
          <w:p w14:paraId="4573BA90">
            <w:pPr>
              <w:autoSpaceDE w:val="0"/>
              <w:autoSpaceDN w:val="0"/>
              <w:adjustRightInd w:val="0"/>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Unmarried/Divorced</w:t>
            </w:r>
          </w:p>
        </w:tc>
        <w:tc>
          <w:tcPr>
            <w:tcW w:w="1205" w:type="dxa"/>
            <w:tcBorders>
              <w:left w:val="nil"/>
              <w:bottom w:val="nil"/>
              <w:right w:val="nil"/>
            </w:tcBorders>
            <w:noWrap w:val="0"/>
            <w:vAlign w:val="center"/>
          </w:tcPr>
          <w:p w14:paraId="4ABB80D2">
            <w:pPr>
              <w:autoSpaceDE w:val="0"/>
              <w:autoSpaceDN w:val="0"/>
              <w:adjustRightInd w:val="0"/>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318</w:t>
            </w:r>
          </w:p>
        </w:tc>
        <w:tc>
          <w:tcPr>
            <w:tcW w:w="1534" w:type="dxa"/>
            <w:tcBorders>
              <w:left w:val="nil"/>
              <w:bottom w:val="nil"/>
              <w:right w:val="nil"/>
            </w:tcBorders>
            <w:noWrap w:val="0"/>
            <w:vAlign w:val="center"/>
          </w:tcPr>
          <w:p w14:paraId="67C059ED">
            <w:pPr>
              <w:autoSpaceDE w:val="0"/>
              <w:autoSpaceDN w:val="0"/>
              <w:adjustRightInd w:val="0"/>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28.09</w:t>
            </w:r>
          </w:p>
        </w:tc>
      </w:tr>
      <w:tr w14:paraId="4EE131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81" w:type="dxa"/>
            <w:vMerge w:val="continue"/>
            <w:tcBorders>
              <w:top w:val="nil"/>
              <w:left w:val="nil"/>
              <w:right w:val="nil"/>
            </w:tcBorders>
            <w:noWrap w:val="0"/>
            <w:vAlign w:val="center"/>
          </w:tcPr>
          <w:p w14:paraId="4905FD03">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p>
        </w:tc>
        <w:tc>
          <w:tcPr>
            <w:tcW w:w="3444" w:type="dxa"/>
            <w:tcBorders>
              <w:top w:val="nil"/>
              <w:left w:val="nil"/>
              <w:right w:val="nil"/>
            </w:tcBorders>
            <w:noWrap w:val="0"/>
            <w:vAlign w:val="center"/>
          </w:tcPr>
          <w:p w14:paraId="38C6D94A">
            <w:pPr>
              <w:autoSpaceDE w:val="0"/>
              <w:autoSpaceDN w:val="0"/>
              <w:adjustRightInd w:val="0"/>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Married</w:t>
            </w:r>
          </w:p>
        </w:tc>
        <w:tc>
          <w:tcPr>
            <w:tcW w:w="1205" w:type="dxa"/>
            <w:tcBorders>
              <w:top w:val="nil"/>
              <w:left w:val="nil"/>
              <w:right w:val="nil"/>
            </w:tcBorders>
            <w:noWrap w:val="0"/>
            <w:vAlign w:val="center"/>
          </w:tcPr>
          <w:p w14:paraId="60434706">
            <w:pPr>
              <w:autoSpaceDE w:val="0"/>
              <w:autoSpaceDN w:val="0"/>
              <w:adjustRightInd w:val="0"/>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814</w:t>
            </w:r>
          </w:p>
        </w:tc>
        <w:tc>
          <w:tcPr>
            <w:tcW w:w="1534" w:type="dxa"/>
            <w:tcBorders>
              <w:top w:val="nil"/>
              <w:left w:val="nil"/>
              <w:right w:val="nil"/>
            </w:tcBorders>
            <w:noWrap w:val="0"/>
            <w:vAlign w:val="center"/>
          </w:tcPr>
          <w:p w14:paraId="6C84A3BC">
            <w:pPr>
              <w:autoSpaceDE w:val="0"/>
              <w:autoSpaceDN w:val="0"/>
              <w:adjustRightInd w:val="0"/>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71.91</w:t>
            </w:r>
          </w:p>
        </w:tc>
      </w:tr>
      <w:tr w14:paraId="657F7D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2" w:hRule="atLeast"/>
        </w:trPr>
        <w:tc>
          <w:tcPr>
            <w:tcW w:w="2281" w:type="dxa"/>
            <w:vMerge w:val="restart"/>
            <w:tcBorders>
              <w:left w:val="nil"/>
              <w:bottom w:val="nil"/>
              <w:right w:val="nil"/>
            </w:tcBorders>
            <w:noWrap w:val="0"/>
            <w:vAlign w:val="center"/>
          </w:tcPr>
          <w:p w14:paraId="00902CBF">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 xml:space="preserve">Education Level </w:t>
            </w:r>
          </w:p>
          <w:p w14:paraId="4393BCE5">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(N=1132)</w:t>
            </w:r>
          </w:p>
        </w:tc>
        <w:tc>
          <w:tcPr>
            <w:tcW w:w="3444" w:type="dxa"/>
            <w:tcBorders>
              <w:left w:val="nil"/>
              <w:bottom w:val="nil"/>
              <w:right w:val="nil"/>
            </w:tcBorders>
            <w:noWrap w:val="0"/>
            <w:vAlign w:val="center"/>
          </w:tcPr>
          <w:p w14:paraId="0062105F">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Junior College (Diploma)</w:t>
            </w:r>
          </w:p>
        </w:tc>
        <w:tc>
          <w:tcPr>
            <w:tcW w:w="1205" w:type="dxa"/>
            <w:tcBorders>
              <w:left w:val="nil"/>
              <w:bottom w:val="nil"/>
              <w:right w:val="nil"/>
            </w:tcBorders>
            <w:noWrap w:val="0"/>
            <w:vAlign w:val="center"/>
          </w:tcPr>
          <w:p w14:paraId="7309F9E3">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222</w:t>
            </w:r>
          </w:p>
        </w:tc>
        <w:tc>
          <w:tcPr>
            <w:tcW w:w="1534" w:type="dxa"/>
            <w:tcBorders>
              <w:left w:val="nil"/>
              <w:bottom w:val="nil"/>
              <w:right w:val="nil"/>
            </w:tcBorders>
            <w:noWrap w:val="0"/>
            <w:vAlign w:val="center"/>
          </w:tcPr>
          <w:p w14:paraId="4ECE1DCE">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19.61</w:t>
            </w:r>
          </w:p>
        </w:tc>
      </w:tr>
      <w:tr w14:paraId="0AEF9F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2" w:hRule="atLeast"/>
        </w:trPr>
        <w:tc>
          <w:tcPr>
            <w:tcW w:w="2281" w:type="dxa"/>
            <w:vMerge w:val="continue"/>
            <w:tcBorders>
              <w:top w:val="nil"/>
              <w:left w:val="nil"/>
              <w:bottom w:val="nil"/>
              <w:right w:val="nil"/>
            </w:tcBorders>
            <w:noWrap w:val="0"/>
            <w:vAlign w:val="center"/>
          </w:tcPr>
          <w:p w14:paraId="741BA3EE">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p>
        </w:tc>
        <w:tc>
          <w:tcPr>
            <w:tcW w:w="3444" w:type="dxa"/>
            <w:tcBorders>
              <w:top w:val="nil"/>
              <w:left w:val="nil"/>
              <w:bottom w:val="nil"/>
              <w:right w:val="nil"/>
            </w:tcBorders>
            <w:noWrap w:val="0"/>
            <w:vAlign w:val="center"/>
          </w:tcPr>
          <w:p w14:paraId="7050A79D">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Bachelor’s Degree</w:t>
            </w:r>
          </w:p>
        </w:tc>
        <w:tc>
          <w:tcPr>
            <w:tcW w:w="1205" w:type="dxa"/>
            <w:tcBorders>
              <w:top w:val="nil"/>
              <w:left w:val="nil"/>
              <w:bottom w:val="nil"/>
              <w:right w:val="nil"/>
            </w:tcBorders>
            <w:noWrap w:val="0"/>
            <w:vAlign w:val="center"/>
          </w:tcPr>
          <w:p w14:paraId="2F9D3930">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903</w:t>
            </w:r>
          </w:p>
        </w:tc>
        <w:tc>
          <w:tcPr>
            <w:tcW w:w="1534" w:type="dxa"/>
            <w:tcBorders>
              <w:top w:val="nil"/>
              <w:left w:val="nil"/>
              <w:bottom w:val="nil"/>
              <w:right w:val="nil"/>
            </w:tcBorders>
            <w:noWrap w:val="0"/>
            <w:vAlign w:val="center"/>
          </w:tcPr>
          <w:p w14:paraId="0C89FE16">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79.77</w:t>
            </w:r>
          </w:p>
        </w:tc>
      </w:tr>
      <w:tr w14:paraId="4B12C6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2" w:hRule="atLeast"/>
        </w:trPr>
        <w:tc>
          <w:tcPr>
            <w:tcW w:w="2281" w:type="dxa"/>
            <w:vMerge w:val="continue"/>
            <w:tcBorders>
              <w:top w:val="nil"/>
              <w:left w:val="nil"/>
              <w:bottom w:val="nil"/>
              <w:right w:val="nil"/>
            </w:tcBorders>
            <w:noWrap w:val="0"/>
            <w:vAlign w:val="center"/>
          </w:tcPr>
          <w:p w14:paraId="7A68005C">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p>
        </w:tc>
        <w:tc>
          <w:tcPr>
            <w:tcW w:w="3444" w:type="dxa"/>
            <w:tcBorders>
              <w:top w:val="nil"/>
              <w:left w:val="nil"/>
              <w:bottom w:val="nil"/>
              <w:right w:val="nil"/>
            </w:tcBorders>
            <w:noWrap w:val="0"/>
            <w:vAlign w:val="center"/>
          </w:tcPr>
          <w:p w14:paraId="10CDE554">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Master’s Degree</w:t>
            </w:r>
          </w:p>
        </w:tc>
        <w:tc>
          <w:tcPr>
            <w:tcW w:w="1205" w:type="dxa"/>
            <w:tcBorders>
              <w:top w:val="nil"/>
              <w:left w:val="nil"/>
              <w:bottom w:val="nil"/>
              <w:right w:val="nil"/>
            </w:tcBorders>
            <w:noWrap w:val="0"/>
            <w:vAlign w:val="center"/>
          </w:tcPr>
          <w:p w14:paraId="23493C94">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6</w:t>
            </w:r>
          </w:p>
        </w:tc>
        <w:tc>
          <w:tcPr>
            <w:tcW w:w="1534" w:type="dxa"/>
            <w:tcBorders>
              <w:top w:val="nil"/>
              <w:left w:val="nil"/>
              <w:bottom w:val="nil"/>
              <w:right w:val="nil"/>
            </w:tcBorders>
            <w:noWrap w:val="0"/>
            <w:vAlign w:val="center"/>
          </w:tcPr>
          <w:p w14:paraId="24EE297F">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0.53</w:t>
            </w:r>
          </w:p>
        </w:tc>
      </w:tr>
      <w:tr w14:paraId="51D0CA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2" w:hRule="atLeast"/>
        </w:trPr>
        <w:tc>
          <w:tcPr>
            <w:tcW w:w="2281" w:type="dxa"/>
            <w:vMerge w:val="continue"/>
            <w:tcBorders>
              <w:top w:val="nil"/>
              <w:left w:val="nil"/>
              <w:right w:val="nil"/>
            </w:tcBorders>
            <w:noWrap w:val="0"/>
            <w:vAlign w:val="center"/>
          </w:tcPr>
          <w:p w14:paraId="14FE7F74">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p>
        </w:tc>
        <w:tc>
          <w:tcPr>
            <w:tcW w:w="3444" w:type="dxa"/>
            <w:tcBorders>
              <w:top w:val="nil"/>
              <w:left w:val="nil"/>
              <w:right w:val="nil"/>
            </w:tcBorders>
            <w:noWrap w:val="0"/>
            <w:vAlign w:val="center"/>
          </w:tcPr>
          <w:p w14:paraId="6224A2D2">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Doctor of Philosophy Degree</w:t>
            </w:r>
          </w:p>
        </w:tc>
        <w:tc>
          <w:tcPr>
            <w:tcW w:w="1205" w:type="dxa"/>
            <w:tcBorders>
              <w:top w:val="nil"/>
              <w:left w:val="nil"/>
              <w:right w:val="nil"/>
            </w:tcBorders>
            <w:noWrap w:val="0"/>
            <w:vAlign w:val="center"/>
          </w:tcPr>
          <w:p w14:paraId="636D4FCE">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1</w:t>
            </w:r>
          </w:p>
        </w:tc>
        <w:tc>
          <w:tcPr>
            <w:tcW w:w="1534" w:type="dxa"/>
            <w:tcBorders>
              <w:top w:val="nil"/>
              <w:left w:val="nil"/>
              <w:right w:val="nil"/>
            </w:tcBorders>
            <w:noWrap w:val="0"/>
            <w:vAlign w:val="center"/>
          </w:tcPr>
          <w:p w14:paraId="43E797C7">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0.09</w:t>
            </w:r>
          </w:p>
        </w:tc>
      </w:tr>
      <w:tr w14:paraId="627C9C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81" w:type="dxa"/>
            <w:vMerge w:val="restart"/>
            <w:tcBorders>
              <w:left w:val="nil"/>
              <w:bottom w:val="nil"/>
              <w:right w:val="nil"/>
            </w:tcBorders>
            <w:noWrap w:val="0"/>
            <w:vAlign w:val="center"/>
          </w:tcPr>
          <w:p w14:paraId="0F694F45">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Work Duration (In Years)</w:t>
            </w:r>
          </w:p>
          <w:p w14:paraId="65925A82">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(N=1132)</w:t>
            </w:r>
          </w:p>
        </w:tc>
        <w:tc>
          <w:tcPr>
            <w:tcW w:w="3444" w:type="dxa"/>
            <w:tcBorders>
              <w:left w:val="nil"/>
              <w:bottom w:val="nil"/>
              <w:right w:val="nil"/>
            </w:tcBorders>
            <w:noWrap w:val="0"/>
            <w:vAlign w:val="center"/>
          </w:tcPr>
          <w:p w14:paraId="7CAD7A7B">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&lt;5</w:t>
            </w:r>
          </w:p>
        </w:tc>
        <w:tc>
          <w:tcPr>
            <w:tcW w:w="1205" w:type="dxa"/>
            <w:tcBorders>
              <w:left w:val="nil"/>
              <w:bottom w:val="nil"/>
              <w:right w:val="nil"/>
            </w:tcBorders>
            <w:noWrap w:val="0"/>
            <w:vAlign w:val="center"/>
          </w:tcPr>
          <w:p w14:paraId="6714592C">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229</w:t>
            </w:r>
          </w:p>
        </w:tc>
        <w:tc>
          <w:tcPr>
            <w:tcW w:w="1534" w:type="dxa"/>
            <w:tcBorders>
              <w:left w:val="nil"/>
              <w:bottom w:val="nil"/>
              <w:right w:val="nil"/>
            </w:tcBorders>
            <w:noWrap w:val="0"/>
            <w:vAlign w:val="center"/>
          </w:tcPr>
          <w:p w14:paraId="50B4207A">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20.23</w:t>
            </w:r>
          </w:p>
        </w:tc>
      </w:tr>
      <w:tr w14:paraId="22A95A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81" w:type="dxa"/>
            <w:vMerge w:val="continue"/>
            <w:tcBorders>
              <w:top w:val="nil"/>
              <w:left w:val="nil"/>
              <w:bottom w:val="nil"/>
              <w:right w:val="nil"/>
            </w:tcBorders>
            <w:noWrap w:val="0"/>
            <w:vAlign w:val="center"/>
          </w:tcPr>
          <w:p w14:paraId="3E64ECAD">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p>
        </w:tc>
        <w:tc>
          <w:tcPr>
            <w:tcW w:w="3444" w:type="dxa"/>
            <w:tcBorders>
              <w:top w:val="nil"/>
              <w:left w:val="nil"/>
              <w:bottom w:val="nil"/>
              <w:right w:val="nil"/>
            </w:tcBorders>
            <w:noWrap w:val="0"/>
            <w:vAlign w:val="center"/>
          </w:tcPr>
          <w:p w14:paraId="460BAF29">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5—10</w:t>
            </w:r>
          </w:p>
        </w:tc>
        <w:tc>
          <w:tcPr>
            <w:tcW w:w="1205" w:type="dxa"/>
            <w:tcBorders>
              <w:top w:val="nil"/>
              <w:left w:val="nil"/>
              <w:bottom w:val="nil"/>
              <w:right w:val="nil"/>
            </w:tcBorders>
            <w:noWrap w:val="0"/>
            <w:vAlign w:val="center"/>
          </w:tcPr>
          <w:p w14:paraId="63D71B4B">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335</w:t>
            </w:r>
          </w:p>
        </w:tc>
        <w:tc>
          <w:tcPr>
            <w:tcW w:w="1534" w:type="dxa"/>
            <w:tcBorders>
              <w:top w:val="nil"/>
              <w:left w:val="nil"/>
              <w:bottom w:val="nil"/>
              <w:right w:val="nil"/>
            </w:tcBorders>
            <w:noWrap w:val="0"/>
            <w:vAlign w:val="center"/>
          </w:tcPr>
          <w:p w14:paraId="5A4DF1A1">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29.59</w:t>
            </w:r>
          </w:p>
        </w:tc>
      </w:tr>
      <w:tr w14:paraId="4BE7F2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81" w:type="dxa"/>
            <w:vMerge w:val="continue"/>
            <w:tcBorders>
              <w:top w:val="nil"/>
              <w:left w:val="nil"/>
              <w:bottom w:val="nil"/>
              <w:right w:val="nil"/>
            </w:tcBorders>
            <w:noWrap w:val="0"/>
            <w:vAlign w:val="center"/>
          </w:tcPr>
          <w:p w14:paraId="34DA5ECF">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p>
        </w:tc>
        <w:tc>
          <w:tcPr>
            <w:tcW w:w="3444" w:type="dxa"/>
            <w:tcBorders>
              <w:top w:val="nil"/>
              <w:left w:val="nil"/>
              <w:bottom w:val="nil"/>
              <w:right w:val="nil"/>
            </w:tcBorders>
            <w:noWrap w:val="0"/>
            <w:vAlign w:val="center"/>
          </w:tcPr>
          <w:p w14:paraId="18C497F4">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11—15</w:t>
            </w:r>
          </w:p>
        </w:tc>
        <w:tc>
          <w:tcPr>
            <w:tcW w:w="1205" w:type="dxa"/>
            <w:tcBorders>
              <w:top w:val="nil"/>
              <w:left w:val="nil"/>
              <w:bottom w:val="nil"/>
              <w:right w:val="nil"/>
            </w:tcBorders>
            <w:noWrap w:val="0"/>
            <w:vAlign w:val="center"/>
          </w:tcPr>
          <w:p w14:paraId="62CE7946">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328</w:t>
            </w:r>
          </w:p>
        </w:tc>
        <w:tc>
          <w:tcPr>
            <w:tcW w:w="1534" w:type="dxa"/>
            <w:tcBorders>
              <w:top w:val="nil"/>
              <w:left w:val="nil"/>
              <w:bottom w:val="nil"/>
              <w:right w:val="nil"/>
            </w:tcBorders>
            <w:noWrap w:val="0"/>
            <w:vAlign w:val="center"/>
          </w:tcPr>
          <w:p w14:paraId="4D44F395">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28.98</w:t>
            </w:r>
          </w:p>
        </w:tc>
      </w:tr>
      <w:tr w14:paraId="24A472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81" w:type="dxa"/>
            <w:vMerge w:val="continue"/>
            <w:tcBorders>
              <w:top w:val="nil"/>
              <w:left w:val="nil"/>
              <w:bottom w:val="nil"/>
              <w:right w:val="nil"/>
            </w:tcBorders>
            <w:noWrap w:val="0"/>
            <w:vAlign w:val="center"/>
          </w:tcPr>
          <w:p w14:paraId="660A8233">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p>
        </w:tc>
        <w:tc>
          <w:tcPr>
            <w:tcW w:w="3444" w:type="dxa"/>
            <w:tcBorders>
              <w:top w:val="nil"/>
              <w:left w:val="nil"/>
              <w:bottom w:val="nil"/>
              <w:right w:val="nil"/>
            </w:tcBorders>
            <w:noWrap w:val="0"/>
            <w:vAlign w:val="center"/>
          </w:tcPr>
          <w:p w14:paraId="1B776BE9">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16—19</w:t>
            </w:r>
          </w:p>
        </w:tc>
        <w:tc>
          <w:tcPr>
            <w:tcW w:w="1205" w:type="dxa"/>
            <w:tcBorders>
              <w:top w:val="nil"/>
              <w:left w:val="nil"/>
              <w:bottom w:val="nil"/>
              <w:right w:val="nil"/>
            </w:tcBorders>
            <w:noWrap w:val="0"/>
            <w:vAlign w:val="center"/>
          </w:tcPr>
          <w:p w14:paraId="4A11B538">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97</w:t>
            </w:r>
          </w:p>
        </w:tc>
        <w:tc>
          <w:tcPr>
            <w:tcW w:w="1534" w:type="dxa"/>
            <w:tcBorders>
              <w:top w:val="nil"/>
              <w:left w:val="nil"/>
              <w:bottom w:val="nil"/>
              <w:right w:val="nil"/>
            </w:tcBorders>
            <w:noWrap w:val="0"/>
            <w:vAlign w:val="center"/>
          </w:tcPr>
          <w:p w14:paraId="6F10F520">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8.57</w:t>
            </w:r>
          </w:p>
        </w:tc>
      </w:tr>
      <w:tr w14:paraId="08789A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81" w:type="dxa"/>
            <w:vMerge w:val="continue"/>
            <w:tcBorders>
              <w:top w:val="nil"/>
              <w:left w:val="nil"/>
              <w:right w:val="nil"/>
            </w:tcBorders>
            <w:noWrap w:val="0"/>
            <w:vAlign w:val="center"/>
          </w:tcPr>
          <w:p w14:paraId="2F1BFD2A">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p>
        </w:tc>
        <w:tc>
          <w:tcPr>
            <w:tcW w:w="3444" w:type="dxa"/>
            <w:tcBorders>
              <w:top w:val="nil"/>
              <w:left w:val="nil"/>
              <w:right w:val="nil"/>
            </w:tcBorders>
            <w:noWrap w:val="0"/>
            <w:vAlign w:val="center"/>
          </w:tcPr>
          <w:p w14:paraId="066A6D4D">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≥20</w:t>
            </w:r>
          </w:p>
        </w:tc>
        <w:tc>
          <w:tcPr>
            <w:tcW w:w="1205" w:type="dxa"/>
            <w:tcBorders>
              <w:top w:val="nil"/>
              <w:left w:val="nil"/>
              <w:right w:val="nil"/>
            </w:tcBorders>
            <w:noWrap w:val="0"/>
            <w:vAlign w:val="center"/>
          </w:tcPr>
          <w:p w14:paraId="33C24569">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143</w:t>
            </w:r>
          </w:p>
        </w:tc>
        <w:tc>
          <w:tcPr>
            <w:tcW w:w="1534" w:type="dxa"/>
            <w:tcBorders>
              <w:top w:val="nil"/>
              <w:left w:val="nil"/>
              <w:right w:val="nil"/>
            </w:tcBorders>
            <w:noWrap w:val="0"/>
            <w:vAlign w:val="center"/>
          </w:tcPr>
          <w:p w14:paraId="6BD4173A">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12.63</w:t>
            </w:r>
          </w:p>
        </w:tc>
      </w:tr>
      <w:tr w14:paraId="364C76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81" w:type="dxa"/>
            <w:vMerge w:val="restart"/>
            <w:tcBorders>
              <w:left w:val="nil"/>
              <w:bottom w:val="nil"/>
              <w:right w:val="nil"/>
            </w:tcBorders>
            <w:noWrap w:val="0"/>
            <w:vAlign w:val="center"/>
          </w:tcPr>
          <w:p w14:paraId="672E4334">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Title</w:t>
            </w:r>
          </w:p>
          <w:p w14:paraId="1729552F">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(N=1132)</w:t>
            </w:r>
          </w:p>
        </w:tc>
        <w:tc>
          <w:tcPr>
            <w:tcW w:w="3444" w:type="dxa"/>
            <w:tcBorders>
              <w:left w:val="nil"/>
              <w:bottom w:val="nil"/>
              <w:right w:val="nil"/>
            </w:tcBorders>
            <w:noWrap w:val="0"/>
            <w:vAlign w:val="center"/>
          </w:tcPr>
          <w:p w14:paraId="4CB8D633">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Nurse</w:t>
            </w:r>
          </w:p>
        </w:tc>
        <w:tc>
          <w:tcPr>
            <w:tcW w:w="1205" w:type="dxa"/>
            <w:tcBorders>
              <w:left w:val="nil"/>
              <w:bottom w:val="nil"/>
              <w:right w:val="nil"/>
            </w:tcBorders>
            <w:noWrap w:val="0"/>
            <w:vAlign w:val="center"/>
          </w:tcPr>
          <w:p w14:paraId="3108C4B9">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209</w:t>
            </w:r>
          </w:p>
        </w:tc>
        <w:tc>
          <w:tcPr>
            <w:tcW w:w="1534" w:type="dxa"/>
            <w:tcBorders>
              <w:left w:val="nil"/>
              <w:bottom w:val="nil"/>
              <w:right w:val="nil"/>
            </w:tcBorders>
            <w:noWrap w:val="0"/>
            <w:vAlign w:val="center"/>
          </w:tcPr>
          <w:p w14:paraId="68D6BEE4">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18.46</w:t>
            </w:r>
          </w:p>
        </w:tc>
      </w:tr>
      <w:tr w14:paraId="00C360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81" w:type="dxa"/>
            <w:vMerge w:val="continue"/>
            <w:tcBorders>
              <w:top w:val="nil"/>
              <w:left w:val="nil"/>
              <w:bottom w:val="nil"/>
              <w:right w:val="nil"/>
            </w:tcBorders>
            <w:noWrap w:val="0"/>
            <w:vAlign w:val="center"/>
          </w:tcPr>
          <w:p w14:paraId="04ACC694">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p>
        </w:tc>
        <w:tc>
          <w:tcPr>
            <w:tcW w:w="3444" w:type="dxa"/>
            <w:tcBorders>
              <w:top w:val="nil"/>
              <w:left w:val="nil"/>
              <w:bottom w:val="nil"/>
              <w:right w:val="nil"/>
            </w:tcBorders>
            <w:noWrap w:val="0"/>
            <w:vAlign w:val="center"/>
          </w:tcPr>
          <w:p w14:paraId="47BD5303">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Nurse Practitioner</w:t>
            </w:r>
          </w:p>
        </w:tc>
        <w:tc>
          <w:tcPr>
            <w:tcW w:w="1205" w:type="dxa"/>
            <w:tcBorders>
              <w:top w:val="nil"/>
              <w:left w:val="nil"/>
              <w:bottom w:val="nil"/>
              <w:right w:val="nil"/>
            </w:tcBorders>
            <w:noWrap w:val="0"/>
            <w:vAlign w:val="center"/>
          </w:tcPr>
          <w:p w14:paraId="0FC4F187">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427</w:t>
            </w:r>
          </w:p>
        </w:tc>
        <w:tc>
          <w:tcPr>
            <w:tcW w:w="1534" w:type="dxa"/>
            <w:tcBorders>
              <w:top w:val="nil"/>
              <w:left w:val="nil"/>
              <w:bottom w:val="nil"/>
              <w:right w:val="nil"/>
            </w:tcBorders>
            <w:noWrap w:val="0"/>
            <w:vAlign w:val="center"/>
          </w:tcPr>
          <w:p w14:paraId="0695A831">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37.72</w:t>
            </w:r>
          </w:p>
        </w:tc>
      </w:tr>
      <w:tr w14:paraId="113573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81" w:type="dxa"/>
            <w:vMerge w:val="continue"/>
            <w:tcBorders>
              <w:top w:val="nil"/>
              <w:left w:val="nil"/>
              <w:bottom w:val="nil"/>
              <w:right w:val="nil"/>
            </w:tcBorders>
            <w:noWrap w:val="0"/>
            <w:vAlign w:val="center"/>
          </w:tcPr>
          <w:p w14:paraId="03C4D868">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p>
        </w:tc>
        <w:tc>
          <w:tcPr>
            <w:tcW w:w="3444" w:type="dxa"/>
            <w:tcBorders>
              <w:top w:val="nil"/>
              <w:left w:val="nil"/>
              <w:bottom w:val="nil"/>
              <w:right w:val="nil"/>
            </w:tcBorders>
            <w:noWrap w:val="0"/>
            <w:vAlign w:val="center"/>
          </w:tcPr>
          <w:p w14:paraId="1D277DA3">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Supervising Nurse Practitioner</w:t>
            </w:r>
          </w:p>
        </w:tc>
        <w:tc>
          <w:tcPr>
            <w:tcW w:w="1205" w:type="dxa"/>
            <w:tcBorders>
              <w:top w:val="nil"/>
              <w:left w:val="nil"/>
              <w:bottom w:val="nil"/>
              <w:right w:val="nil"/>
            </w:tcBorders>
            <w:noWrap w:val="0"/>
            <w:vAlign w:val="center"/>
          </w:tcPr>
          <w:p w14:paraId="5D9F157E">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446</w:t>
            </w:r>
          </w:p>
        </w:tc>
        <w:tc>
          <w:tcPr>
            <w:tcW w:w="1534" w:type="dxa"/>
            <w:tcBorders>
              <w:top w:val="nil"/>
              <w:left w:val="nil"/>
              <w:bottom w:val="nil"/>
              <w:right w:val="nil"/>
            </w:tcBorders>
            <w:noWrap w:val="0"/>
            <w:vAlign w:val="center"/>
          </w:tcPr>
          <w:p w14:paraId="276073BA">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39.4</w:t>
            </w:r>
          </w:p>
        </w:tc>
      </w:tr>
      <w:tr w14:paraId="2BB02C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81" w:type="dxa"/>
            <w:vMerge w:val="continue"/>
            <w:tcBorders>
              <w:top w:val="nil"/>
              <w:left w:val="nil"/>
              <w:right w:val="nil"/>
            </w:tcBorders>
            <w:noWrap w:val="0"/>
            <w:vAlign w:val="center"/>
          </w:tcPr>
          <w:p w14:paraId="4F4C6C11">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p>
        </w:tc>
        <w:tc>
          <w:tcPr>
            <w:tcW w:w="3444" w:type="dxa"/>
            <w:tcBorders>
              <w:top w:val="nil"/>
              <w:left w:val="nil"/>
              <w:right w:val="nil"/>
            </w:tcBorders>
            <w:noWrap w:val="0"/>
            <w:vAlign w:val="center"/>
          </w:tcPr>
          <w:p w14:paraId="0AF946BE">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Associate Director of Nurse Practitioners</w:t>
            </w:r>
          </w:p>
        </w:tc>
        <w:tc>
          <w:tcPr>
            <w:tcW w:w="1205" w:type="dxa"/>
            <w:tcBorders>
              <w:top w:val="nil"/>
              <w:left w:val="nil"/>
              <w:right w:val="nil"/>
            </w:tcBorders>
            <w:noWrap w:val="0"/>
            <w:vAlign w:val="center"/>
          </w:tcPr>
          <w:p w14:paraId="4945E54A">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50</w:t>
            </w:r>
          </w:p>
        </w:tc>
        <w:tc>
          <w:tcPr>
            <w:tcW w:w="1534" w:type="dxa"/>
            <w:tcBorders>
              <w:top w:val="nil"/>
              <w:left w:val="nil"/>
              <w:right w:val="nil"/>
            </w:tcBorders>
            <w:noWrap w:val="0"/>
            <w:vAlign w:val="center"/>
          </w:tcPr>
          <w:p w14:paraId="27326522">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4.42</w:t>
            </w:r>
          </w:p>
        </w:tc>
      </w:tr>
      <w:tr w14:paraId="3DACF4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81" w:type="dxa"/>
            <w:vMerge w:val="restart"/>
            <w:tcBorders>
              <w:left w:val="nil"/>
              <w:bottom w:val="nil"/>
              <w:right w:val="nil"/>
            </w:tcBorders>
            <w:noWrap w:val="0"/>
            <w:vAlign w:val="center"/>
          </w:tcPr>
          <w:p w14:paraId="1A091C45">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Ranking</w:t>
            </w:r>
          </w:p>
          <w:p w14:paraId="295A6EF0">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(N=1132)</w:t>
            </w:r>
          </w:p>
        </w:tc>
        <w:tc>
          <w:tcPr>
            <w:tcW w:w="3444" w:type="dxa"/>
            <w:tcBorders>
              <w:left w:val="nil"/>
              <w:bottom w:val="nil"/>
              <w:right w:val="nil"/>
            </w:tcBorders>
            <w:noWrap w:val="0"/>
            <w:vAlign w:val="center"/>
          </w:tcPr>
          <w:p w14:paraId="7F00C56F">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N0</w:t>
            </w:r>
          </w:p>
        </w:tc>
        <w:tc>
          <w:tcPr>
            <w:tcW w:w="1205" w:type="dxa"/>
            <w:tcBorders>
              <w:left w:val="nil"/>
              <w:bottom w:val="nil"/>
              <w:right w:val="nil"/>
            </w:tcBorders>
            <w:noWrap w:val="0"/>
            <w:vAlign w:val="center"/>
          </w:tcPr>
          <w:p w14:paraId="1C9ED947">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89</w:t>
            </w:r>
          </w:p>
        </w:tc>
        <w:tc>
          <w:tcPr>
            <w:tcW w:w="1534" w:type="dxa"/>
            <w:tcBorders>
              <w:left w:val="nil"/>
              <w:bottom w:val="nil"/>
              <w:right w:val="nil"/>
            </w:tcBorders>
            <w:noWrap w:val="0"/>
            <w:vAlign w:val="center"/>
          </w:tcPr>
          <w:p w14:paraId="1BA50FBE">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7.86</w:t>
            </w:r>
          </w:p>
        </w:tc>
      </w:tr>
      <w:tr w14:paraId="5EB206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81" w:type="dxa"/>
            <w:vMerge w:val="continue"/>
            <w:tcBorders>
              <w:top w:val="nil"/>
              <w:left w:val="nil"/>
              <w:bottom w:val="nil"/>
              <w:right w:val="nil"/>
            </w:tcBorders>
            <w:noWrap w:val="0"/>
            <w:vAlign w:val="center"/>
          </w:tcPr>
          <w:p w14:paraId="279B64FC">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p>
        </w:tc>
        <w:tc>
          <w:tcPr>
            <w:tcW w:w="3444" w:type="dxa"/>
            <w:tcBorders>
              <w:top w:val="nil"/>
              <w:left w:val="nil"/>
              <w:bottom w:val="nil"/>
              <w:right w:val="nil"/>
            </w:tcBorders>
            <w:noWrap w:val="0"/>
            <w:vAlign w:val="center"/>
          </w:tcPr>
          <w:p w14:paraId="22806036">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N1</w:t>
            </w:r>
          </w:p>
        </w:tc>
        <w:tc>
          <w:tcPr>
            <w:tcW w:w="1205" w:type="dxa"/>
            <w:tcBorders>
              <w:top w:val="nil"/>
              <w:left w:val="nil"/>
              <w:bottom w:val="nil"/>
              <w:right w:val="nil"/>
            </w:tcBorders>
            <w:noWrap w:val="0"/>
            <w:vAlign w:val="center"/>
          </w:tcPr>
          <w:p w14:paraId="2D53858E">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209</w:t>
            </w:r>
          </w:p>
        </w:tc>
        <w:tc>
          <w:tcPr>
            <w:tcW w:w="1534" w:type="dxa"/>
            <w:tcBorders>
              <w:top w:val="nil"/>
              <w:left w:val="nil"/>
              <w:bottom w:val="nil"/>
              <w:right w:val="nil"/>
            </w:tcBorders>
            <w:noWrap w:val="0"/>
            <w:vAlign w:val="center"/>
          </w:tcPr>
          <w:p w14:paraId="3B8B9796">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18.46</w:t>
            </w:r>
          </w:p>
        </w:tc>
      </w:tr>
      <w:tr w14:paraId="3BB6DB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81" w:type="dxa"/>
            <w:vMerge w:val="continue"/>
            <w:tcBorders>
              <w:top w:val="nil"/>
              <w:left w:val="nil"/>
              <w:bottom w:val="nil"/>
              <w:right w:val="nil"/>
            </w:tcBorders>
            <w:noWrap w:val="0"/>
            <w:vAlign w:val="center"/>
          </w:tcPr>
          <w:p w14:paraId="7726CAD2">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p>
        </w:tc>
        <w:tc>
          <w:tcPr>
            <w:tcW w:w="3444" w:type="dxa"/>
            <w:tcBorders>
              <w:top w:val="nil"/>
              <w:left w:val="nil"/>
              <w:bottom w:val="nil"/>
              <w:right w:val="nil"/>
            </w:tcBorders>
            <w:noWrap w:val="0"/>
            <w:vAlign w:val="center"/>
          </w:tcPr>
          <w:p w14:paraId="5446C8D5">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N2</w:t>
            </w:r>
          </w:p>
        </w:tc>
        <w:tc>
          <w:tcPr>
            <w:tcW w:w="1205" w:type="dxa"/>
            <w:tcBorders>
              <w:top w:val="nil"/>
              <w:left w:val="nil"/>
              <w:bottom w:val="nil"/>
              <w:right w:val="nil"/>
            </w:tcBorders>
            <w:noWrap w:val="0"/>
            <w:vAlign w:val="center"/>
          </w:tcPr>
          <w:p w14:paraId="4A736E4D">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445</w:t>
            </w:r>
          </w:p>
        </w:tc>
        <w:tc>
          <w:tcPr>
            <w:tcW w:w="1534" w:type="dxa"/>
            <w:tcBorders>
              <w:top w:val="nil"/>
              <w:left w:val="nil"/>
              <w:bottom w:val="nil"/>
              <w:right w:val="nil"/>
            </w:tcBorders>
            <w:noWrap w:val="0"/>
            <w:vAlign w:val="center"/>
          </w:tcPr>
          <w:p w14:paraId="4B3D7077">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39.31</w:t>
            </w:r>
          </w:p>
        </w:tc>
      </w:tr>
      <w:tr w14:paraId="2317CE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81" w:type="dxa"/>
            <w:vMerge w:val="continue"/>
            <w:tcBorders>
              <w:top w:val="nil"/>
              <w:left w:val="nil"/>
              <w:right w:val="nil"/>
            </w:tcBorders>
            <w:noWrap w:val="0"/>
            <w:vAlign w:val="center"/>
          </w:tcPr>
          <w:p w14:paraId="2C9C0D88">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p>
        </w:tc>
        <w:tc>
          <w:tcPr>
            <w:tcW w:w="3444" w:type="dxa"/>
            <w:tcBorders>
              <w:top w:val="nil"/>
              <w:left w:val="nil"/>
              <w:right w:val="nil"/>
            </w:tcBorders>
            <w:noWrap w:val="0"/>
            <w:vAlign w:val="center"/>
          </w:tcPr>
          <w:p w14:paraId="306FE4DD">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N3</w:t>
            </w:r>
          </w:p>
        </w:tc>
        <w:tc>
          <w:tcPr>
            <w:tcW w:w="1205" w:type="dxa"/>
            <w:tcBorders>
              <w:top w:val="nil"/>
              <w:left w:val="nil"/>
              <w:right w:val="nil"/>
            </w:tcBorders>
            <w:noWrap w:val="0"/>
            <w:vAlign w:val="center"/>
          </w:tcPr>
          <w:p w14:paraId="16A0185D">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389</w:t>
            </w:r>
          </w:p>
        </w:tc>
        <w:tc>
          <w:tcPr>
            <w:tcW w:w="1534" w:type="dxa"/>
            <w:tcBorders>
              <w:top w:val="nil"/>
              <w:left w:val="nil"/>
              <w:right w:val="nil"/>
            </w:tcBorders>
            <w:noWrap w:val="0"/>
            <w:vAlign w:val="center"/>
          </w:tcPr>
          <w:p w14:paraId="170DF5C3">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34.36</w:t>
            </w:r>
          </w:p>
        </w:tc>
      </w:tr>
      <w:tr w14:paraId="6DC03B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81" w:type="dxa"/>
            <w:vMerge w:val="restart"/>
            <w:tcBorders>
              <w:left w:val="nil"/>
              <w:bottom w:val="nil"/>
              <w:right w:val="nil"/>
            </w:tcBorders>
            <w:noWrap w:val="0"/>
            <w:vAlign w:val="center"/>
          </w:tcPr>
          <w:p w14:paraId="21E4C6AF">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Position</w:t>
            </w:r>
          </w:p>
          <w:p w14:paraId="17936032">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(N=1132)</w:t>
            </w:r>
          </w:p>
        </w:tc>
        <w:tc>
          <w:tcPr>
            <w:tcW w:w="3444" w:type="dxa"/>
            <w:tcBorders>
              <w:left w:val="nil"/>
              <w:bottom w:val="nil"/>
              <w:right w:val="nil"/>
            </w:tcBorders>
            <w:noWrap w:val="0"/>
            <w:vAlign w:val="center"/>
          </w:tcPr>
          <w:p w14:paraId="355DD668">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Nurse</w:t>
            </w:r>
          </w:p>
        </w:tc>
        <w:tc>
          <w:tcPr>
            <w:tcW w:w="1205" w:type="dxa"/>
            <w:tcBorders>
              <w:left w:val="nil"/>
              <w:bottom w:val="nil"/>
              <w:right w:val="nil"/>
            </w:tcBorders>
            <w:noWrap w:val="0"/>
            <w:vAlign w:val="center"/>
          </w:tcPr>
          <w:p w14:paraId="4F03EB04">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1043</w:t>
            </w:r>
          </w:p>
        </w:tc>
        <w:tc>
          <w:tcPr>
            <w:tcW w:w="1534" w:type="dxa"/>
            <w:tcBorders>
              <w:left w:val="nil"/>
              <w:bottom w:val="nil"/>
              <w:right w:val="nil"/>
            </w:tcBorders>
            <w:noWrap w:val="0"/>
            <w:vAlign w:val="center"/>
          </w:tcPr>
          <w:p w14:paraId="7477104F">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92.14</w:t>
            </w:r>
          </w:p>
        </w:tc>
      </w:tr>
      <w:tr w14:paraId="516DC6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81" w:type="dxa"/>
            <w:vMerge w:val="continue"/>
            <w:tcBorders>
              <w:top w:val="nil"/>
              <w:left w:val="nil"/>
              <w:bottom w:val="nil"/>
              <w:right w:val="nil"/>
            </w:tcBorders>
            <w:noWrap w:val="0"/>
            <w:vAlign w:val="center"/>
          </w:tcPr>
          <w:p w14:paraId="51955B95">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p>
        </w:tc>
        <w:tc>
          <w:tcPr>
            <w:tcW w:w="3444" w:type="dxa"/>
            <w:tcBorders>
              <w:top w:val="nil"/>
              <w:left w:val="nil"/>
              <w:bottom w:val="nil"/>
              <w:right w:val="nil"/>
            </w:tcBorders>
            <w:noWrap w:val="0"/>
            <w:vAlign w:val="center"/>
          </w:tcPr>
          <w:p w14:paraId="690C534A">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Nurse Manager</w:t>
            </w:r>
          </w:p>
        </w:tc>
        <w:tc>
          <w:tcPr>
            <w:tcW w:w="1205" w:type="dxa"/>
            <w:tcBorders>
              <w:top w:val="nil"/>
              <w:left w:val="nil"/>
              <w:bottom w:val="nil"/>
              <w:right w:val="nil"/>
            </w:tcBorders>
            <w:noWrap w:val="0"/>
            <w:vAlign w:val="center"/>
          </w:tcPr>
          <w:p w14:paraId="0B707B1A">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78</w:t>
            </w:r>
          </w:p>
        </w:tc>
        <w:tc>
          <w:tcPr>
            <w:tcW w:w="1534" w:type="dxa"/>
            <w:tcBorders>
              <w:top w:val="nil"/>
              <w:left w:val="nil"/>
              <w:bottom w:val="nil"/>
              <w:right w:val="nil"/>
            </w:tcBorders>
            <w:noWrap w:val="0"/>
            <w:vAlign w:val="center"/>
          </w:tcPr>
          <w:p w14:paraId="34745674">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6.89</w:t>
            </w:r>
          </w:p>
        </w:tc>
      </w:tr>
      <w:tr w14:paraId="184A39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81" w:type="dxa"/>
            <w:vMerge w:val="continue"/>
            <w:tcBorders>
              <w:top w:val="nil"/>
              <w:left w:val="nil"/>
              <w:right w:val="nil"/>
            </w:tcBorders>
            <w:noWrap w:val="0"/>
            <w:vAlign w:val="center"/>
          </w:tcPr>
          <w:p w14:paraId="4F7D174E">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p>
        </w:tc>
        <w:tc>
          <w:tcPr>
            <w:tcW w:w="3444" w:type="dxa"/>
            <w:tcBorders>
              <w:top w:val="nil"/>
              <w:left w:val="nil"/>
              <w:right w:val="nil"/>
            </w:tcBorders>
            <w:noWrap w:val="0"/>
            <w:vAlign w:val="center"/>
          </w:tcPr>
          <w:p w14:paraId="2ADE3E6D">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Section Nurse Manager</w:t>
            </w:r>
          </w:p>
        </w:tc>
        <w:tc>
          <w:tcPr>
            <w:tcW w:w="1205" w:type="dxa"/>
            <w:tcBorders>
              <w:top w:val="nil"/>
              <w:left w:val="nil"/>
              <w:right w:val="nil"/>
            </w:tcBorders>
            <w:noWrap w:val="0"/>
            <w:vAlign w:val="center"/>
          </w:tcPr>
          <w:p w14:paraId="0BCBF8A4">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11</w:t>
            </w:r>
          </w:p>
        </w:tc>
        <w:tc>
          <w:tcPr>
            <w:tcW w:w="1534" w:type="dxa"/>
            <w:tcBorders>
              <w:top w:val="nil"/>
              <w:left w:val="nil"/>
              <w:right w:val="nil"/>
            </w:tcBorders>
            <w:noWrap w:val="0"/>
            <w:vAlign w:val="center"/>
          </w:tcPr>
          <w:p w14:paraId="22C7BCD8">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0.97</w:t>
            </w:r>
          </w:p>
        </w:tc>
      </w:tr>
      <w:tr w14:paraId="07FCEC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81" w:type="dxa"/>
            <w:vMerge w:val="restart"/>
            <w:tcBorders>
              <w:left w:val="nil"/>
              <w:bottom w:val="nil"/>
              <w:right w:val="nil"/>
            </w:tcBorders>
            <w:noWrap w:val="0"/>
            <w:vAlign w:val="center"/>
          </w:tcPr>
          <w:p w14:paraId="63953A46">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Unit Establishment</w:t>
            </w:r>
          </w:p>
          <w:p w14:paraId="6161BB98">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(N=1132)</w:t>
            </w:r>
          </w:p>
        </w:tc>
        <w:tc>
          <w:tcPr>
            <w:tcW w:w="3444" w:type="dxa"/>
            <w:tcBorders>
              <w:left w:val="nil"/>
              <w:bottom w:val="nil"/>
              <w:right w:val="nil"/>
            </w:tcBorders>
            <w:noWrap w:val="0"/>
            <w:vAlign w:val="center"/>
          </w:tcPr>
          <w:p w14:paraId="632375D6">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Contractual</w:t>
            </w:r>
          </w:p>
        </w:tc>
        <w:tc>
          <w:tcPr>
            <w:tcW w:w="1205" w:type="dxa"/>
            <w:tcBorders>
              <w:left w:val="nil"/>
              <w:bottom w:val="nil"/>
              <w:right w:val="nil"/>
            </w:tcBorders>
            <w:noWrap w:val="0"/>
            <w:vAlign w:val="center"/>
          </w:tcPr>
          <w:p w14:paraId="3D9F7C35">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891</w:t>
            </w:r>
          </w:p>
        </w:tc>
        <w:tc>
          <w:tcPr>
            <w:tcW w:w="1534" w:type="dxa"/>
            <w:tcBorders>
              <w:left w:val="nil"/>
              <w:bottom w:val="nil"/>
              <w:right w:val="nil"/>
            </w:tcBorders>
            <w:noWrap w:val="0"/>
            <w:vAlign w:val="center"/>
          </w:tcPr>
          <w:p w14:paraId="7AF812C9">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78.71</w:t>
            </w:r>
          </w:p>
        </w:tc>
      </w:tr>
      <w:tr w14:paraId="1E96BD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81" w:type="dxa"/>
            <w:vMerge w:val="continue"/>
            <w:tcBorders>
              <w:top w:val="nil"/>
              <w:left w:val="nil"/>
              <w:bottom w:val="nil"/>
              <w:right w:val="nil"/>
            </w:tcBorders>
            <w:noWrap w:val="0"/>
            <w:vAlign w:val="center"/>
          </w:tcPr>
          <w:p w14:paraId="57447202">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p>
        </w:tc>
        <w:tc>
          <w:tcPr>
            <w:tcW w:w="3444" w:type="dxa"/>
            <w:tcBorders>
              <w:top w:val="nil"/>
              <w:left w:val="nil"/>
              <w:bottom w:val="nil"/>
              <w:right w:val="nil"/>
            </w:tcBorders>
            <w:noWrap w:val="0"/>
            <w:vAlign w:val="center"/>
          </w:tcPr>
          <w:p w14:paraId="7E056B5E">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Personnel Agency</w:t>
            </w:r>
          </w:p>
        </w:tc>
        <w:tc>
          <w:tcPr>
            <w:tcW w:w="1205" w:type="dxa"/>
            <w:tcBorders>
              <w:top w:val="nil"/>
              <w:left w:val="nil"/>
              <w:bottom w:val="nil"/>
              <w:right w:val="nil"/>
            </w:tcBorders>
            <w:noWrap w:val="0"/>
            <w:vAlign w:val="center"/>
          </w:tcPr>
          <w:p w14:paraId="543BC6FC">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50</w:t>
            </w:r>
          </w:p>
        </w:tc>
        <w:tc>
          <w:tcPr>
            <w:tcW w:w="1534" w:type="dxa"/>
            <w:tcBorders>
              <w:top w:val="nil"/>
              <w:left w:val="nil"/>
              <w:bottom w:val="nil"/>
              <w:right w:val="nil"/>
            </w:tcBorders>
            <w:noWrap w:val="0"/>
            <w:vAlign w:val="center"/>
          </w:tcPr>
          <w:p w14:paraId="5C0C3EBF">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4.42</w:t>
            </w:r>
          </w:p>
        </w:tc>
      </w:tr>
      <w:tr w14:paraId="2CDF2D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81" w:type="dxa"/>
            <w:vMerge w:val="continue"/>
            <w:tcBorders>
              <w:top w:val="nil"/>
              <w:left w:val="nil"/>
              <w:right w:val="nil"/>
            </w:tcBorders>
            <w:noWrap w:val="0"/>
            <w:vAlign w:val="center"/>
          </w:tcPr>
          <w:p w14:paraId="2F557634">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p>
        </w:tc>
        <w:tc>
          <w:tcPr>
            <w:tcW w:w="3444" w:type="dxa"/>
            <w:tcBorders>
              <w:top w:val="nil"/>
              <w:left w:val="nil"/>
              <w:right w:val="nil"/>
            </w:tcBorders>
            <w:noWrap w:val="0"/>
            <w:vAlign w:val="center"/>
          </w:tcPr>
          <w:p w14:paraId="27E9A74B">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Official Establishment</w:t>
            </w:r>
          </w:p>
        </w:tc>
        <w:tc>
          <w:tcPr>
            <w:tcW w:w="1205" w:type="dxa"/>
            <w:tcBorders>
              <w:top w:val="nil"/>
              <w:left w:val="nil"/>
              <w:right w:val="nil"/>
            </w:tcBorders>
            <w:noWrap w:val="0"/>
            <w:vAlign w:val="center"/>
          </w:tcPr>
          <w:p w14:paraId="55686615">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191</w:t>
            </w:r>
          </w:p>
        </w:tc>
        <w:tc>
          <w:tcPr>
            <w:tcW w:w="1534" w:type="dxa"/>
            <w:tcBorders>
              <w:top w:val="nil"/>
              <w:left w:val="nil"/>
              <w:right w:val="nil"/>
            </w:tcBorders>
            <w:noWrap w:val="0"/>
            <w:vAlign w:val="center"/>
          </w:tcPr>
          <w:p w14:paraId="4D496BF0">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16.87</w:t>
            </w:r>
          </w:p>
        </w:tc>
      </w:tr>
      <w:tr w14:paraId="5D1D95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81" w:type="dxa"/>
            <w:vMerge w:val="restart"/>
            <w:tcBorders>
              <w:left w:val="nil"/>
              <w:bottom w:val="nil"/>
              <w:right w:val="nil"/>
            </w:tcBorders>
            <w:noWrap w:val="0"/>
            <w:vAlign w:val="center"/>
          </w:tcPr>
          <w:p w14:paraId="2BC514A3">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Salary Level</w:t>
            </w:r>
          </w:p>
          <w:p w14:paraId="5A08E89E">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(In Months CNY)</w:t>
            </w:r>
          </w:p>
          <w:p w14:paraId="5CC9C3A3">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(N=1132)</w:t>
            </w:r>
          </w:p>
        </w:tc>
        <w:tc>
          <w:tcPr>
            <w:tcW w:w="3444" w:type="dxa"/>
            <w:tcBorders>
              <w:left w:val="nil"/>
              <w:bottom w:val="nil"/>
              <w:right w:val="nil"/>
            </w:tcBorders>
            <w:noWrap w:val="0"/>
            <w:vAlign w:val="center"/>
          </w:tcPr>
          <w:p w14:paraId="013DB676">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&lt;4000</w:t>
            </w:r>
          </w:p>
        </w:tc>
        <w:tc>
          <w:tcPr>
            <w:tcW w:w="1205" w:type="dxa"/>
            <w:tcBorders>
              <w:left w:val="nil"/>
              <w:bottom w:val="nil"/>
              <w:right w:val="nil"/>
            </w:tcBorders>
            <w:noWrap w:val="0"/>
            <w:vAlign w:val="center"/>
          </w:tcPr>
          <w:p w14:paraId="4B9862D9">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130</w:t>
            </w:r>
          </w:p>
        </w:tc>
        <w:tc>
          <w:tcPr>
            <w:tcW w:w="1534" w:type="dxa"/>
            <w:tcBorders>
              <w:left w:val="nil"/>
              <w:bottom w:val="nil"/>
              <w:right w:val="nil"/>
            </w:tcBorders>
            <w:noWrap w:val="0"/>
            <w:vAlign w:val="center"/>
          </w:tcPr>
          <w:p w14:paraId="0398EBDB">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11.48</w:t>
            </w:r>
          </w:p>
        </w:tc>
      </w:tr>
      <w:tr w14:paraId="4E426E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81" w:type="dxa"/>
            <w:vMerge w:val="continue"/>
            <w:tcBorders>
              <w:top w:val="nil"/>
              <w:left w:val="nil"/>
              <w:bottom w:val="nil"/>
              <w:right w:val="nil"/>
            </w:tcBorders>
            <w:noWrap w:val="0"/>
            <w:vAlign w:val="center"/>
          </w:tcPr>
          <w:p w14:paraId="6A2023A7">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p>
        </w:tc>
        <w:tc>
          <w:tcPr>
            <w:tcW w:w="3444" w:type="dxa"/>
            <w:tcBorders>
              <w:top w:val="nil"/>
              <w:left w:val="nil"/>
              <w:bottom w:val="nil"/>
              <w:right w:val="nil"/>
            </w:tcBorders>
            <w:noWrap w:val="0"/>
            <w:vAlign w:val="center"/>
          </w:tcPr>
          <w:p w14:paraId="01677FC6">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4000—7999</w:t>
            </w:r>
          </w:p>
        </w:tc>
        <w:tc>
          <w:tcPr>
            <w:tcW w:w="1205" w:type="dxa"/>
            <w:tcBorders>
              <w:top w:val="nil"/>
              <w:left w:val="nil"/>
              <w:bottom w:val="nil"/>
              <w:right w:val="nil"/>
            </w:tcBorders>
            <w:noWrap w:val="0"/>
            <w:vAlign w:val="center"/>
          </w:tcPr>
          <w:p w14:paraId="764A6BC9">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815</w:t>
            </w:r>
          </w:p>
        </w:tc>
        <w:tc>
          <w:tcPr>
            <w:tcW w:w="1534" w:type="dxa"/>
            <w:tcBorders>
              <w:top w:val="nil"/>
              <w:left w:val="nil"/>
              <w:bottom w:val="nil"/>
              <w:right w:val="nil"/>
            </w:tcBorders>
            <w:noWrap w:val="0"/>
            <w:vAlign w:val="center"/>
          </w:tcPr>
          <w:p w14:paraId="59AD58E2">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72</w:t>
            </w:r>
          </w:p>
        </w:tc>
      </w:tr>
      <w:tr w14:paraId="44BCDA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81" w:type="dxa"/>
            <w:vMerge w:val="continue"/>
            <w:tcBorders>
              <w:top w:val="nil"/>
              <w:left w:val="nil"/>
              <w:right w:val="nil"/>
            </w:tcBorders>
            <w:noWrap w:val="0"/>
            <w:vAlign w:val="center"/>
          </w:tcPr>
          <w:p w14:paraId="73AC2C8F">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p>
        </w:tc>
        <w:tc>
          <w:tcPr>
            <w:tcW w:w="3444" w:type="dxa"/>
            <w:tcBorders>
              <w:top w:val="nil"/>
              <w:left w:val="nil"/>
              <w:right w:val="nil"/>
            </w:tcBorders>
            <w:noWrap w:val="0"/>
            <w:vAlign w:val="center"/>
          </w:tcPr>
          <w:p w14:paraId="2B982661">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≥8000</w:t>
            </w:r>
          </w:p>
        </w:tc>
        <w:tc>
          <w:tcPr>
            <w:tcW w:w="1205" w:type="dxa"/>
            <w:tcBorders>
              <w:top w:val="nil"/>
              <w:left w:val="nil"/>
              <w:right w:val="nil"/>
            </w:tcBorders>
            <w:noWrap w:val="0"/>
            <w:vAlign w:val="center"/>
          </w:tcPr>
          <w:p w14:paraId="7D992CB1">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187</w:t>
            </w:r>
          </w:p>
        </w:tc>
        <w:tc>
          <w:tcPr>
            <w:tcW w:w="1534" w:type="dxa"/>
            <w:tcBorders>
              <w:top w:val="nil"/>
              <w:left w:val="nil"/>
              <w:right w:val="nil"/>
            </w:tcBorders>
            <w:noWrap w:val="0"/>
            <w:vAlign w:val="center"/>
          </w:tcPr>
          <w:p w14:paraId="72727C62">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16.52</w:t>
            </w:r>
          </w:p>
        </w:tc>
      </w:tr>
      <w:tr w14:paraId="0D5B3A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81" w:type="dxa"/>
            <w:vMerge w:val="restart"/>
            <w:tcBorders>
              <w:left w:val="nil"/>
              <w:bottom w:val="nil"/>
              <w:right w:val="nil"/>
            </w:tcBorders>
            <w:noWrap w:val="0"/>
            <w:vAlign w:val="center"/>
          </w:tcPr>
          <w:p w14:paraId="0C55D32D">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Section</w:t>
            </w:r>
          </w:p>
          <w:p w14:paraId="6924818B">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(N=1132)</w:t>
            </w:r>
          </w:p>
        </w:tc>
        <w:tc>
          <w:tcPr>
            <w:tcW w:w="3444" w:type="dxa"/>
            <w:tcBorders>
              <w:left w:val="nil"/>
              <w:bottom w:val="nil"/>
              <w:right w:val="nil"/>
            </w:tcBorders>
            <w:noWrap w:val="0"/>
            <w:vAlign w:val="center"/>
          </w:tcPr>
          <w:p w14:paraId="5D847419">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Internal Medicine</w:t>
            </w:r>
          </w:p>
        </w:tc>
        <w:tc>
          <w:tcPr>
            <w:tcW w:w="1205" w:type="dxa"/>
            <w:tcBorders>
              <w:left w:val="nil"/>
              <w:bottom w:val="nil"/>
              <w:right w:val="nil"/>
            </w:tcBorders>
            <w:noWrap w:val="0"/>
            <w:vAlign w:val="center"/>
          </w:tcPr>
          <w:p w14:paraId="1418D37A">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359</w:t>
            </w:r>
          </w:p>
        </w:tc>
        <w:tc>
          <w:tcPr>
            <w:tcW w:w="1534" w:type="dxa"/>
            <w:tcBorders>
              <w:left w:val="nil"/>
              <w:bottom w:val="nil"/>
              <w:right w:val="nil"/>
            </w:tcBorders>
            <w:noWrap w:val="0"/>
            <w:vAlign w:val="center"/>
          </w:tcPr>
          <w:p w14:paraId="01CBA427">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31.71</w:t>
            </w:r>
          </w:p>
        </w:tc>
      </w:tr>
      <w:tr w14:paraId="7C7A55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81" w:type="dxa"/>
            <w:vMerge w:val="continue"/>
            <w:tcBorders>
              <w:top w:val="nil"/>
              <w:left w:val="nil"/>
              <w:bottom w:val="nil"/>
              <w:right w:val="nil"/>
            </w:tcBorders>
            <w:noWrap w:val="0"/>
            <w:vAlign w:val="center"/>
          </w:tcPr>
          <w:p w14:paraId="2C33C2F1">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p>
        </w:tc>
        <w:tc>
          <w:tcPr>
            <w:tcW w:w="3444" w:type="dxa"/>
            <w:tcBorders>
              <w:top w:val="nil"/>
              <w:left w:val="nil"/>
              <w:bottom w:val="nil"/>
              <w:right w:val="nil"/>
            </w:tcBorders>
            <w:noWrap w:val="0"/>
            <w:vAlign w:val="center"/>
          </w:tcPr>
          <w:p w14:paraId="18F224C8">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Surgery</w:t>
            </w:r>
          </w:p>
        </w:tc>
        <w:tc>
          <w:tcPr>
            <w:tcW w:w="1205" w:type="dxa"/>
            <w:tcBorders>
              <w:top w:val="nil"/>
              <w:left w:val="nil"/>
              <w:bottom w:val="nil"/>
              <w:right w:val="nil"/>
            </w:tcBorders>
            <w:noWrap w:val="0"/>
            <w:vAlign w:val="center"/>
          </w:tcPr>
          <w:p w14:paraId="2ABDE869">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291</w:t>
            </w:r>
          </w:p>
        </w:tc>
        <w:tc>
          <w:tcPr>
            <w:tcW w:w="1534" w:type="dxa"/>
            <w:tcBorders>
              <w:top w:val="nil"/>
              <w:left w:val="nil"/>
              <w:bottom w:val="nil"/>
              <w:right w:val="nil"/>
            </w:tcBorders>
            <w:noWrap w:val="0"/>
            <w:vAlign w:val="center"/>
          </w:tcPr>
          <w:p w14:paraId="50D244C2">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25.71</w:t>
            </w:r>
          </w:p>
        </w:tc>
      </w:tr>
      <w:tr w14:paraId="0B7C1C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81" w:type="dxa"/>
            <w:vMerge w:val="continue"/>
            <w:tcBorders>
              <w:top w:val="nil"/>
              <w:left w:val="nil"/>
              <w:bottom w:val="nil"/>
              <w:right w:val="nil"/>
            </w:tcBorders>
            <w:noWrap w:val="0"/>
            <w:vAlign w:val="center"/>
          </w:tcPr>
          <w:p w14:paraId="281AF8A1">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p>
        </w:tc>
        <w:tc>
          <w:tcPr>
            <w:tcW w:w="3444" w:type="dxa"/>
            <w:tcBorders>
              <w:top w:val="nil"/>
              <w:left w:val="nil"/>
              <w:bottom w:val="nil"/>
              <w:right w:val="nil"/>
            </w:tcBorders>
            <w:noWrap w:val="0"/>
            <w:vAlign w:val="center"/>
          </w:tcPr>
          <w:p w14:paraId="190CC6D5">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Outpatient</w:t>
            </w:r>
          </w:p>
        </w:tc>
        <w:tc>
          <w:tcPr>
            <w:tcW w:w="1205" w:type="dxa"/>
            <w:tcBorders>
              <w:top w:val="nil"/>
              <w:left w:val="nil"/>
              <w:bottom w:val="nil"/>
              <w:right w:val="nil"/>
            </w:tcBorders>
            <w:noWrap w:val="0"/>
            <w:vAlign w:val="center"/>
          </w:tcPr>
          <w:p w14:paraId="161A182F">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114</w:t>
            </w:r>
          </w:p>
        </w:tc>
        <w:tc>
          <w:tcPr>
            <w:tcW w:w="1534" w:type="dxa"/>
            <w:tcBorders>
              <w:top w:val="nil"/>
              <w:left w:val="nil"/>
              <w:bottom w:val="nil"/>
              <w:right w:val="nil"/>
            </w:tcBorders>
            <w:noWrap w:val="0"/>
            <w:vAlign w:val="center"/>
          </w:tcPr>
          <w:p w14:paraId="13F98016">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10.07</w:t>
            </w:r>
          </w:p>
        </w:tc>
      </w:tr>
      <w:tr w14:paraId="5BABBD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81" w:type="dxa"/>
            <w:vMerge w:val="continue"/>
            <w:tcBorders>
              <w:top w:val="nil"/>
              <w:left w:val="nil"/>
              <w:bottom w:val="nil"/>
              <w:right w:val="nil"/>
            </w:tcBorders>
            <w:noWrap w:val="0"/>
            <w:vAlign w:val="center"/>
          </w:tcPr>
          <w:p w14:paraId="791ABAEC">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p>
        </w:tc>
        <w:tc>
          <w:tcPr>
            <w:tcW w:w="3444" w:type="dxa"/>
            <w:tcBorders>
              <w:top w:val="nil"/>
              <w:left w:val="nil"/>
              <w:bottom w:val="nil"/>
              <w:right w:val="nil"/>
            </w:tcBorders>
            <w:noWrap w:val="0"/>
            <w:vAlign w:val="center"/>
          </w:tcPr>
          <w:p w14:paraId="2AC59D62">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Operating Room</w:t>
            </w:r>
          </w:p>
        </w:tc>
        <w:tc>
          <w:tcPr>
            <w:tcW w:w="1205" w:type="dxa"/>
            <w:tcBorders>
              <w:top w:val="nil"/>
              <w:left w:val="nil"/>
              <w:bottom w:val="nil"/>
              <w:right w:val="nil"/>
            </w:tcBorders>
            <w:noWrap w:val="0"/>
            <w:vAlign w:val="center"/>
          </w:tcPr>
          <w:p w14:paraId="32F66E0F">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80</w:t>
            </w:r>
          </w:p>
        </w:tc>
        <w:tc>
          <w:tcPr>
            <w:tcW w:w="1534" w:type="dxa"/>
            <w:tcBorders>
              <w:top w:val="nil"/>
              <w:left w:val="nil"/>
              <w:bottom w:val="nil"/>
              <w:right w:val="nil"/>
            </w:tcBorders>
            <w:noWrap w:val="0"/>
            <w:vAlign w:val="center"/>
          </w:tcPr>
          <w:p w14:paraId="6EE45152">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7.07</w:t>
            </w:r>
          </w:p>
        </w:tc>
      </w:tr>
      <w:tr w14:paraId="3C7C9C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81" w:type="dxa"/>
            <w:vMerge w:val="continue"/>
            <w:tcBorders>
              <w:top w:val="nil"/>
              <w:left w:val="nil"/>
              <w:right w:val="nil"/>
            </w:tcBorders>
            <w:noWrap w:val="0"/>
            <w:vAlign w:val="center"/>
          </w:tcPr>
          <w:p w14:paraId="24F76DA3">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p>
        </w:tc>
        <w:tc>
          <w:tcPr>
            <w:tcW w:w="3444" w:type="dxa"/>
            <w:tcBorders>
              <w:top w:val="nil"/>
              <w:left w:val="nil"/>
              <w:right w:val="nil"/>
            </w:tcBorders>
            <w:noWrap w:val="0"/>
            <w:vAlign w:val="center"/>
          </w:tcPr>
          <w:p w14:paraId="34691EC8">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Others</w:t>
            </w:r>
          </w:p>
        </w:tc>
        <w:tc>
          <w:tcPr>
            <w:tcW w:w="1205" w:type="dxa"/>
            <w:tcBorders>
              <w:top w:val="nil"/>
              <w:left w:val="nil"/>
              <w:right w:val="nil"/>
            </w:tcBorders>
            <w:noWrap w:val="0"/>
            <w:vAlign w:val="center"/>
          </w:tcPr>
          <w:p w14:paraId="7982D10E">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288</w:t>
            </w:r>
          </w:p>
        </w:tc>
        <w:tc>
          <w:tcPr>
            <w:tcW w:w="1534" w:type="dxa"/>
            <w:tcBorders>
              <w:top w:val="nil"/>
              <w:left w:val="nil"/>
              <w:right w:val="nil"/>
            </w:tcBorders>
            <w:noWrap w:val="0"/>
            <w:vAlign w:val="center"/>
          </w:tcPr>
          <w:p w14:paraId="40B23675">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25.44</w:t>
            </w:r>
          </w:p>
        </w:tc>
      </w:tr>
      <w:tr w14:paraId="7A834D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464" w:type="dxa"/>
            <w:gridSpan w:val="4"/>
            <w:tcBorders>
              <w:left w:val="nil"/>
              <w:bottom w:val="nil"/>
              <w:right w:val="nil"/>
            </w:tcBorders>
            <w:noWrap w:val="0"/>
            <w:vAlign w:val="center"/>
          </w:tcPr>
          <w:p w14:paraId="7E96C6FB">
            <w:pPr>
              <w:autoSpaceDE w:val="0"/>
              <w:autoSpaceDN w:val="0"/>
              <w:adjustRightInd w:val="0"/>
              <w:spacing w:line="240" w:lineRule="auto"/>
              <w:jc w:val="left"/>
              <w:rPr>
                <w:rFonts w:hint="default" w:ascii="Times New Roman" w:hAnsi="Times New Roman" w:cs="Times New Roman"/>
                <w:color w:val="auto"/>
                <w:kern w:val="0"/>
                <w:sz w:val="21"/>
                <w:szCs w:val="21"/>
                <w:highlight w:val="none"/>
                <w:lang w:val="en-US" w:eastAsia="zh-CN"/>
              </w:rPr>
            </w:pPr>
            <w:r>
              <w:rPr>
                <w:rFonts w:hint="default" w:ascii="Times New Roman" w:hAnsi="Times New Roman" w:cs="Times New Roman"/>
                <w:i/>
                <w:color w:val="auto"/>
                <w:kern w:val="0"/>
                <w:sz w:val="21"/>
                <w:szCs w:val="21"/>
                <w:highlight w:val="none"/>
              </w:rPr>
              <w:t>Note:</w:t>
            </w:r>
            <w:r>
              <w:rPr>
                <w:rFonts w:hint="default" w:ascii="Times New Roman" w:hAnsi="Times New Roman" w:cs="Times New Roman"/>
                <w:color w:val="auto"/>
                <w:kern w:val="0"/>
                <w:sz w:val="21"/>
                <w:szCs w:val="21"/>
                <w:highlight w:val="none"/>
              </w:rPr>
              <w:t xml:space="preserve"> N represents the effective sample size of the project</w:t>
            </w:r>
            <w:r>
              <w:rPr>
                <w:rFonts w:hint="default" w:ascii="Times New Roman" w:hAnsi="Times New Roman" w:cs="Times New Roman"/>
                <w:color w:val="auto"/>
                <w:kern w:val="0"/>
                <w:sz w:val="21"/>
                <w:szCs w:val="21"/>
                <w:highlight w:val="none"/>
                <w:lang w:val="en-US" w:eastAsia="zh-CN"/>
              </w:rPr>
              <w:t xml:space="preserve">; </w:t>
            </w:r>
          </w:p>
          <w:p w14:paraId="2A4F252A">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i/>
                <w:iCs/>
                <w:color w:val="auto"/>
                <w:kern w:val="0"/>
                <w:sz w:val="21"/>
                <w:szCs w:val="21"/>
                <w:highlight w:val="none"/>
              </w:rPr>
              <w:t>Abbreviation:</w:t>
            </w:r>
            <w:r>
              <w:rPr>
                <w:rFonts w:hint="default" w:ascii="Times New Roman" w:hAnsi="Times New Roman" w:cs="Times New Roman"/>
                <w:color w:val="auto"/>
                <w:kern w:val="0"/>
                <w:sz w:val="21"/>
                <w:szCs w:val="21"/>
                <w:highlight w:val="none"/>
              </w:rPr>
              <w:t xml:space="preserve"> CNY</w:t>
            </w:r>
            <w:r>
              <w:rPr>
                <w:rFonts w:hint="default" w:ascii="Times New Roman" w:hAnsi="Times New Roman" w:cs="Times New Roman"/>
                <w:color w:val="auto"/>
                <w:kern w:val="0"/>
                <w:sz w:val="21"/>
                <w:szCs w:val="21"/>
                <w:highlight w:val="none"/>
                <w:lang w:val="en-US" w:eastAsia="zh-CN"/>
              </w:rPr>
              <w:t>:</w:t>
            </w:r>
            <w:r>
              <w:rPr>
                <w:rFonts w:hint="default" w:ascii="Times New Roman" w:hAnsi="Times New Roman" w:cs="Times New Roman"/>
                <w:color w:val="auto"/>
                <w:kern w:val="0"/>
                <w:sz w:val="21"/>
                <w:szCs w:val="21"/>
                <w:highlight w:val="none"/>
              </w:rPr>
              <w:t xml:space="preserve"> Chinese Yuan</w:t>
            </w:r>
            <w:r>
              <w:rPr>
                <w:rFonts w:hint="default" w:ascii="Times New Roman" w:hAnsi="Times New Roman" w:cs="Times New Roman"/>
                <w:color w:val="auto"/>
                <w:kern w:val="0"/>
                <w:sz w:val="21"/>
                <w:szCs w:val="21"/>
                <w:highlight w:val="none"/>
                <w:lang w:val="en-US" w:eastAsia="zh-CN"/>
              </w:rPr>
              <w:t>.</w:t>
            </w:r>
          </w:p>
        </w:tc>
      </w:tr>
    </w:tbl>
    <w:p w14:paraId="08C812B8">
      <w:pPr>
        <w:rPr>
          <w:rFonts w:hint="default" w:ascii="Times New Roman" w:hAnsi="Times New Roman" w:cs="Times New Roman"/>
          <w:color w:val="auto"/>
          <w:sz w:val="21"/>
          <w:szCs w:val="21"/>
          <w:highlight w:val="none"/>
          <w:lang w:val="en-US" w:eastAsia="zh-CN"/>
        </w:rPr>
      </w:pPr>
    </w:p>
    <w:p w14:paraId="50268818">
      <w:pPr>
        <w:keepNext w:val="0"/>
        <w:keepLines w:val="0"/>
        <w:pageBreakBefore w:val="0"/>
        <w:widowControl w:val="0"/>
        <w:kinsoku/>
        <w:wordWrap/>
        <w:overflowPunct/>
        <w:topLinePunct w:val="0"/>
        <w:autoSpaceDE w:val="0"/>
        <w:autoSpaceDN w:val="0"/>
        <w:bidi w:val="0"/>
        <w:adjustRightInd w:val="0"/>
        <w:snapToGrid/>
        <w:spacing w:line="240" w:lineRule="auto"/>
        <w:jc w:val="left"/>
        <w:textAlignment w:val="auto"/>
        <w:rPr>
          <w:rFonts w:hint="default" w:ascii="Times New Roman" w:hAnsi="Times New Roman" w:cs="Times New Roman"/>
          <w:b/>
          <w:bCs/>
          <w:color w:val="auto"/>
          <w:kern w:val="0"/>
          <w:sz w:val="21"/>
          <w:szCs w:val="21"/>
          <w:highlight w:val="none"/>
        </w:rPr>
      </w:pPr>
      <w:r>
        <w:rPr>
          <w:rFonts w:hint="default" w:ascii="Times New Roman" w:hAnsi="Times New Roman" w:cs="Times New Roman"/>
          <w:b/>
          <w:bCs/>
          <w:color w:val="auto"/>
          <w:kern w:val="0"/>
          <w:sz w:val="21"/>
          <w:szCs w:val="21"/>
          <w:highlight w:val="none"/>
          <w:lang w:val="en-US" w:eastAsia="zh-CN"/>
        </w:rPr>
        <w:t>Appendix</w:t>
      </w:r>
      <w:r>
        <w:rPr>
          <w:rFonts w:hint="default" w:ascii="Times New Roman" w:hAnsi="Times New Roman" w:cs="Times New Roman"/>
          <w:b/>
          <w:bCs/>
          <w:color w:val="auto"/>
          <w:kern w:val="0"/>
          <w:sz w:val="21"/>
          <w:szCs w:val="21"/>
          <w:highlight w:val="none"/>
        </w:rPr>
        <w:t xml:space="preserve"> 2 </w:t>
      </w:r>
      <w:r>
        <w:rPr>
          <w:rFonts w:hint="default" w:ascii="Times New Roman" w:hAnsi="Times New Roman" w:cs="Times New Roman"/>
          <w:color w:val="auto"/>
          <w:kern w:val="0"/>
          <w:sz w:val="21"/>
          <w:szCs w:val="21"/>
          <w:highlight w:val="none"/>
        </w:rPr>
        <w:t>EVLN behavioral indicators of nurses in hospital</w:t>
      </w:r>
    </w:p>
    <w:tbl>
      <w:tblPr>
        <w:tblStyle w:val="5"/>
        <w:tblW w:w="5853" w:type="pct"/>
        <w:tblInd w:w="-68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56"/>
        <w:gridCol w:w="6474"/>
        <w:gridCol w:w="736"/>
        <w:gridCol w:w="910"/>
      </w:tblGrid>
      <w:tr w14:paraId="41FE9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0" w:type="pct"/>
            <w:tcBorders>
              <w:left w:val="nil"/>
              <w:right w:val="nil"/>
            </w:tcBorders>
            <w:noWrap w:val="0"/>
            <w:vAlign w:val="center"/>
          </w:tcPr>
          <w:p w14:paraId="147E68B5">
            <w:pPr>
              <w:autoSpaceDE w:val="0"/>
              <w:autoSpaceDN w:val="0"/>
              <w:adjustRightInd w:val="0"/>
              <w:spacing w:line="240" w:lineRule="auto"/>
              <w:rPr>
                <w:rFonts w:hint="default" w:ascii="Times New Roman" w:hAnsi="Times New Roman" w:cs="Times New Roman"/>
                <w:bCs/>
                <w:color w:val="auto"/>
                <w:kern w:val="0"/>
                <w:sz w:val="21"/>
                <w:szCs w:val="21"/>
                <w:highlight w:val="none"/>
              </w:rPr>
            </w:pPr>
            <w:r>
              <w:rPr>
                <w:rFonts w:hint="default" w:ascii="Times New Roman" w:hAnsi="Times New Roman" w:cs="Times New Roman"/>
                <w:bCs/>
                <w:color w:val="auto"/>
                <w:kern w:val="0"/>
                <w:sz w:val="21"/>
                <w:szCs w:val="21"/>
                <w:highlight w:val="none"/>
              </w:rPr>
              <w:t>First–level indicators</w:t>
            </w:r>
          </w:p>
        </w:tc>
        <w:tc>
          <w:tcPr>
            <w:tcW w:w="3244" w:type="pct"/>
            <w:tcBorders>
              <w:left w:val="nil"/>
              <w:right w:val="nil"/>
            </w:tcBorders>
            <w:noWrap w:val="0"/>
            <w:vAlign w:val="center"/>
          </w:tcPr>
          <w:p w14:paraId="0912695E">
            <w:pPr>
              <w:autoSpaceDE w:val="0"/>
              <w:autoSpaceDN w:val="0"/>
              <w:adjustRightInd w:val="0"/>
              <w:spacing w:line="240" w:lineRule="auto"/>
              <w:rPr>
                <w:rFonts w:hint="default" w:ascii="Times New Roman" w:hAnsi="Times New Roman" w:cs="Times New Roman"/>
                <w:bCs/>
                <w:color w:val="auto"/>
                <w:kern w:val="0"/>
                <w:sz w:val="21"/>
                <w:szCs w:val="21"/>
                <w:highlight w:val="none"/>
              </w:rPr>
            </w:pPr>
            <w:r>
              <w:rPr>
                <w:rFonts w:hint="default" w:ascii="Times New Roman" w:hAnsi="Times New Roman" w:cs="Times New Roman"/>
                <w:bCs/>
                <w:color w:val="auto"/>
                <w:kern w:val="0"/>
                <w:sz w:val="21"/>
                <w:szCs w:val="21"/>
                <w:highlight w:val="none"/>
              </w:rPr>
              <w:t>Second–level indicators</w:t>
            </w:r>
          </w:p>
        </w:tc>
        <w:tc>
          <w:tcPr>
            <w:tcW w:w="369" w:type="pct"/>
            <w:tcBorders>
              <w:left w:val="nil"/>
              <w:right w:val="nil"/>
            </w:tcBorders>
            <w:noWrap w:val="0"/>
            <w:vAlign w:val="center"/>
          </w:tcPr>
          <w:p w14:paraId="0CC5B314">
            <w:pPr>
              <w:autoSpaceDE w:val="0"/>
              <w:autoSpaceDN w:val="0"/>
              <w:adjustRightInd w:val="0"/>
              <w:spacing w:line="240" w:lineRule="auto"/>
              <w:rPr>
                <w:rFonts w:hint="default" w:ascii="Times New Roman" w:hAnsi="Times New Roman" w:cs="Times New Roman"/>
                <w:bCs/>
                <w:color w:val="auto"/>
                <w:kern w:val="0"/>
                <w:sz w:val="21"/>
                <w:szCs w:val="21"/>
                <w:highlight w:val="none"/>
              </w:rPr>
            </w:pPr>
            <w:r>
              <w:rPr>
                <w:rFonts w:hint="default" w:ascii="Times New Roman" w:hAnsi="Times New Roman" w:cs="Times New Roman"/>
                <w:bCs/>
                <w:color w:val="auto"/>
                <w:kern w:val="0"/>
                <w:sz w:val="21"/>
                <w:szCs w:val="21"/>
                <w:highlight w:val="none"/>
              </w:rPr>
              <w:t>Sign</w:t>
            </w:r>
          </w:p>
        </w:tc>
        <w:tc>
          <w:tcPr>
            <w:tcW w:w="456" w:type="pct"/>
            <w:tcBorders>
              <w:left w:val="nil"/>
              <w:right w:val="nil"/>
            </w:tcBorders>
            <w:noWrap w:val="0"/>
            <w:vAlign w:val="center"/>
          </w:tcPr>
          <w:p w14:paraId="18956FC5">
            <w:pPr>
              <w:autoSpaceDE w:val="0"/>
              <w:autoSpaceDN w:val="0"/>
              <w:adjustRightInd w:val="0"/>
              <w:spacing w:line="240" w:lineRule="auto"/>
              <w:rPr>
                <w:rFonts w:hint="default" w:ascii="Times New Roman" w:hAnsi="Times New Roman" w:cs="Times New Roman"/>
                <w:bCs/>
                <w:color w:val="auto"/>
                <w:kern w:val="0"/>
                <w:sz w:val="21"/>
                <w:szCs w:val="21"/>
                <w:highlight w:val="none"/>
              </w:rPr>
            </w:pPr>
            <w:r>
              <w:rPr>
                <w:rFonts w:hint="default" w:ascii="Times New Roman" w:hAnsi="Times New Roman" w:cs="Times New Roman"/>
                <w:bCs/>
                <w:color w:val="auto"/>
                <w:kern w:val="0"/>
                <w:sz w:val="21"/>
                <w:szCs w:val="21"/>
                <w:highlight w:val="none"/>
              </w:rPr>
              <w:t>Weight</w:t>
            </w:r>
          </w:p>
        </w:tc>
      </w:tr>
      <w:tr w14:paraId="139DB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0" w:type="pct"/>
            <w:vMerge w:val="restart"/>
            <w:tcBorders>
              <w:left w:val="nil"/>
              <w:right w:val="nil"/>
            </w:tcBorders>
            <w:noWrap w:val="0"/>
            <w:vAlign w:val="top"/>
          </w:tcPr>
          <w:p w14:paraId="2522625D">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Exit</w:t>
            </w:r>
          </w:p>
        </w:tc>
        <w:tc>
          <w:tcPr>
            <w:tcW w:w="3244" w:type="pct"/>
            <w:tcBorders>
              <w:left w:val="nil"/>
              <w:bottom w:val="nil"/>
              <w:right w:val="nil"/>
            </w:tcBorders>
            <w:noWrap w:val="0"/>
            <w:vAlign w:val="top"/>
          </w:tcPr>
          <w:p w14:paraId="7904651B">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I often feel like quitting my job.</w:t>
            </w:r>
          </w:p>
        </w:tc>
        <w:tc>
          <w:tcPr>
            <w:tcW w:w="369" w:type="pct"/>
            <w:tcBorders>
              <w:left w:val="nil"/>
              <w:bottom w:val="nil"/>
              <w:right w:val="nil"/>
            </w:tcBorders>
            <w:noWrap w:val="0"/>
            <w:vAlign w:val="top"/>
          </w:tcPr>
          <w:p w14:paraId="175938A1">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w:t>
            </w:r>
          </w:p>
        </w:tc>
        <w:tc>
          <w:tcPr>
            <w:tcW w:w="456" w:type="pct"/>
            <w:tcBorders>
              <w:left w:val="nil"/>
              <w:bottom w:val="nil"/>
              <w:right w:val="nil"/>
            </w:tcBorders>
            <w:noWrap w:val="0"/>
            <w:vAlign w:val="top"/>
          </w:tcPr>
          <w:p w14:paraId="4378F704">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25.66%</w:t>
            </w:r>
          </w:p>
        </w:tc>
      </w:tr>
      <w:tr w14:paraId="1C7B3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0" w:type="pct"/>
            <w:vMerge w:val="continue"/>
            <w:tcBorders>
              <w:left w:val="nil"/>
              <w:right w:val="nil"/>
            </w:tcBorders>
            <w:noWrap w:val="0"/>
            <w:vAlign w:val="top"/>
          </w:tcPr>
          <w:p w14:paraId="09F6AB0A">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p>
        </w:tc>
        <w:tc>
          <w:tcPr>
            <w:tcW w:w="3244" w:type="pct"/>
            <w:tcBorders>
              <w:top w:val="nil"/>
              <w:left w:val="nil"/>
              <w:bottom w:val="nil"/>
              <w:right w:val="nil"/>
            </w:tcBorders>
            <w:noWrap w:val="0"/>
            <w:vAlign w:val="top"/>
          </w:tcPr>
          <w:p w14:paraId="7555C24C">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I often feel like quitting my current job.</w:t>
            </w:r>
          </w:p>
        </w:tc>
        <w:tc>
          <w:tcPr>
            <w:tcW w:w="369" w:type="pct"/>
            <w:tcBorders>
              <w:top w:val="nil"/>
              <w:left w:val="nil"/>
              <w:bottom w:val="nil"/>
              <w:right w:val="nil"/>
            </w:tcBorders>
            <w:noWrap w:val="0"/>
            <w:vAlign w:val="top"/>
          </w:tcPr>
          <w:p w14:paraId="4E0E9F6D">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w:t>
            </w:r>
          </w:p>
        </w:tc>
        <w:tc>
          <w:tcPr>
            <w:tcW w:w="456" w:type="pct"/>
            <w:tcBorders>
              <w:top w:val="nil"/>
              <w:left w:val="nil"/>
              <w:bottom w:val="nil"/>
              <w:right w:val="nil"/>
            </w:tcBorders>
            <w:noWrap w:val="0"/>
            <w:vAlign w:val="top"/>
          </w:tcPr>
          <w:p w14:paraId="0054D7A4">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25.71%</w:t>
            </w:r>
          </w:p>
        </w:tc>
      </w:tr>
      <w:tr w14:paraId="3779B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0" w:type="pct"/>
            <w:vMerge w:val="continue"/>
            <w:tcBorders>
              <w:left w:val="nil"/>
              <w:right w:val="nil"/>
            </w:tcBorders>
            <w:noWrap w:val="0"/>
            <w:vAlign w:val="top"/>
          </w:tcPr>
          <w:p w14:paraId="3B5CA123">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p>
        </w:tc>
        <w:tc>
          <w:tcPr>
            <w:tcW w:w="3244" w:type="pct"/>
            <w:tcBorders>
              <w:top w:val="nil"/>
              <w:left w:val="nil"/>
              <w:bottom w:val="nil"/>
              <w:right w:val="nil"/>
            </w:tcBorders>
            <w:noWrap w:val="0"/>
            <w:vAlign w:val="top"/>
          </w:tcPr>
          <w:p w14:paraId="6884E5F8">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I would accept another new job.</w:t>
            </w:r>
          </w:p>
        </w:tc>
        <w:tc>
          <w:tcPr>
            <w:tcW w:w="369" w:type="pct"/>
            <w:tcBorders>
              <w:top w:val="nil"/>
              <w:left w:val="nil"/>
              <w:bottom w:val="nil"/>
              <w:right w:val="nil"/>
            </w:tcBorders>
            <w:noWrap w:val="0"/>
            <w:vAlign w:val="top"/>
          </w:tcPr>
          <w:p w14:paraId="72BB49BF">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w:t>
            </w:r>
          </w:p>
        </w:tc>
        <w:tc>
          <w:tcPr>
            <w:tcW w:w="456" w:type="pct"/>
            <w:tcBorders>
              <w:top w:val="nil"/>
              <w:left w:val="nil"/>
              <w:bottom w:val="nil"/>
              <w:right w:val="nil"/>
            </w:tcBorders>
            <w:noWrap w:val="0"/>
            <w:vAlign w:val="top"/>
          </w:tcPr>
          <w:p w14:paraId="19C47569">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25.28%</w:t>
            </w:r>
          </w:p>
        </w:tc>
      </w:tr>
      <w:tr w14:paraId="68BAD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0" w:type="pct"/>
            <w:vMerge w:val="continue"/>
            <w:tcBorders>
              <w:left w:val="nil"/>
              <w:right w:val="nil"/>
            </w:tcBorders>
            <w:noWrap w:val="0"/>
            <w:vAlign w:val="top"/>
          </w:tcPr>
          <w:p w14:paraId="1AB1EBA0">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p>
        </w:tc>
        <w:tc>
          <w:tcPr>
            <w:tcW w:w="3244" w:type="pct"/>
            <w:tcBorders>
              <w:top w:val="nil"/>
              <w:left w:val="nil"/>
              <w:right w:val="nil"/>
            </w:tcBorders>
            <w:noWrap w:val="0"/>
            <w:vAlign w:val="top"/>
          </w:tcPr>
          <w:p w14:paraId="03926115">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I would quit my current job.</w:t>
            </w:r>
          </w:p>
        </w:tc>
        <w:tc>
          <w:tcPr>
            <w:tcW w:w="369" w:type="pct"/>
            <w:tcBorders>
              <w:top w:val="nil"/>
              <w:left w:val="nil"/>
              <w:right w:val="nil"/>
            </w:tcBorders>
            <w:noWrap w:val="0"/>
            <w:vAlign w:val="top"/>
          </w:tcPr>
          <w:p w14:paraId="256CCC85">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w:t>
            </w:r>
          </w:p>
        </w:tc>
        <w:tc>
          <w:tcPr>
            <w:tcW w:w="456" w:type="pct"/>
            <w:tcBorders>
              <w:top w:val="nil"/>
              <w:left w:val="nil"/>
              <w:right w:val="nil"/>
            </w:tcBorders>
            <w:noWrap w:val="0"/>
            <w:vAlign w:val="top"/>
          </w:tcPr>
          <w:p w14:paraId="54AA0741">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23.34%</w:t>
            </w:r>
          </w:p>
        </w:tc>
      </w:tr>
      <w:tr w14:paraId="4F2D8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0" w:type="pct"/>
            <w:vMerge w:val="restart"/>
            <w:tcBorders>
              <w:left w:val="nil"/>
              <w:right w:val="nil"/>
            </w:tcBorders>
            <w:noWrap w:val="0"/>
            <w:vAlign w:val="top"/>
          </w:tcPr>
          <w:p w14:paraId="1A02F103">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Voice</w:t>
            </w:r>
          </w:p>
        </w:tc>
        <w:tc>
          <w:tcPr>
            <w:tcW w:w="3244" w:type="pct"/>
            <w:tcBorders>
              <w:left w:val="nil"/>
              <w:bottom w:val="nil"/>
              <w:right w:val="nil"/>
            </w:tcBorders>
            <w:noWrap w:val="0"/>
            <w:vAlign w:val="top"/>
          </w:tcPr>
          <w:p w14:paraId="2B9B2582">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I often discuss the current situation with my superiors.</w:t>
            </w:r>
          </w:p>
        </w:tc>
        <w:tc>
          <w:tcPr>
            <w:tcW w:w="369" w:type="pct"/>
            <w:tcBorders>
              <w:left w:val="nil"/>
              <w:bottom w:val="nil"/>
              <w:right w:val="nil"/>
            </w:tcBorders>
            <w:noWrap w:val="0"/>
            <w:vAlign w:val="top"/>
          </w:tcPr>
          <w:p w14:paraId="0AC15FBB">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w:t>
            </w:r>
          </w:p>
        </w:tc>
        <w:tc>
          <w:tcPr>
            <w:tcW w:w="456" w:type="pct"/>
            <w:tcBorders>
              <w:left w:val="nil"/>
              <w:bottom w:val="nil"/>
              <w:right w:val="nil"/>
            </w:tcBorders>
            <w:noWrap w:val="0"/>
            <w:vAlign w:val="top"/>
          </w:tcPr>
          <w:p w14:paraId="76ACD9C2">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27.74%</w:t>
            </w:r>
          </w:p>
        </w:tc>
      </w:tr>
      <w:tr w14:paraId="761A5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0" w:type="pct"/>
            <w:vMerge w:val="continue"/>
            <w:tcBorders>
              <w:left w:val="nil"/>
              <w:right w:val="nil"/>
            </w:tcBorders>
            <w:noWrap w:val="0"/>
            <w:vAlign w:val="top"/>
          </w:tcPr>
          <w:p w14:paraId="54299133">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p>
        </w:tc>
        <w:tc>
          <w:tcPr>
            <w:tcW w:w="3244" w:type="pct"/>
            <w:tcBorders>
              <w:top w:val="nil"/>
              <w:left w:val="nil"/>
              <w:bottom w:val="nil"/>
              <w:right w:val="nil"/>
            </w:tcBorders>
            <w:noWrap w:val="0"/>
            <w:vAlign w:val="top"/>
          </w:tcPr>
          <w:p w14:paraId="50D6A48B">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I often make suggestions to my superiors about certain problems in the organization.</w:t>
            </w:r>
          </w:p>
        </w:tc>
        <w:tc>
          <w:tcPr>
            <w:tcW w:w="369" w:type="pct"/>
            <w:tcBorders>
              <w:top w:val="nil"/>
              <w:left w:val="nil"/>
              <w:bottom w:val="nil"/>
              <w:right w:val="nil"/>
            </w:tcBorders>
            <w:noWrap w:val="0"/>
            <w:vAlign w:val="top"/>
          </w:tcPr>
          <w:p w14:paraId="74DC382F">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w:t>
            </w:r>
          </w:p>
        </w:tc>
        <w:tc>
          <w:tcPr>
            <w:tcW w:w="456" w:type="pct"/>
            <w:tcBorders>
              <w:top w:val="nil"/>
              <w:left w:val="nil"/>
              <w:bottom w:val="nil"/>
              <w:right w:val="nil"/>
            </w:tcBorders>
            <w:noWrap w:val="0"/>
            <w:vAlign w:val="top"/>
          </w:tcPr>
          <w:p w14:paraId="0891E38F">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21.59%</w:t>
            </w:r>
          </w:p>
        </w:tc>
      </w:tr>
      <w:tr w14:paraId="06973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0" w:type="pct"/>
            <w:vMerge w:val="continue"/>
            <w:tcBorders>
              <w:left w:val="nil"/>
              <w:right w:val="nil"/>
            </w:tcBorders>
            <w:noWrap w:val="0"/>
            <w:vAlign w:val="top"/>
          </w:tcPr>
          <w:p w14:paraId="19D1DE79">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p>
        </w:tc>
        <w:tc>
          <w:tcPr>
            <w:tcW w:w="3244" w:type="pct"/>
            <w:tcBorders>
              <w:top w:val="nil"/>
              <w:left w:val="nil"/>
              <w:bottom w:val="nil"/>
              <w:right w:val="nil"/>
            </w:tcBorders>
            <w:noWrap w:val="0"/>
            <w:vAlign w:val="top"/>
          </w:tcPr>
          <w:p w14:paraId="2ACA911A">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I often suggest solutions to problems in the way leaders in my department supervise or direct work.</w:t>
            </w:r>
          </w:p>
        </w:tc>
        <w:tc>
          <w:tcPr>
            <w:tcW w:w="369" w:type="pct"/>
            <w:tcBorders>
              <w:top w:val="nil"/>
              <w:left w:val="nil"/>
              <w:bottom w:val="nil"/>
              <w:right w:val="nil"/>
            </w:tcBorders>
            <w:noWrap w:val="0"/>
            <w:vAlign w:val="top"/>
          </w:tcPr>
          <w:p w14:paraId="49522384">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w:t>
            </w:r>
          </w:p>
        </w:tc>
        <w:tc>
          <w:tcPr>
            <w:tcW w:w="456" w:type="pct"/>
            <w:tcBorders>
              <w:top w:val="nil"/>
              <w:left w:val="nil"/>
              <w:bottom w:val="nil"/>
              <w:right w:val="nil"/>
            </w:tcBorders>
            <w:noWrap w:val="0"/>
            <w:vAlign w:val="top"/>
          </w:tcPr>
          <w:p w14:paraId="52D4FC79">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27.73%</w:t>
            </w:r>
          </w:p>
        </w:tc>
      </w:tr>
      <w:tr w14:paraId="7499A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0" w:type="pct"/>
            <w:vMerge w:val="continue"/>
            <w:tcBorders>
              <w:left w:val="nil"/>
              <w:right w:val="nil"/>
            </w:tcBorders>
            <w:noWrap w:val="0"/>
            <w:vAlign w:val="top"/>
          </w:tcPr>
          <w:p w14:paraId="77849EF0">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p>
        </w:tc>
        <w:tc>
          <w:tcPr>
            <w:tcW w:w="3244" w:type="pct"/>
            <w:tcBorders>
              <w:top w:val="nil"/>
              <w:left w:val="nil"/>
              <w:right w:val="nil"/>
            </w:tcBorders>
            <w:noWrap w:val="0"/>
            <w:vAlign w:val="top"/>
          </w:tcPr>
          <w:p w14:paraId="05330F20">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Outside of work, I often ask my colleagues if they need help.</w:t>
            </w:r>
          </w:p>
        </w:tc>
        <w:tc>
          <w:tcPr>
            <w:tcW w:w="369" w:type="pct"/>
            <w:tcBorders>
              <w:top w:val="nil"/>
              <w:left w:val="nil"/>
              <w:right w:val="nil"/>
            </w:tcBorders>
            <w:noWrap w:val="0"/>
            <w:vAlign w:val="top"/>
          </w:tcPr>
          <w:p w14:paraId="0782FCF1">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w:t>
            </w:r>
          </w:p>
        </w:tc>
        <w:tc>
          <w:tcPr>
            <w:tcW w:w="456" w:type="pct"/>
            <w:tcBorders>
              <w:top w:val="nil"/>
              <w:left w:val="nil"/>
              <w:right w:val="nil"/>
            </w:tcBorders>
            <w:noWrap w:val="0"/>
            <w:vAlign w:val="top"/>
          </w:tcPr>
          <w:p w14:paraId="3376B2C8">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22.94%</w:t>
            </w:r>
          </w:p>
        </w:tc>
      </w:tr>
      <w:tr w14:paraId="29F55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0" w:type="pct"/>
            <w:vMerge w:val="restart"/>
            <w:tcBorders>
              <w:left w:val="nil"/>
              <w:right w:val="nil"/>
            </w:tcBorders>
            <w:noWrap w:val="0"/>
            <w:vAlign w:val="top"/>
          </w:tcPr>
          <w:p w14:paraId="02E954EB">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Loyalty</w:t>
            </w:r>
          </w:p>
        </w:tc>
        <w:tc>
          <w:tcPr>
            <w:tcW w:w="3244" w:type="pct"/>
            <w:tcBorders>
              <w:left w:val="nil"/>
              <w:bottom w:val="nil"/>
              <w:right w:val="nil"/>
            </w:tcBorders>
            <w:noWrap w:val="0"/>
            <w:vAlign w:val="top"/>
          </w:tcPr>
          <w:p w14:paraId="6A622DEA">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I often think that my work is the best.</w:t>
            </w:r>
          </w:p>
        </w:tc>
        <w:tc>
          <w:tcPr>
            <w:tcW w:w="369" w:type="pct"/>
            <w:tcBorders>
              <w:left w:val="nil"/>
              <w:bottom w:val="nil"/>
              <w:right w:val="nil"/>
            </w:tcBorders>
            <w:noWrap w:val="0"/>
            <w:vAlign w:val="top"/>
          </w:tcPr>
          <w:p w14:paraId="36241F89">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w:t>
            </w:r>
          </w:p>
        </w:tc>
        <w:tc>
          <w:tcPr>
            <w:tcW w:w="456" w:type="pct"/>
            <w:tcBorders>
              <w:left w:val="nil"/>
              <w:bottom w:val="nil"/>
              <w:right w:val="nil"/>
            </w:tcBorders>
            <w:noWrap w:val="0"/>
            <w:vAlign w:val="top"/>
          </w:tcPr>
          <w:p w14:paraId="2BB2F73C">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26.36%</w:t>
            </w:r>
          </w:p>
        </w:tc>
      </w:tr>
      <w:tr w14:paraId="2228A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0" w:type="pct"/>
            <w:vMerge w:val="continue"/>
            <w:tcBorders>
              <w:left w:val="nil"/>
              <w:right w:val="nil"/>
            </w:tcBorders>
            <w:noWrap w:val="0"/>
            <w:vAlign w:val="top"/>
          </w:tcPr>
          <w:p w14:paraId="11C5D202">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p>
        </w:tc>
        <w:tc>
          <w:tcPr>
            <w:tcW w:w="3244" w:type="pct"/>
            <w:tcBorders>
              <w:top w:val="nil"/>
              <w:left w:val="nil"/>
              <w:bottom w:val="nil"/>
              <w:right w:val="nil"/>
            </w:tcBorders>
            <w:noWrap w:val="0"/>
            <w:vAlign w:val="top"/>
          </w:tcPr>
          <w:p w14:paraId="4EAAD037">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I will not leave the organization regardless of whether it is in good times or bad times.</w:t>
            </w:r>
          </w:p>
        </w:tc>
        <w:tc>
          <w:tcPr>
            <w:tcW w:w="369" w:type="pct"/>
            <w:tcBorders>
              <w:top w:val="nil"/>
              <w:left w:val="nil"/>
              <w:bottom w:val="nil"/>
              <w:right w:val="nil"/>
            </w:tcBorders>
            <w:noWrap w:val="0"/>
            <w:vAlign w:val="top"/>
          </w:tcPr>
          <w:p w14:paraId="0EED66E8">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w:t>
            </w:r>
          </w:p>
        </w:tc>
        <w:tc>
          <w:tcPr>
            <w:tcW w:w="456" w:type="pct"/>
            <w:tcBorders>
              <w:top w:val="nil"/>
              <w:left w:val="nil"/>
              <w:bottom w:val="nil"/>
              <w:right w:val="nil"/>
            </w:tcBorders>
            <w:noWrap w:val="0"/>
            <w:vAlign w:val="top"/>
          </w:tcPr>
          <w:p w14:paraId="35A20D64">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23.60%</w:t>
            </w:r>
          </w:p>
        </w:tc>
      </w:tr>
      <w:tr w14:paraId="32AB1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0" w:type="pct"/>
            <w:vMerge w:val="continue"/>
            <w:tcBorders>
              <w:left w:val="nil"/>
              <w:right w:val="nil"/>
            </w:tcBorders>
            <w:noWrap w:val="0"/>
            <w:vAlign w:val="top"/>
          </w:tcPr>
          <w:p w14:paraId="0D6F3FC0">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p>
        </w:tc>
        <w:tc>
          <w:tcPr>
            <w:tcW w:w="3244" w:type="pct"/>
            <w:tcBorders>
              <w:top w:val="nil"/>
              <w:left w:val="nil"/>
              <w:bottom w:val="nil"/>
              <w:right w:val="nil"/>
            </w:tcBorders>
            <w:noWrap w:val="0"/>
            <w:vAlign w:val="top"/>
          </w:tcPr>
          <w:p w14:paraId="20EFCD0F">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I will always do my best to protect the reputation of the organization when others criticize it.</w:t>
            </w:r>
          </w:p>
        </w:tc>
        <w:tc>
          <w:tcPr>
            <w:tcW w:w="369" w:type="pct"/>
            <w:tcBorders>
              <w:top w:val="nil"/>
              <w:left w:val="nil"/>
              <w:bottom w:val="nil"/>
              <w:right w:val="nil"/>
            </w:tcBorders>
            <w:noWrap w:val="0"/>
            <w:vAlign w:val="top"/>
          </w:tcPr>
          <w:p w14:paraId="17CD364D">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w:t>
            </w:r>
          </w:p>
        </w:tc>
        <w:tc>
          <w:tcPr>
            <w:tcW w:w="456" w:type="pct"/>
            <w:tcBorders>
              <w:top w:val="nil"/>
              <w:left w:val="nil"/>
              <w:bottom w:val="nil"/>
              <w:right w:val="nil"/>
            </w:tcBorders>
            <w:noWrap w:val="0"/>
            <w:vAlign w:val="top"/>
          </w:tcPr>
          <w:p w14:paraId="4AEB333E">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24.40%</w:t>
            </w:r>
          </w:p>
        </w:tc>
      </w:tr>
      <w:tr w14:paraId="21F1F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0" w:type="pct"/>
            <w:vMerge w:val="continue"/>
            <w:tcBorders>
              <w:left w:val="nil"/>
              <w:right w:val="nil"/>
            </w:tcBorders>
            <w:noWrap w:val="0"/>
            <w:vAlign w:val="top"/>
          </w:tcPr>
          <w:p w14:paraId="1894386E">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p>
        </w:tc>
        <w:tc>
          <w:tcPr>
            <w:tcW w:w="3244" w:type="pct"/>
            <w:tcBorders>
              <w:top w:val="nil"/>
              <w:left w:val="nil"/>
              <w:right w:val="nil"/>
            </w:tcBorders>
            <w:noWrap w:val="0"/>
            <w:vAlign w:val="top"/>
          </w:tcPr>
          <w:p w14:paraId="6A7E4DD0">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I will not leave until the problems in the organization are resolved.</w:t>
            </w:r>
          </w:p>
        </w:tc>
        <w:tc>
          <w:tcPr>
            <w:tcW w:w="369" w:type="pct"/>
            <w:tcBorders>
              <w:top w:val="nil"/>
              <w:left w:val="nil"/>
              <w:right w:val="nil"/>
            </w:tcBorders>
            <w:noWrap w:val="0"/>
            <w:vAlign w:val="top"/>
          </w:tcPr>
          <w:p w14:paraId="7C81CF15">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w:t>
            </w:r>
          </w:p>
        </w:tc>
        <w:tc>
          <w:tcPr>
            <w:tcW w:w="456" w:type="pct"/>
            <w:tcBorders>
              <w:top w:val="nil"/>
              <w:left w:val="nil"/>
              <w:right w:val="nil"/>
            </w:tcBorders>
            <w:noWrap w:val="0"/>
            <w:vAlign w:val="top"/>
          </w:tcPr>
          <w:p w14:paraId="2D2CD0DE">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25.64%</w:t>
            </w:r>
          </w:p>
        </w:tc>
      </w:tr>
      <w:tr w14:paraId="12A13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0" w:type="pct"/>
            <w:vMerge w:val="restart"/>
            <w:tcBorders>
              <w:left w:val="nil"/>
              <w:right w:val="nil"/>
            </w:tcBorders>
            <w:noWrap w:val="0"/>
            <w:vAlign w:val="top"/>
          </w:tcPr>
          <w:p w14:paraId="11FE6D40">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Neglect</w:t>
            </w:r>
          </w:p>
        </w:tc>
        <w:tc>
          <w:tcPr>
            <w:tcW w:w="3244" w:type="pct"/>
            <w:tcBorders>
              <w:left w:val="nil"/>
              <w:bottom w:val="nil"/>
              <w:right w:val="nil"/>
            </w:tcBorders>
            <w:noWrap w:val="0"/>
            <w:vAlign w:val="top"/>
          </w:tcPr>
          <w:p w14:paraId="0E4B6166">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Sometimes, when I don't feel like working, I will call in sick or find other reasons not to work.</w:t>
            </w:r>
          </w:p>
        </w:tc>
        <w:tc>
          <w:tcPr>
            <w:tcW w:w="369" w:type="pct"/>
            <w:tcBorders>
              <w:left w:val="nil"/>
              <w:bottom w:val="nil"/>
              <w:right w:val="nil"/>
            </w:tcBorders>
            <w:noWrap w:val="0"/>
            <w:vAlign w:val="top"/>
          </w:tcPr>
          <w:p w14:paraId="134902ED">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w:t>
            </w:r>
          </w:p>
        </w:tc>
        <w:tc>
          <w:tcPr>
            <w:tcW w:w="456" w:type="pct"/>
            <w:tcBorders>
              <w:left w:val="nil"/>
              <w:bottom w:val="nil"/>
              <w:right w:val="nil"/>
            </w:tcBorders>
            <w:noWrap w:val="0"/>
            <w:vAlign w:val="top"/>
          </w:tcPr>
          <w:p w14:paraId="39EA2D37">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19.71%</w:t>
            </w:r>
          </w:p>
        </w:tc>
      </w:tr>
      <w:tr w14:paraId="2F7A6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0" w:type="pct"/>
            <w:vMerge w:val="continue"/>
            <w:tcBorders>
              <w:left w:val="nil"/>
              <w:right w:val="nil"/>
            </w:tcBorders>
            <w:noWrap w:val="0"/>
            <w:vAlign w:val="top"/>
          </w:tcPr>
          <w:p w14:paraId="620904D9">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p>
        </w:tc>
        <w:tc>
          <w:tcPr>
            <w:tcW w:w="3244" w:type="pct"/>
            <w:tcBorders>
              <w:top w:val="nil"/>
              <w:left w:val="nil"/>
              <w:bottom w:val="nil"/>
              <w:right w:val="nil"/>
            </w:tcBorders>
            <w:noWrap w:val="0"/>
            <w:vAlign w:val="top"/>
          </w:tcPr>
          <w:p w14:paraId="6A8707EF">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If I am not in the mood to work, I may be late for work.</w:t>
            </w:r>
          </w:p>
        </w:tc>
        <w:tc>
          <w:tcPr>
            <w:tcW w:w="369" w:type="pct"/>
            <w:tcBorders>
              <w:top w:val="nil"/>
              <w:left w:val="nil"/>
              <w:bottom w:val="nil"/>
              <w:right w:val="nil"/>
            </w:tcBorders>
            <w:noWrap w:val="0"/>
            <w:vAlign w:val="top"/>
          </w:tcPr>
          <w:p w14:paraId="574DF349">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w:t>
            </w:r>
          </w:p>
        </w:tc>
        <w:tc>
          <w:tcPr>
            <w:tcW w:w="456" w:type="pct"/>
            <w:tcBorders>
              <w:top w:val="nil"/>
              <w:left w:val="nil"/>
              <w:bottom w:val="nil"/>
              <w:right w:val="nil"/>
            </w:tcBorders>
            <w:noWrap w:val="0"/>
            <w:vAlign w:val="top"/>
          </w:tcPr>
          <w:p w14:paraId="763C9BC0">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19.65%</w:t>
            </w:r>
          </w:p>
        </w:tc>
      </w:tr>
      <w:tr w14:paraId="4DC43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0" w:type="pct"/>
            <w:vMerge w:val="continue"/>
            <w:tcBorders>
              <w:left w:val="nil"/>
              <w:right w:val="nil"/>
            </w:tcBorders>
            <w:noWrap w:val="0"/>
            <w:vAlign w:val="top"/>
          </w:tcPr>
          <w:p w14:paraId="6821E296">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p>
        </w:tc>
        <w:tc>
          <w:tcPr>
            <w:tcW w:w="3244" w:type="pct"/>
            <w:tcBorders>
              <w:top w:val="nil"/>
              <w:left w:val="nil"/>
              <w:bottom w:val="nil"/>
              <w:right w:val="nil"/>
            </w:tcBorders>
            <w:noWrap w:val="0"/>
            <w:vAlign w:val="top"/>
          </w:tcPr>
          <w:p w14:paraId="19207AE4">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I will not work at full strength.</w:t>
            </w:r>
          </w:p>
        </w:tc>
        <w:tc>
          <w:tcPr>
            <w:tcW w:w="369" w:type="pct"/>
            <w:tcBorders>
              <w:top w:val="nil"/>
              <w:left w:val="nil"/>
              <w:bottom w:val="nil"/>
              <w:right w:val="nil"/>
            </w:tcBorders>
            <w:noWrap w:val="0"/>
            <w:vAlign w:val="top"/>
          </w:tcPr>
          <w:p w14:paraId="0FFE622F">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w:t>
            </w:r>
          </w:p>
        </w:tc>
        <w:tc>
          <w:tcPr>
            <w:tcW w:w="456" w:type="pct"/>
            <w:tcBorders>
              <w:top w:val="nil"/>
              <w:left w:val="nil"/>
              <w:bottom w:val="nil"/>
              <w:right w:val="nil"/>
            </w:tcBorders>
            <w:noWrap w:val="0"/>
            <w:vAlign w:val="top"/>
          </w:tcPr>
          <w:p w14:paraId="4596C3EF">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21.71%</w:t>
            </w:r>
          </w:p>
        </w:tc>
      </w:tr>
      <w:tr w14:paraId="0D400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0" w:type="pct"/>
            <w:vMerge w:val="continue"/>
            <w:tcBorders>
              <w:left w:val="nil"/>
              <w:right w:val="nil"/>
            </w:tcBorders>
            <w:noWrap w:val="0"/>
            <w:vAlign w:val="top"/>
          </w:tcPr>
          <w:p w14:paraId="3FCDEB63">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p>
        </w:tc>
        <w:tc>
          <w:tcPr>
            <w:tcW w:w="3244" w:type="pct"/>
            <w:tcBorders>
              <w:top w:val="nil"/>
              <w:left w:val="nil"/>
              <w:bottom w:val="nil"/>
              <w:right w:val="nil"/>
            </w:tcBorders>
            <w:noWrap w:val="0"/>
            <w:vAlign w:val="top"/>
          </w:tcPr>
          <w:p w14:paraId="4B7D656A">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I will often take breaks during work or not work at all.</w:t>
            </w:r>
          </w:p>
        </w:tc>
        <w:tc>
          <w:tcPr>
            <w:tcW w:w="369" w:type="pct"/>
            <w:tcBorders>
              <w:top w:val="nil"/>
              <w:left w:val="nil"/>
              <w:bottom w:val="nil"/>
              <w:right w:val="nil"/>
            </w:tcBorders>
            <w:noWrap w:val="0"/>
            <w:vAlign w:val="top"/>
          </w:tcPr>
          <w:p w14:paraId="55E5FA44">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w:t>
            </w:r>
          </w:p>
        </w:tc>
        <w:tc>
          <w:tcPr>
            <w:tcW w:w="456" w:type="pct"/>
            <w:tcBorders>
              <w:top w:val="nil"/>
              <w:left w:val="nil"/>
              <w:bottom w:val="nil"/>
              <w:right w:val="nil"/>
            </w:tcBorders>
            <w:noWrap w:val="0"/>
            <w:vAlign w:val="top"/>
          </w:tcPr>
          <w:p w14:paraId="6760C00B">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19.40%</w:t>
            </w:r>
          </w:p>
        </w:tc>
      </w:tr>
      <w:tr w14:paraId="7A57C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0" w:type="pct"/>
            <w:vMerge w:val="continue"/>
            <w:tcBorders>
              <w:left w:val="nil"/>
              <w:bottom w:val="single" w:color="auto" w:sz="4" w:space="0"/>
              <w:right w:val="nil"/>
            </w:tcBorders>
            <w:noWrap w:val="0"/>
            <w:vAlign w:val="top"/>
          </w:tcPr>
          <w:p w14:paraId="3A90F8F4">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p>
        </w:tc>
        <w:tc>
          <w:tcPr>
            <w:tcW w:w="3244" w:type="pct"/>
            <w:tcBorders>
              <w:top w:val="nil"/>
              <w:left w:val="nil"/>
              <w:bottom w:val="single" w:color="auto" w:sz="4" w:space="0"/>
              <w:right w:val="nil"/>
            </w:tcBorders>
            <w:noWrap w:val="0"/>
            <w:vAlign w:val="top"/>
          </w:tcPr>
          <w:p w14:paraId="17EE96F5">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I may lose motivation for work.</w:t>
            </w:r>
          </w:p>
        </w:tc>
        <w:tc>
          <w:tcPr>
            <w:tcW w:w="369" w:type="pct"/>
            <w:tcBorders>
              <w:top w:val="nil"/>
              <w:left w:val="nil"/>
              <w:bottom w:val="single" w:color="auto" w:sz="4" w:space="0"/>
              <w:right w:val="nil"/>
            </w:tcBorders>
            <w:noWrap w:val="0"/>
            <w:vAlign w:val="top"/>
          </w:tcPr>
          <w:p w14:paraId="62A51D26">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w:t>
            </w:r>
          </w:p>
        </w:tc>
        <w:tc>
          <w:tcPr>
            <w:tcW w:w="456" w:type="pct"/>
            <w:tcBorders>
              <w:top w:val="nil"/>
              <w:left w:val="nil"/>
              <w:bottom w:val="single" w:color="auto" w:sz="4" w:space="0"/>
              <w:right w:val="nil"/>
            </w:tcBorders>
            <w:noWrap w:val="0"/>
            <w:vAlign w:val="top"/>
          </w:tcPr>
          <w:p w14:paraId="0E58CD2E">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19.53%</w:t>
            </w:r>
          </w:p>
        </w:tc>
      </w:tr>
    </w:tbl>
    <w:p w14:paraId="0C434E23">
      <w:pPr>
        <w:autoSpaceDE w:val="0"/>
        <w:autoSpaceDN w:val="0"/>
        <w:adjustRightInd w:val="0"/>
        <w:spacing w:line="240" w:lineRule="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cs="Times New Roman"/>
          <w:i/>
          <w:color w:val="auto"/>
          <w:kern w:val="0"/>
          <w:sz w:val="21"/>
          <w:szCs w:val="21"/>
          <w:highlight w:val="none"/>
        </w:rPr>
        <w:t>Note:</w:t>
      </w:r>
      <w:r>
        <w:rPr>
          <w:rFonts w:hint="default" w:ascii="Times New Roman" w:hAnsi="Times New Roman" w:cs="Times New Roman"/>
          <w:color w:val="auto"/>
          <w:kern w:val="0"/>
          <w:sz w:val="21"/>
          <w:szCs w:val="21"/>
          <w:highlight w:val="none"/>
        </w:rPr>
        <w:t xml:space="preserve"> The EVLN behavioral scale employs the four-dimensional measurement scale for EVLN behavior developed by Farrell (1983), and comprises 17 questions, including 4 questions on exit behavior. A five-point Likert scale was used for all the items (1 = “strongly disagree”; 3 = “neutral”;5 = “strongly agree”).</w:t>
      </w:r>
      <w:r>
        <w:rPr>
          <w:rFonts w:hint="default" w:ascii="Times New Roman" w:hAnsi="Times New Roman" w:cs="Times New Roman"/>
          <w:color w:val="auto"/>
          <w:kern w:val="0"/>
          <w:sz w:val="21"/>
          <w:szCs w:val="21"/>
          <w:highlight w:val="none"/>
          <w:lang w:val="en-US" w:eastAsia="zh-CN"/>
        </w:rPr>
        <w:t xml:space="preserve"> Sign:The direction of the second-level indicator is positive (+).</w:t>
      </w:r>
    </w:p>
    <w:p w14:paraId="5D5FD1A6">
      <w:pPr>
        <w:autoSpaceDE w:val="0"/>
        <w:autoSpaceDN w:val="0"/>
        <w:adjustRightInd w:val="0"/>
        <w:spacing w:line="240" w:lineRule="auto"/>
        <w:rPr>
          <w:rFonts w:hint="default" w:ascii="Times New Roman" w:hAnsi="Times New Roman" w:cs="Times New Roman"/>
          <w:b/>
          <w:color w:val="auto"/>
          <w:kern w:val="0"/>
          <w:sz w:val="21"/>
          <w:szCs w:val="21"/>
          <w:highlight w:val="none"/>
        </w:rPr>
      </w:pPr>
      <w:r>
        <w:rPr>
          <w:rFonts w:hint="default" w:ascii="Times New Roman" w:hAnsi="Times New Roman" w:cs="Times New Roman"/>
          <w:i/>
          <w:iCs/>
          <w:color w:val="auto"/>
          <w:kern w:val="0"/>
          <w:sz w:val="21"/>
          <w:szCs w:val="21"/>
          <w:highlight w:val="none"/>
        </w:rPr>
        <w:t>Abbreviation:</w:t>
      </w:r>
      <w:r>
        <w:rPr>
          <w:rFonts w:hint="default" w:ascii="Times New Roman" w:hAnsi="Times New Roman" w:cs="Times New Roman"/>
          <w:color w:val="auto"/>
          <w:kern w:val="0"/>
          <w:sz w:val="21"/>
          <w:szCs w:val="21"/>
          <w:highlight w:val="none"/>
        </w:rPr>
        <w:t xml:space="preserve"> </w:t>
      </w:r>
      <w:r>
        <w:rPr>
          <w:rFonts w:hint="default" w:ascii="Times New Roman" w:hAnsi="Times New Roman" w:cs="Times New Roman"/>
          <w:color w:val="auto"/>
          <w:kern w:val="0"/>
          <w:sz w:val="21"/>
          <w:szCs w:val="21"/>
          <w:highlight w:val="none"/>
          <w:lang w:val="en-US" w:eastAsia="zh-CN"/>
        </w:rPr>
        <w:t xml:space="preserve">Exit: </w:t>
      </w:r>
      <w:r>
        <w:rPr>
          <w:rFonts w:hint="default" w:ascii="Times New Roman" w:hAnsi="Times New Roman" w:cs="Times New Roman"/>
          <w:color w:val="auto"/>
          <w:kern w:val="0"/>
          <w:sz w:val="21"/>
          <w:szCs w:val="21"/>
          <w:highlight w:val="none"/>
        </w:rPr>
        <w:t>Exit behavior</w:t>
      </w:r>
      <w:r>
        <w:rPr>
          <w:rFonts w:hint="default" w:ascii="Times New Roman" w:hAnsi="Times New Roman" w:cs="Times New Roman"/>
          <w:color w:val="auto"/>
          <w:kern w:val="0"/>
          <w:sz w:val="21"/>
          <w:szCs w:val="21"/>
          <w:highlight w:val="none"/>
          <w:lang w:val="en-US" w:eastAsia="zh-CN"/>
        </w:rPr>
        <w:t xml:space="preserve">; Voice: </w:t>
      </w:r>
      <w:r>
        <w:rPr>
          <w:rFonts w:hint="default" w:ascii="Times New Roman" w:hAnsi="Times New Roman" w:cs="Times New Roman"/>
          <w:color w:val="auto"/>
          <w:kern w:val="0"/>
          <w:sz w:val="21"/>
          <w:szCs w:val="21"/>
          <w:highlight w:val="none"/>
        </w:rPr>
        <w:t>Voice behavior</w:t>
      </w:r>
      <w:r>
        <w:rPr>
          <w:rFonts w:hint="default" w:ascii="Times New Roman" w:hAnsi="Times New Roman" w:cs="Times New Roman"/>
          <w:color w:val="auto"/>
          <w:kern w:val="0"/>
          <w:sz w:val="21"/>
          <w:szCs w:val="21"/>
          <w:highlight w:val="none"/>
          <w:lang w:val="en-US" w:eastAsia="zh-CN"/>
        </w:rPr>
        <w:t xml:space="preserve">; Loyalty: </w:t>
      </w:r>
      <w:r>
        <w:rPr>
          <w:rFonts w:hint="default" w:ascii="Times New Roman" w:hAnsi="Times New Roman" w:cs="Times New Roman"/>
          <w:color w:val="auto"/>
          <w:kern w:val="0"/>
          <w:sz w:val="21"/>
          <w:szCs w:val="21"/>
          <w:highlight w:val="none"/>
        </w:rPr>
        <w:t>Loyalty behavior</w:t>
      </w:r>
      <w:r>
        <w:rPr>
          <w:rFonts w:hint="default" w:ascii="Times New Roman" w:hAnsi="Times New Roman" w:cs="Times New Roman"/>
          <w:color w:val="auto"/>
          <w:kern w:val="0"/>
          <w:sz w:val="21"/>
          <w:szCs w:val="21"/>
          <w:highlight w:val="none"/>
          <w:lang w:val="en-US" w:eastAsia="zh-CN"/>
        </w:rPr>
        <w:t xml:space="preserve">; Neglect: </w:t>
      </w:r>
      <w:r>
        <w:rPr>
          <w:rFonts w:hint="default" w:ascii="Times New Roman" w:hAnsi="Times New Roman" w:cs="Times New Roman"/>
          <w:color w:val="auto"/>
          <w:kern w:val="0"/>
          <w:sz w:val="21"/>
          <w:szCs w:val="21"/>
          <w:highlight w:val="none"/>
        </w:rPr>
        <w:t>Neglect behavior</w:t>
      </w:r>
      <w:r>
        <w:rPr>
          <w:rFonts w:hint="default" w:ascii="Times New Roman" w:hAnsi="Times New Roman" w:cs="Times New Roman"/>
          <w:color w:val="auto"/>
          <w:kern w:val="0"/>
          <w:sz w:val="21"/>
          <w:szCs w:val="21"/>
          <w:highlight w:val="none"/>
          <w:lang w:val="en-US" w:eastAsia="zh-CN"/>
        </w:rPr>
        <w:t xml:space="preserve">; </w:t>
      </w:r>
      <w:r>
        <w:rPr>
          <w:rFonts w:hint="default" w:ascii="Times New Roman" w:hAnsi="Times New Roman" w:cs="Times New Roman"/>
          <w:color w:val="auto"/>
          <w:kern w:val="0"/>
          <w:sz w:val="21"/>
          <w:szCs w:val="21"/>
          <w:highlight w:val="none"/>
        </w:rPr>
        <w:t xml:space="preserve">EVLN: Exit, Voice, Loyalty, and Neglect.  </w:t>
      </w:r>
    </w:p>
    <w:p w14:paraId="4045695A">
      <w:pPr>
        <w:rPr>
          <w:rFonts w:hint="default" w:ascii="Times New Roman" w:hAnsi="Times New Roman" w:cs="Times New Roman"/>
          <w:color w:val="auto"/>
          <w:sz w:val="21"/>
          <w:szCs w:val="21"/>
          <w:highlight w:val="none"/>
          <w:lang w:val="en-US" w:eastAsia="zh-CN"/>
        </w:rPr>
      </w:pPr>
    </w:p>
    <w:p w14:paraId="13B7DF4C">
      <w:pPr>
        <w:keepNext w:val="0"/>
        <w:keepLines w:val="0"/>
        <w:pageBreakBefore w:val="0"/>
        <w:widowControl w:val="0"/>
        <w:kinsoku/>
        <w:wordWrap/>
        <w:overflowPunct/>
        <w:topLinePunct w:val="0"/>
        <w:autoSpaceDE w:val="0"/>
        <w:autoSpaceDN w:val="0"/>
        <w:bidi w:val="0"/>
        <w:adjustRightInd w:val="0"/>
        <w:snapToGrid/>
        <w:spacing w:line="240" w:lineRule="auto"/>
        <w:jc w:val="left"/>
        <w:textAlignment w:val="auto"/>
        <w:rPr>
          <w:rFonts w:hint="default" w:ascii="Times New Roman" w:hAnsi="Times New Roman" w:cs="Times New Roman"/>
          <w:b/>
          <w:bCs/>
          <w:color w:val="auto"/>
          <w:kern w:val="0"/>
          <w:sz w:val="21"/>
          <w:szCs w:val="21"/>
          <w:highlight w:val="none"/>
        </w:rPr>
      </w:pPr>
      <w:r>
        <w:rPr>
          <w:rFonts w:hint="default" w:ascii="Times New Roman" w:hAnsi="Times New Roman" w:cs="Times New Roman"/>
          <w:b/>
          <w:bCs/>
          <w:color w:val="auto"/>
          <w:kern w:val="0"/>
          <w:sz w:val="21"/>
          <w:szCs w:val="21"/>
          <w:highlight w:val="none"/>
          <w:lang w:val="en-US" w:eastAsia="zh-CN"/>
        </w:rPr>
        <w:t>Appendix</w:t>
      </w:r>
      <w:r>
        <w:rPr>
          <w:rFonts w:hint="default" w:ascii="Times New Roman" w:hAnsi="Times New Roman" w:cs="Times New Roman"/>
          <w:b/>
          <w:bCs/>
          <w:color w:val="auto"/>
          <w:kern w:val="0"/>
          <w:sz w:val="21"/>
          <w:szCs w:val="21"/>
          <w:highlight w:val="none"/>
        </w:rPr>
        <w:t xml:space="preserve"> 3 </w:t>
      </w:r>
      <w:r>
        <w:rPr>
          <w:rFonts w:hint="default" w:ascii="Times New Roman" w:hAnsi="Times New Roman" w:cs="Times New Roman"/>
          <w:color w:val="auto"/>
          <w:kern w:val="0"/>
          <w:sz w:val="21"/>
          <w:szCs w:val="21"/>
          <w:highlight w:val="none"/>
        </w:rPr>
        <w:t>Job dissatisfaction indicators of nurses in hospital</w:t>
      </w:r>
    </w:p>
    <w:tbl>
      <w:tblPr>
        <w:tblStyle w:val="5"/>
        <w:tblW w:w="11122" w:type="dxa"/>
        <w:tblInd w:w="-142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6"/>
        <w:gridCol w:w="2508"/>
        <w:gridCol w:w="4710"/>
        <w:gridCol w:w="715"/>
        <w:gridCol w:w="1053"/>
      </w:tblGrid>
      <w:tr w14:paraId="54285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6" w:type="dxa"/>
            <w:tcBorders>
              <w:left w:val="nil"/>
              <w:right w:val="nil"/>
            </w:tcBorders>
            <w:noWrap w:val="0"/>
            <w:vAlign w:val="top"/>
          </w:tcPr>
          <w:p w14:paraId="6F1A669B">
            <w:pPr>
              <w:autoSpaceDE w:val="0"/>
              <w:autoSpaceDN w:val="0"/>
              <w:adjustRightInd w:val="0"/>
              <w:spacing w:line="240" w:lineRule="auto"/>
              <w:rPr>
                <w:rFonts w:hint="default" w:ascii="Times New Roman" w:hAnsi="Times New Roman" w:cs="Times New Roman"/>
                <w:bCs/>
                <w:color w:val="auto"/>
                <w:kern w:val="0"/>
                <w:sz w:val="21"/>
                <w:szCs w:val="21"/>
                <w:highlight w:val="none"/>
              </w:rPr>
            </w:pPr>
            <w:r>
              <w:rPr>
                <w:rFonts w:hint="default" w:ascii="Times New Roman" w:hAnsi="Times New Roman" w:cs="Times New Roman"/>
                <w:bCs/>
                <w:color w:val="auto"/>
                <w:kern w:val="0"/>
                <w:sz w:val="21"/>
                <w:szCs w:val="21"/>
                <w:highlight w:val="none"/>
              </w:rPr>
              <w:t>First–level indicators</w:t>
            </w:r>
          </w:p>
        </w:tc>
        <w:tc>
          <w:tcPr>
            <w:tcW w:w="2508" w:type="dxa"/>
            <w:tcBorders>
              <w:left w:val="nil"/>
              <w:right w:val="nil"/>
            </w:tcBorders>
            <w:noWrap w:val="0"/>
            <w:vAlign w:val="top"/>
          </w:tcPr>
          <w:p w14:paraId="51095420">
            <w:pPr>
              <w:autoSpaceDE w:val="0"/>
              <w:autoSpaceDN w:val="0"/>
              <w:adjustRightInd w:val="0"/>
              <w:spacing w:line="240" w:lineRule="auto"/>
              <w:rPr>
                <w:rFonts w:hint="default" w:ascii="Times New Roman" w:hAnsi="Times New Roman" w:cs="Times New Roman"/>
                <w:bCs/>
                <w:color w:val="auto"/>
                <w:kern w:val="0"/>
                <w:sz w:val="21"/>
                <w:szCs w:val="21"/>
                <w:highlight w:val="none"/>
              </w:rPr>
            </w:pPr>
            <w:r>
              <w:rPr>
                <w:rFonts w:hint="default" w:ascii="Times New Roman" w:hAnsi="Times New Roman" w:cs="Times New Roman"/>
                <w:bCs/>
                <w:color w:val="auto"/>
                <w:kern w:val="0"/>
                <w:sz w:val="21"/>
                <w:szCs w:val="21"/>
                <w:highlight w:val="none"/>
              </w:rPr>
              <w:t>Second–level indicators</w:t>
            </w:r>
          </w:p>
        </w:tc>
        <w:tc>
          <w:tcPr>
            <w:tcW w:w="4710" w:type="dxa"/>
            <w:tcBorders>
              <w:left w:val="nil"/>
              <w:right w:val="nil"/>
            </w:tcBorders>
            <w:noWrap w:val="0"/>
            <w:vAlign w:val="top"/>
          </w:tcPr>
          <w:p w14:paraId="7F645F56">
            <w:pPr>
              <w:autoSpaceDE w:val="0"/>
              <w:autoSpaceDN w:val="0"/>
              <w:adjustRightInd w:val="0"/>
              <w:spacing w:line="240" w:lineRule="auto"/>
              <w:jc w:val="left"/>
              <w:rPr>
                <w:rFonts w:hint="default" w:ascii="Times New Roman" w:hAnsi="Times New Roman" w:cs="Times New Roman"/>
                <w:bCs/>
                <w:color w:val="auto"/>
                <w:kern w:val="0"/>
                <w:sz w:val="21"/>
                <w:szCs w:val="21"/>
                <w:highlight w:val="none"/>
              </w:rPr>
            </w:pPr>
            <w:r>
              <w:rPr>
                <w:rFonts w:hint="default" w:ascii="Times New Roman" w:hAnsi="Times New Roman" w:cs="Times New Roman"/>
                <w:bCs/>
                <w:color w:val="auto"/>
                <w:kern w:val="0"/>
                <w:sz w:val="21"/>
                <w:szCs w:val="21"/>
                <w:highlight w:val="none"/>
              </w:rPr>
              <w:t>Third–level indicators</w:t>
            </w:r>
          </w:p>
        </w:tc>
        <w:tc>
          <w:tcPr>
            <w:tcW w:w="715" w:type="dxa"/>
            <w:tcBorders>
              <w:left w:val="nil"/>
              <w:right w:val="nil"/>
            </w:tcBorders>
            <w:noWrap w:val="0"/>
            <w:vAlign w:val="top"/>
          </w:tcPr>
          <w:p w14:paraId="3351D7DD">
            <w:pPr>
              <w:autoSpaceDE w:val="0"/>
              <w:autoSpaceDN w:val="0"/>
              <w:adjustRightInd w:val="0"/>
              <w:spacing w:line="240" w:lineRule="auto"/>
              <w:jc w:val="left"/>
              <w:rPr>
                <w:rFonts w:hint="default" w:ascii="Times New Roman" w:hAnsi="Times New Roman" w:cs="Times New Roman"/>
                <w:bCs/>
                <w:color w:val="auto"/>
                <w:kern w:val="0"/>
                <w:sz w:val="21"/>
                <w:szCs w:val="21"/>
                <w:highlight w:val="none"/>
              </w:rPr>
            </w:pPr>
            <w:r>
              <w:rPr>
                <w:rFonts w:hint="default" w:ascii="Times New Roman" w:hAnsi="Times New Roman" w:cs="Times New Roman"/>
                <w:bCs/>
                <w:color w:val="auto"/>
                <w:kern w:val="0"/>
                <w:sz w:val="21"/>
                <w:szCs w:val="21"/>
                <w:highlight w:val="none"/>
              </w:rPr>
              <w:t>Sign</w:t>
            </w:r>
          </w:p>
        </w:tc>
        <w:tc>
          <w:tcPr>
            <w:tcW w:w="1053" w:type="dxa"/>
            <w:tcBorders>
              <w:left w:val="nil"/>
              <w:right w:val="nil"/>
            </w:tcBorders>
            <w:noWrap w:val="0"/>
            <w:vAlign w:val="top"/>
          </w:tcPr>
          <w:p w14:paraId="651CD1B1">
            <w:pPr>
              <w:autoSpaceDE w:val="0"/>
              <w:autoSpaceDN w:val="0"/>
              <w:adjustRightInd w:val="0"/>
              <w:spacing w:line="240" w:lineRule="auto"/>
              <w:jc w:val="left"/>
              <w:rPr>
                <w:rFonts w:hint="default" w:ascii="Times New Roman" w:hAnsi="Times New Roman" w:cs="Times New Roman"/>
                <w:bCs/>
                <w:color w:val="auto"/>
                <w:kern w:val="0"/>
                <w:sz w:val="21"/>
                <w:szCs w:val="21"/>
                <w:highlight w:val="none"/>
              </w:rPr>
            </w:pPr>
            <w:r>
              <w:rPr>
                <w:rFonts w:hint="default" w:ascii="Times New Roman" w:hAnsi="Times New Roman" w:cs="Times New Roman"/>
                <w:bCs/>
                <w:color w:val="auto"/>
                <w:kern w:val="0"/>
                <w:sz w:val="21"/>
                <w:szCs w:val="21"/>
                <w:highlight w:val="none"/>
              </w:rPr>
              <w:t>Weight</w:t>
            </w:r>
          </w:p>
        </w:tc>
      </w:tr>
      <w:tr w14:paraId="69C2E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6" w:type="dxa"/>
            <w:tcBorders>
              <w:left w:val="nil"/>
              <w:bottom w:val="nil"/>
              <w:right w:val="nil"/>
            </w:tcBorders>
            <w:noWrap w:val="0"/>
            <w:vAlign w:val="top"/>
          </w:tcPr>
          <w:p w14:paraId="0FF22F1A">
            <w:pPr>
              <w:autoSpaceDE w:val="0"/>
              <w:autoSpaceDN w:val="0"/>
              <w:adjustRightInd w:val="0"/>
              <w:spacing w:line="240" w:lineRule="auto"/>
              <w:jc w:val="left"/>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NJD</w:t>
            </w:r>
          </w:p>
        </w:tc>
        <w:tc>
          <w:tcPr>
            <w:tcW w:w="2508" w:type="dxa"/>
            <w:tcBorders>
              <w:left w:val="nil"/>
              <w:bottom w:val="nil"/>
              <w:right w:val="nil"/>
            </w:tcBorders>
            <w:noWrap w:val="0"/>
            <w:vAlign w:val="top"/>
          </w:tcPr>
          <w:p w14:paraId="0E1737C8">
            <w:pPr>
              <w:autoSpaceDE w:val="0"/>
              <w:autoSpaceDN w:val="0"/>
              <w:adjustRightInd w:val="0"/>
              <w:spacing w:line="240" w:lineRule="auto"/>
              <w:jc w:val="left"/>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INJD</w:t>
            </w:r>
          </w:p>
        </w:tc>
        <w:tc>
          <w:tcPr>
            <w:tcW w:w="4710" w:type="dxa"/>
            <w:tcBorders>
              <w:left w:val="nil"/>
              <w:bottom w:val="nil"/>
              <w:right w:val="nil"/>
            </w:tcBorders>
            <w:noWrap w:val="0"/>
            <w:vAlign w:val="top"/>
          </w:tcPr>
          <w:p w14:paraId="1BFA30B2">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My opportunity for advancement.</w:t>
            </w:r>
          </w:p>
        </w:tc>
        <w:tc>
          <w:tcPr>
            <w:tcW w:w="715" w:type="dxa"/>
            <w:tcBorders>
              <w:left w:val="nil"/>
              <w:bottom w:val="nil"/>
              <w:right w:val="nil"/>
            </w:tcBorders>
            <w:noWrap w:val="0"/>
            <w:vAlign w:val="top"/>
          </w:tcPr>
          <w:p w14:paraId="187B637B">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w:t>
            </w:r>
          </w:p>
        </w:tc>
        <w:tc>
          <w:tcPr>
            <w:tcW w:w="1053" w:type="dxa"/>
            <w:tcBorders>
              <w:left w:val="nil"/>
              <w:bottom w:val="nil"/>
              <w:right w:val="nil"/>
            </w:tcBorders>
            <w:noWrap w:val="0"/>
            <w:vAlign w:val="top"/>
          </w:tcPr>
          <w:p w14:paraId="694429AD">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21.19%</w:t>
            </w:r>
          </w:p>
        </w:tc>
      </w:tr>
      <w:tr w14:paraId="23DF8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6" w:type="dxa"/>
            <w:tcBorders>
              <w:top w:val="nil"/>
              <w:left w:val="nil"/>
              <w:bottom w:val="nil"/>
              <w:right w:val="nil"/>
            </w:tcBorders>
            <w:noWrap w:val="0"/>
            <w:vAlign w:val="top"/>
          </w:tcPr>
          <w:p w14:paraId="095D1993">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p>
        </w:tc>
        <w:tc>
          <w:tcPr>
            <w:tcW w:w="2508" w:type="dxa"/>
            <w:tcBorders>
              <w:top w:val="nil"/>
              <w:left w:val="nil"/>
              <w:bottom w:val="nil"/>
              <w:right w:val="nil"/>
            </w:tcBorders>
            <w:noWrap w:val="0"/>
            <w:vAlign w:val="top"/>
          </w:tcPr>
          <w:p w14:paraId="4BFAC4BC">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p>
        </w:tc>
        <w:tc>
          <w:tcPr>
            <w:tcW w:w="4710" w:type="dxa"/>
            <w:tcBorders>
              <w:top w:val="nil"/>
              <w:left w:val="nil"/>
              <w:bottom w:val="nil"/>
              <w:right w:val="nil"/>
            </w:tcBorders>
            <w:noWrap w:val="0"/>
            <w:vAlign w:val="top"/>
          </w:tcPr>
          <w:p w14:paraId="345F3EDB">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The degree to which my suggestions are recognized seriously.</w:t>
            </w:r>
          </w:p>
        </w:tc>
        <w:tc>
          <w:tcPr>
            <w:tcW w:w="715" w:type="dxa"/>
            <w:tcBorders>
              <w:top w:val="nil"/>
              <w:left w:val="nil"/>
              <w:bottom w:val="nil"/>
              <w:right w:val="nil"/>
            </w:tcBorders>
            <w:noWrap w:val="0"/>
            <w:vAlign w:val="top"/>
          </w:tcPr>
          <w:p w14:paraId="2E09AF3F">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w:t>
            </w:r>
          </w:p>
        </w:tc>
        <w:tc>
          <w:tcPr>
            <w:tcW w:w="1053" w:type="dxa"/>
            <w:tcBorders>
              <w:top w:val="nil"/>
              <w:left w:val="nil"/>
              <w:bottom w:val="nil"/>
              <w:right w:val="nil"/>
            </w:tcBorders>
            <w:noWrap w:val="0"/>
            <w:vAlign w:val="top"/>
          </w:tcPr>
          <w:p w14:paraId="63A6144F">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20.93%</w:t>
            </w:r>
          </w:p>
        </w:tc>
      </w:tr>
      <w:tr w14:paraId="283DE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6" w:type="dxa"/>
            <w:tcBorders>
              <w:top w:val="nil"/>
              <w:left w:val="nil"/>
              <w:right w:val="nil"/>
            </w:tcBorders>
            <w:noWrap w:val="0"/>
            <w:vAlign w:val="top"/>
          </w:tcPr>
          <w:p w14:paraId="73BAB627">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p>
        </w:tc>
        <w:tc>
          <w:tcPr>
            <w:tcW w:w="2508" w:type="dxa"/>
            <w:tcBorders>
              <w:top w:val="nil"/>
              <w:left w:val="nil"/>
              <w:right w:val="nil"/>
            </w:tcBorders>
            <w:noWrap w:val="0"/>
            <w:vAlign w:val="top"/>
          </w:tcPr>
          <w:p w14:paraId="4C7B501B">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p>
        </w:tc>
        <w:tc>
          <w:tcPr>
            <w:tcW w:w="4710" w:type="dxa"/>
            <w:tcBorders>
              <w:top w:val="nil"/>
              <w:left w:val="nil"/>
              <w:right w:val="nil"/>
            </w:tcBorders>
            <w:noWrap w:val="0"/>
            <w:vAlign w:val="top"/>
          </w:tcPr>
          <w:p w14:paraId="255378D2">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My salary grade.</w:t>
            </w:r>
          </w:p>
        </w:tc>
        <w:tc>
          <w:tcPr>
            <w:tcW w:w="715" w:type="dxa"/>
            <w:tcBorders>
              <w:top w:val="nil"/>
              <w:left w:val="nil"/>
              <w:right w:val="nil"/>
            </w:tcBorders>
            <w:noWrap w:val="0"/>
            <w:vAlign w:val="top"/>
          </w:tcPr>
          <w:p w14:paraId="4BD70974">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w:t>
            </w:r>
          </w:p>
        </w:tc>
        <w:tc>
          <w:tcPr>
            <w:tcW w:w="1053" w:type="dxa"/>
            <w:tcBorders>
              <w:top w:val="nil"/>
              <w:left w:val="nil"/>
              <w:right w:val="nil"/>
            </w:tcBorders>
            <w:noWrap w:val="0"/>
            <w:vAlign w:val="top"/>
          </w:tcPr>
          <w:p w14:paraId="3DF1B3C7">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22.03%</w:t>
            </w:r>
          </w:p>
        </w:tc>
      </w:tr>
      <w:tr w14:paraId="7B108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6" w:type="dxa"/>
            <w:tcBorders>
              <w:left w:val="nil"/>
              <w:bottom w:val="nil"/>
              <w:right w:val="nil"/>
            </w:tcBorders>
            <w:noWrap w:val="0"/>
            <w:vAlign w:val="top"/>
          </w:tcPr>
          <w:p w14:paraId="340AE87E">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p>
        </w:tc>
        <w:tc>
          <w:tcPr>
            <w:tcW w:w="2508" w:type="dxa"/>
            <w:tcBorders>
              <w:left w:val="nil"/>
              <w:bottom w:val="nil"/>
              <w:right w:val="nil"/>
            </w:tcBorders>
            <w:noWrap w:val="0"/>
            <w:vAlign w:val="top"/>
          </w:tcPr>
          <w:p w14:paraId="6E23A488">
            <w:pPr>
              <w:autoSpaceDE w:val="0"/>
              <w:autoSpaceDN w:val="0"/>
              <w:adjustRightInd w:val="0"/>
              <w:spacing w:line="240" w:lineRule="auto"/>
              <w:jc w:val="left"/>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ENJD</w:t>
            </w:r>
          </w:p>
        </w:tc>
        <w:tc>
          <w:tcPr>
            <w:tcW w:w="4710" w:type="dxa"/>
            <w:tcBorders>
              <w:left w:val="nil"/>
              <w:bottom w:val="nil"/>
              <w:right w:val="nil"/>
            </w:tcBorders>
            <w:noWrap w:val="0"/>
            <w:vAlign w:val="top"/>
          </w:tcPr>
          <w:p w14:paraId="02E494E7">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Dissatisfaction with my direct superior.</w:t>
            </w:r>
          </w:p>
        </w:tc>
        <w:tc>
          <w:tcPr>
            <w:tcW w:w="715" w:type="dxa"/>
            <w:tcBorders>
              <w:left w:val="nil"/>
              <w:bottom w:val="nil"/>
              <w:right w:val="nil"/>
            </w:tcBorders>
            <w:noWrap w:val="0"/>
            <w:vAlign w:val="top"/>
          </w:tcPr>
          <w:p w14:paraId="59AE1649">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w:t>
            </w:r>
          </w:p>
        </w:tc>
        <w:tc>
          <w:tcPr>
            <w:tcW w:w="1053" w:type="dxa"/>
            <w:tcBorders>
              <w:left w:val="nil"/>
              <w:bottom w:val="nil"/>
              <w:right w:val="nil"/>
            </w:tcBorders>
            <w:noWrap w:val="0"/>
            <w:vAlign w:val="center"/>
          </w:tcPr>
          <w:p w14:paraId="34705D56">
            <w:pPr>
              <w:widowControl/>
              <w:spacing w:line="240" w:lineRule="auto"/>
              <w:jc w:val="left"/>
              <w:textAlignment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lang w:bidi="ar"/>
              </w:rPr>
              <w:t>18.31%</w:t>
            </w:r>
          </w:p>
        </w:tc>
      </w:tr>
      <w:tr w14:paraId="08A33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6" w:type="dxa"/>
            <w:tcBorders>
              <w:top w:val="nil"/>
              <w:left w:val="nil"/>
              <w:bottom w:val="single" w:color="auto" w:sz="4" w:space="0"/>
              <w:right w:val="nil"/>
            </w:tcBorders>
            <w:noWrap w:val="0"/>
            <w:vAlign w:val="top"/>
          </w:tcPr>
          <w:p w14:paraId="24B13E76">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p>
        </w:tc>
        <w:tc>
          <w:tcPr>
            <w:tcW w:w="2508" w:type="dxa"/>
            <w:tcBorders>
              <w:top w:val="nil"/>
              <w:left w:val="nil"/>
              <w:bottom w:val="single" w:color="auto" w:sz="4" w:space="0"/>
              <w:right w:val="nil"/>
            </w:tcBorders>
            <w:noWrap w:val="0"/>
            <w:vAlign w:val="top"/>
          </w:tcPr>
          <w:p w14:paraId="20EBFDB0">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p>
        </w:tc>
        <w:tc>
          <w:tcPr>
            <w:tcW w:w="4710" w:type="dxa"/>
            <w:tcBorders>
              <w:top w:val="nil"/>
              <w:left w:val="nil"/>
              <w:bottom w:val="single" w:color="auto" w:sz="4" w:space="0"/>
              <w:right w:val="nil"/>
            </w:tcBorders>
            <w:noWrap w:val="0"/>
            <w:vAlign w:val="top"/>
          </w:tcPr>
          <w:p w14:paraId="3A3A3EB3">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Dissatisfaction with my colleagues.</w:t>
            </w:r>
          </w:p>
        </w:tc>
        <w:tc>
          <w:tcPr>
            <w:tcW w:w="715" w:type="dxa"/>
            <w:tcBorders>
              <w:top w:val="nil"/>
              <w:left w:val="nil"/>
              <w:bottom w:val="single" w:color="auto" w:sz="4" w:space="0"/>
              <w:right w:val="nil"/>
            </w:tcBorders>
            <w:noWrap w:val="0"/>
            <w:vAlign w:val="top"/>
          </w:tcPr>
          <w:p w14:paraId="79C57B60">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w:t>
            </w:r>
          </w:p>
        </w:tc>
        <w:tc>
          <w:tcPr>
            <w:tcW w:w="1053" w:type="dxa"/>
            <w:tcBorders>
              <w:top w:val="nil"/>
              <w:left w:val="nil"/>
              <w:bottom w:val="single" w:color="auto" w:sz="4" w:space="0"/>
              <w:right w:val="nil"/>
            </w:tcBorders>
            <w:noWrap w:val="0"/>
            <w:vAlign w:val="center"/>
          </w:tcPr>
          <w:p w14:paraId="12F6B41A">
            <w:pPr>
              <w:widowControl/>
              <w:spacing w:line="240" w:lineRule="auto"/>
              <w:jc w:val="left"/>
              <w:textAlignment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lang w:bidi="ar"/>
              </w:rPr>
              <w:t>17.54%</w:t>
            </w:r>
          </w:p>
        </w:tc>
      </w:tr>
    </w:tbl>
    <w:p w14:paraId="6A0A303C">
      <w:pPr>
        <w:autoSpaceDE w:val="0"/>
        <w:autoSpaceDN w:val="0"/>
        <w:adjustRightInd w:val="0"/>
        <w:spacing w:line="240" w:lineRule="auto"/>
        <w:rPr>
          <w:rFonts w:hint="default" w:ascii="Times New Roman" w:hAnsi="Times New Roman" w:eastAsia="宋体" w:cs="Times New Roman"/>
          <w:b/>
          <w:color w:val="auto"/>
          <w:kern w:val="0"/>
          <w:sz w:val="21"/>
          <w:szCs w:val="21"/>
          <w:highlight w:val="none"/>
          <w:lang w:val="en-US" w:eastAsia="zh-CN"/>
        </w:rPr>
      </w:pPr>
      <w:r>
        <w:rPr>
          <w:rFonts w:hint="default" w:ascii="Times New Roman" w:hAnsi="Times New Roman" w:cs="Times New Roman"/>
          <w:i/>
          <w:color w:val="auto"/>
          <w:kern w:val="0"/>
          <w:sz w:val="21"/>
          <w:szCs w:val="21"/>
          <w:highlight w:val="none"/>
          <w:lang w:bidi="ar"/>
        </w:rPr>
        <w:t>Note:</w:t>
      </w:r>
      <w:r>
        <w:rPr>
          <w:rFonts w:hint="default" w:ascii="Times New Roman" w:hAnsi="Times New Roman" w:cs="Times New Roman"/>
          <w:color w:val="auto"/>
          <w:kern w:val="0"/>
          <w:sz w:val="21"/>
          <w:szCs w:val="21"/>
          <w:highlight w:val="none"/>
        </w:rPr>
        <w:t>The nurse job dissatisfaction scale is derived from the job satisfaction scale developed by Wa</w:t>
      </w:r>
      <w:r>
        <w:rPr>
          <w:rFonts w:hint="default" w:ascii="Times New Roman" w:hAnsi="Times New Roman" w:cs="Times New Roman"/>
          <w:color w:val="auto"/>
          <w:kern w:val="0"/>
          <w:sz w:val="21"/>
          <w:szCs w:val="21"/>
          <w:highlight w:val="none"/>
          <w:lang w:val="en-US" w:eastAsia="zh-CN"/>
        </w:rPr>
        <w:t>rr</w:t>
      </w:r>
      <w:r>
        <w:rPr>
          <w:rFonts w:hint="default" w:ascii="Times New Roman" w:hAnsi="Times New Roman" w:cs="Times New Roman"/>
          <w:color w:val="auto"/>
          <w:kern w:val="0"/>
          <w:sz w:val="21"/>
          <w:szCs w:val="21"/>
          <w:highlight w:val="none"/>
        </w:rPr>
        <w:t xml:space="preserve"> et al. (1979), reversed to measure job dissatisfaction, and utilizes a five-point Likert scale for measurement (1 = "strongly disagree", 2 = "disagree", 3 = "neutral", 4 = "agree", 5 = "strongly agree").</w:t>
      </w:r>
      <w:r>
        <w:rPr>
          <w:rFonts w:hint="default" w:ascii="Times New Roman" w:hAnsi="Times New Roman" w:cs="Times New Roman"/>
          <w:color w:val="auto"/>
          <w:kern w:val="0"/>
          <w:sz w:val="21"/>
          <w:szCs w:val="21"/>
          <w:highlight w:val="none"/>
          <w:lang w:val="en-US" w:eastAsia="zh-CN"/>
        </w:rPr>
        <w:t xml:space="preserve"> Sign:The direction of the third-level indicator is positive (+).</w:t>
      </w:r>
    </w:p>
    <w:p w14:paraId="14AEDAD3">
      <w:pPr>
        <w:autoSpaceDE w:val="0"/>
        <w:autoSpaceDN w:val="0"/>
        <w:adjustRightInd w:val="0"/>
        <w:spacing w:line="240" w:lineRule="auto"/>
        <w:rPr>
          <w:rFonts w:hint="default" w:ascii="Times New Roman" w:hAnsi="Times New Roman" w:eastAsia="宋体" w:cs="Times New Roman"/>
          <w:b/>
          <w:color w:val="auto"/>
          <w:kern w:val="0"/>
          <w:sz w:val="21"/>
          <w:szCs w:val="21"/>
          <w:highlight w:val="none"/>
          <w:lang w:val="en-US" w:eastAsia="zh-CN"/>
        </w:rPr>
      </w:pPr>
      <w:r>
        <w:rPr>
          <w:rFonts w:hint="default" w:ascii="Times New Roman" w:hAnsi="Times New Roman" w:cs="Times New Roman"/>
          <w:i/>
          <w:iCs/>
          <w:color w:val="auto"/>
          <w:kern w:val="0"/>
          <w:sz w:val="21"/>
          <w:szCs w:val="21"/>
          <w:highlight w:val="none"/>
        </w:rPr>
        <w:t>Abbreviation:</w:t>
      </w:r>
      <w:r>
        <w:rPr>
          <w:rFonts w:hint="default" w:ascii="Times New Roman" w:hAnsi="Times New Roman" w:cs="Times New Roman"/>
          <w:color w:val="auto"/>
          <w:kern w:val="0"/>
          <w:sz w:val="21"/>
          <w:szCs w:val="21"/>
          <w:highlight w:val="none"/>
          <w:lang w:val="en-US" w:eastAsia="zh-CN"/>
        </w:rPr>
        <w:t xml:space="preserve"> NJD: </w:t>
      </w:r>
      <w:r>
        <w:rPr>
          <w:rFonts w:hint="default" w:ascii="Times New Roman" w:hAnsi="Times New Roman" w:cs="Times New Roman"/>
          <w:color w:val="auto"/>
          <w:sz w:val="21"/>
          <w:szCs w:val="21"/>
          <w:highlight w:val="none"/>
        </w:rPr>
        <w:t>Nurse Job Dissatisfaction</w:t>
      </w:r>
      <w:r>
        <w:rPr>
          <w:rFonts w:hint="default" w:ascii="Times New Roman" w:hAnsi="Times New Roman" w:cs="Times New Roman"/>
          <w:color w:val="auto"/>
          <w:sz w:val="21"/>
          <w:szCs w:val="21"/>
          <w:highlight w:val="none"/>
          <w:lang w:val="en-US" w:eastAsia="zh-CN"/>
        </w:rPr>
        <w:t xml:space="preserve">; INJD: </w:t>
      </w:r>
      <w:r>
        <w:rPr>
          <w:rFonts w:hint="default" w:ascii="Times New Roman" w:hAnsi="Times New Roman" w:cs="Times New Roman"/>
          <w:color w:val="auto"/>
          <w:kern w:val="0"/>
          <w:sz w:val="21"/>
          <w:szCs w:val="21"/>
          <w:highlight w:val="none"/>
        </w:rPr>
        <w:t xml:space="preserve">Internal </w:t>
      </w:r>
      <w:r>
        <w:rPr>
          <w:rFonts w:hint="default" w:ascii="Times New Roman" w:hAnsi="Times New Roman" w:cs="Times New Roman"/>
          <w:color w:val="auto"/>
          <w:kern w:val="0"/>
          <w:sz w:val="21"/>
          <w:szCs w:val="21"/>
          <w:highlight w:val="none"/>
          <w:lang w:val="en-US" w:eastAsia="zh-CN"/>
        </w:rPr>
        <w:t>nurses’ j</w:t>
      </w:r>
      <w:r>
        <w:rPr>
          <w:rFonts w:hint="default" w:ascii="Times New Roman" w:hAnsi="Times New Roman" w:cs="Times New Roman"/>
          <w:color w:val="auto"/>
          <w:kern w:val="0"/>
          <w:sz w:val="21"/>
          <w:szCs w:val="21"/>
          <w:highlight w:val="none"/>
        </w:rPr>
        <w:t xml:space="preserve">ob </w:t>
      </w:r>
      <w:r>
        <w:rPr>
          <w:rFonts w:hint="default" w:ascii="Times New Roman" w:hAnsi="Times New Roman" w:cs="Times New Roman"/>
          <w:color w:val="auto"/>
          <w:kern w:val="0"/>
          <w:sz w:val="21"/>
          <w:szCs w:val="21"/>
          <w:highlight w:val="none"/>
          <w:lang w:val="en-US" w:eastAsia="zh-CN"/>
        </w:rPr>
        <w:t>d</w:t>
      </w:r>
      <w:r>
        <w:rPr>
          <w:rFonts w:hint="default" w:ascii="Times New Roman" w:hAnsi="Times New Roman" w:cs="Times New Roman"/>
          <w:color w:val="auto"/>
          <w:kern w:val="0"/>
          <w:sz w:val="21"/>
          <w:szCs w:val="21"/>
          <w:highlight w:val="none"/>
        </w:rPr>
        <w:t>issatisfaction</w:t>
      </w:r>
      <w:r>
        <w:rPr>
          <w:rFonts w:hint="default" w:ascii="Times New Roman" w:hAnsi="Times New Roman" w:cs="Times New Roman"/>
          <w:color w:val="auto"/>
          <w:kern w:val="0"/>
          <w:sz w:val="21"/>
          <w:szCs w:val="21"/>
          <w:highlight w:val="none"/>
          <w:lang w:val="en-US" w:eastAsia="zh-CN"/>
        </w:rPr>
        <w:t xml:space="preserve">; ENJD: </w:t>
      </w:r>
      <w:r>
        <w:rPr>
          <w:rFonts w:hint="default" w:ascii="Times New Roman" w:hAnsi="Times New Roman" w:cs="Times New Roman"/>
          <w:color w:val="auto"/>
          <w:kern w:val="0"/>
          <w:sz w:val="21"/>
          <w:szCs w:val="21"/>
          <w:highlight w:val="none"/>
        </w:rPr>
        <w:t xml:space="preserve">External </w:t>
      </w:r>
      <w:r>
        <w:rPr>
          <w:rFonts w:hint="default" w:ascii="Times New Roman" w:hAnsi="Times New Roman" w:cs="Times New Roman"/>
          <w:color w:val="auto"/>
          <w:kern w:val="0"/>
          <w:sz w:val="21"/>
          <w:szCs w:val="21"/>
          <w:highlight w:val="none"/>
          <w:lang w:val="en-US" w:eastAsia="zh-CN"/>
        </w:rPr>
        <w:t>nurses’ j</w:t>
      </w:r>
      <w:r>
        <w:rPr>
          <w:rFonts w:hint="default" w:ascii="Times New Roman" w:hAnsi="Times New Roman" w:cs="Times New Roman"/>
          <w:color w:val="auto"/>
          <w:kern w:val="0"/>
          <w:sz w:val="21"/>
          <w:szCs w:val="21"/>
          <w:highlight w:val="none"/>
        </w:rPr>
        <w:t xml:space="preserve">ob </w:t>
      </w:r>
      <w:r>
        <w:rPr>
          <w:rFonts w:hint="default" w:ascii="Times New Roman" w:hAnsi="Times New Roman" w:cs="Times New Roman"/>
          <w:color w:val="auto"/>
          <w:kern w:val="0"/>
          <w:sz w:val="21"/>
          <w:szCs w:val="21"/>
          <w:highlight w:val="none"/>
          <w:lang w:val="en-US" w:eastAsia="zh-CN"/>
        </w:rPr>
        <w:t>d</w:t>
      </w:r>
      <w:r>
        <w:rPr>
          <w:rFonts w:hint="default" w:ascii="Times New Roman" w:hAnsi="Times New Roman" w:cs="Times New Roman"/>
          <w:color w:val="auto"/>
          <w:kern w:val="0"/>
          <w:sz w:val="21"/>
          <w:szCs w:val="21"/>
          <w:highlight w:val="none"/>
        </w:rPr>
        <w:t>issatisfaction</w:t>
      </w:r>
    </w:p>
    <w:p w14:paraId="279D3C5F">
      <w:pPr>
        <w:rPr>
          <w:rFonts w:hint="default" w:ascii="Times New Roman" w:hAnsi="Times New Roman" w:cs="Times New Roman"/>
          <w:color w:val="auto"/>
          <w:sz w:val="21"/>
          <w:szCs w:val="21"/>
          <w:highlight w:val="none"/>
          <w:lang w:val="en-US" w:eastAsia="zh-CN"/>
        </w:rPr>
      </w:pPr>
    </w:p>
    <w:p w14:paraId="209FDA21">
      <w:pPr>
        <w:keepNext w:val="0"/>
        <w:keepLines w:val="0"/>
        <w:pageBreakBefore w:val="0"/>
        <w:widowControl w:val="0"/>
        <w:kinsoku/>
        <w:wordWrap/>
        <w:overflowPunct/>
        <w:topLinePunct w:val="0"/>
        <w:autoSpaceDE w:val="0"/>
        <w:autoSpaceDN w:val="0"/>
        <w:bidi w:val="0"/>
        <w:adjustRightInd w:val="0"/>
        <w:snapToGrid/>
        <w:spacing w:line="240" w:lineRule="auto"/>
        <w:textAlignment w:val="auto"/>
        <w:rPr>
          <w:rFonts w:hint="default" w:ascii="Times New Roman" w:hAnsi="Times New Roman" w:cs="Times New Roman"/>
          <w:bCs/>
          <w:color w:val="auto"/>
          <w:kern w:val="0"/>
          <w:sz w:val="21"/>
          <w:szCs w:val="21"/>
          <w:highlight w:val="none"/>
        </w:rPr>
      </w:pPr>
      <w:r>
        <w:rPr>
          <w:rFonts w:hint="default" w:ascii="Times New Roman" w:hAnsi="Times New Roman" w:cs="Times New Roman"/>
          <w:b/>
          <w:color w:val="auto"/>
          <w:kern w:val="0"/>
          <w:sz w:val="21"/>
          <w:szCs w:val="21"/>
          <w:highlight w:val="none"/>
          <w:lang w:val="en-US" w:eastAsia="zh-CN"/>
        </w:rPr>
        <w:t>Appendix</w:t>
      </w:r>
      <w:r>
        <w:rPr>
          <w:rFonts w:hint="default" w:ascii="Times New Roman" w:hAnsi="Times New Roman" w:cs="Times New Roman"/>
          <w:b/>
          <w:color w:val="auto"/>
          <w:kern w:val="0"/>
          <w:sz w:val="21"/>
          <w:szCs w:val="21"/>
          <w:highlight w:val="none"/>
        </w:rPr>
        <w:t xml:space="preserve"> 4</w:t>
      </w:r>
      <w:r>
        <w:rPr>
          <w:rFonts w:hint="default" w:ascii="Times New Roman" w:hAnsi="Times New Roman" w:cs="Times New Roman"/>
          <w:bCs/>
          <w:color w:val="auto"/>
          <w:kern w:val="0"/>
          <w:sz w:val="21"/>
          <w:szCs w:val="21"/>
          <w:highlight w:val="none"/>
        </w:rPr>
        <w:t xml:space="preserve"> Calculation indicators of nurse manager overconfidence (NMO)</w:t>
      </w:r>
    </w:p>
    <w:tbl>
      <w:tblPr>
        <w:tblStyle w:val="5"/>
        <w:tblW w:w="11268" w:type="dxa"/>
        <w:tblInd w:w="-145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2"/>
        <w:gridCol w:w="2444"/>
        <w:gridCol w:w="5824"/>
        <w:gridCol w:w="636"/>
        <w:gridCol w:w="972"/>
      </w:tblGrid>
      <w:tr w14:paraId="3B6AD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2" w:type="dxa"/>
            <w:tcBorders>
              <w:left w:val="nil"/>
              <w:right w:val="nil"/>
            </w:tcBorders>
            <w:noWrap w:val="0"/>
            <w:vAlign w:val="center"/>
          </w:tcPr>
          <w:p w14:paraId="56A4F64F">
            <w:pPr>
              <w:autoSpaceDE w:val="0"/>
              <w:autoSpaceDN w:val="0"/>
              <w:adjustRightInd w:val="0"/>
              <w:spacing w:line="240" w:lineRule="auto"/>
              <w:rPr>
                <w:rFonts w:hint="default" w:ascii="Times New Roman" w:hAnsi="Times New Roman" w:cs="Times New Roman"/>
                <w:bCs/>
                <w:color w:val="auto"/>
                <w:kern w:val="0"/>
                <w:sz w:val="21"/>
                <w:szCs w:val="21"/>
                <w:highlight w:val="none"/>
              </w:rPr>
            </w:pPr>
            <w:r>
              <w:rPr>
                <w:rFonts w:hint="default" w:ascii="Times New Roman" w:hAnsi="Times New Roman" w:cs="Times New Roman"/>
                <w:bCs/>
                <w:color w:val="auto"/>
                <w:kern w:val="0"/>
                <w:sz w:val="21"/>
                <w:szCs w:val="21"/>
                <w:highlight w:val="none"/>
              </w:rPr>
              <w:t>First–level indicators</w:t>
            </w:r>
          </w:p>
        </w:tc>
        <w:tc>
          <w:tcPr>
            <w:tcW w:w="2444" w:type="dxa"/>
            <w:tcBorders>
              <w:left w:val="nil"/>
              <w:right w:val="nil"/>
            </w:tcBorders>
            <w:noWrap w:val="0"/>
            <w:vAlign w:val="center"/>
          </w:tcPr>
          <w:p w14:paraId="421BE64B">
            <w:pPr>
              <w:autoSpaceDE w:val="0"/>
              <w:autoSpaceDN w:val="0"/>
              <w:adjustRightInd w:val="0"/>
              <w:spacing w:line="240" w:lineRule="auto"/>
              <w:rPr>
                <w:rFonts w:hint="default" w:ascii="Times New Roman" w:hAnsi="Times New Roman" w:cs="Times New Roman"/>
                <w:bCs/>
                <w:color w:val="auto"/>
                <w:kern w:val="0"/>
                <w:sz w:val="21"/>
                <w:szCs w:val="21"/>
                <w:highlight w:val="none"/>
              </w:rPr>
            </w:pPr>
            <w:r>
              <w:rPr>
                <w:rFonts w:hint="default" w:ascii="Times New Roman" w:hAnsi="Times New Roman" w:cs="Times New Roman"/>
                <w:bCs/>
                <w:color w:val="auto"/>
                <w:kern w:val="0"/>
                <w:sz w:val="21"/>
                <w:szCs w:val="21"/>
                <w:highlight w:val="none"/>
              </w:rPr>
              <w:t>Second–level indicators</w:t>
            </w:r>
          </w:p>
        </w:tc>
        <w:tc>
          <w:tcPr>
            <w:tcW w:w="5824" w:type="dxa"/>
            <w:tcBorders>
              <w:left w:val="nil"/>
              <w:right w:val="nil"/>
            </w:tcBorders>
            <w:noWrap w:val="0"/>
            <w:vAlign w:val="center"/>
          </w:tcPr>
          <w:p w14:paraId="139814F9">
            <w:pPr>
              <w:autoSpaceDE w:val="0"/>
              <w:autoSpaceDN w:val="0"/>
              <w:adjustRightInd w:val="0"/>
              <w:spacing w:line="240" w:lineRule="auto"/>
              <w:rPr>
                <w:rFonts w:hint="default" w:ascii="Times New Roman" w:hAnsi="Times New Roman" w:cs="Times New Roman"/>
                <w:bCs/>
                <w:color w:val="auto"/>
                <w:kern w:val="0"/>
                <w:sz w:val="21"/>
                <w:szCs w:val="21"/>
                <w:highlight w:val="none"/>
              </w:rPr>
            </w:pPr>
            <w:r>
              <w:rPr>
                <w:rFonts w:hint="default" w:ascii="Times New Roman" w:hAnsi="Times New Roman" w:cs="Times New Roman"/>
                <w:bCs/>
                <w:color w:val="auto"/>
                <w:sz w:val="21"/>
                <w:szCs w:val="21"/>
                <w:highlight w:val="none"/>
              </w:rPr>
              <w:t xml:space="preserve">Measurement method of </w:t>
            </w:r>
            <w:r>
              <w:rPr>
                <w:rFonts w:hint="default" w:ascii="Times New Roman" w:hAnsi="Times New Roman" w:cs="Times New Roman"/>
                <w:bCs/>
                <w:color w:val="auto"/>
                <w:kern w:val="0"/>
                <w:sz w:val="21"/>
                <w:szCs w:val="21"/>
                <w:highlight w:val="none"/>
              </w:rPr>
              <w:t>Second–level indicators</w:t>
            </w:r>
          </w:p>
        </w:tc>
        <w:tc>
          <w:tcPr>
            <w:tcW w:w="636" w:type="dxa"/>
            <w:tcBorders>
              <w:left w:val="nil"/>
              <w:right w:val="nil"/>
            </w:tcBorders>
            <w:noWrap w:val="0"/>
            <w:vAlign w:val="center"/>
          </w:tcPr>
          <w:p w14:paraId="7F314EC2">
            <w:pPr>
              <w:autoSpaceDE w:val="0"/>
              <w:autoSpaceDN w:val="0"/>
              <w:adjustRightInd w:val="0"/>
              <w:spacing w:line="240" w:lineRule="auto"/>
              <w:rPr>
                <w:rFonts w:hint="default" w:ascii="Times New Roman" w:hAnsi="Times New Roman" w:cs="Times New Roman"/>
                <w:bCs/>
                <w:color w:val="auto"/>
                <w:kern w:val="0"/>
                <w:sz w:val="21"/>
                <w:szCs w:val="21"/>
                <w:highlight w:val="none"/>
              </w:rPr>
            </w:pPr>
            <w:r>
              <w:rPr>
                <w:rFonts w:hint="default" w:ascii="Times New Roman" w:hAnsi="Times New Roman" w:cs="Times New Roman"/>
                <w:bCs/>
                <w:color w:val="auto"/>
                <w:kern w:val="0"/>
                <w:sz w:val="21"/>
                <w:szCs w:val="21"/>
                <w:highlight w:val="none"/>
              </w:rPr>
              <w:t>Sign</w:t>
            </w:r>
          </w:p>
        </w:tc>
        <w:tc>
          <w:tcPr>
            <w:tcW w:w="972" w:type="dxa"/>
            <w:tcBorders>
              <w:left w:val="nil"/>
              <w:right w:val="nil"/>
            </w:tcBorders>
            <w:noWrap w:val="0"/>
            <w:vAlign w:val="center"/>
          </w:tcPr>
          <w:p w14:paraId="60D1055C">
            <w:pPr>
              <w:autoSpaceDE w:val="0"/>
              <w:autoSpaceDN w:val="0"/>
              <w:adjustRightInd w:val="0"/>
              <w:spacing w:line="240" w:lineRule="auto"/>
              <w:rPr>
                <w:rFonts w:hint="default" w:ascii="Times New Roman" w:hAnsi="Times New Roman" w:cs="Times New Roman"/>
                <w:bCs/>
                <w:color w:val="auto"/>
                <w:kern w:val="0"/>
                <w:sz w:val="21"/>
                <w:szCs w:val="21"/>
                <w:highlight w:val="none"/>
              </w:rPr>
            </w:pPr>
            <w:r>
              <w:rPr>
                <w:rFonts w:hint="default" w:ascii="Times New Roman" w:hAnsi="Times New Roman" w:cs="Times New Roman"/>
                <w:bCs/>
                <w:color w:val="auto"/>
                <w:kern w:val="0"/>
                <w:sz w:val="21"/>
                <w:szCs w:val="21"/>
                <w:highlight w:val="none"/>
              </w:rPr>
              <w:t>Weight</w:t>
            </w:r>
          </w:p>
        </w:tc>
      </w:tr>
      <w:tr w14:paraId="213B9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2" w:type="dxa"/>
            <w:vMerge w:val="restart"/>
            <w:tcBorders>
              <w:left w:val="nil"/>
              <w:right w:val="nil"/>
            </w:tcBorders>
            <w:noWrap w:val="0"/>
            <w:vAlign w:val="top"/>
          </w:tcPr>
          <w:p w14:paraId="7DB8046B">
            <w:pPr>
              <w:autoSpaceDE w:val="0"/>
              <w:autoSpaceDN w:val="0"/>
              <w:adjustRightInd w:val="0"/>
              <w:spacing w:line="240" w:lineRule="auto"/>
              <w:jc w:val="left"/>
              <w:rPr>
                <w:rFonts w:hint="default" w:ascii="Times New Roman" w:hAnsi="Times New Roman" w:cs="Times New Roman"/>
                <w:bCs/>
                <w:color w:val="auto"/>
                <w:kern w:val="0"/>
                <w:sz w:val="21"/>
                <w:szCs w:val="21"/>
                <w:highlight w:val="none"/>
              </w:rPr>
            </w:pPr>
            <w:r>
              <w:rPr>
                <w:rFonts w:hint="default" w:ascii="Times New Roman" w:hAnsi="Times New Roman" w:cs="Times New Roman"/>
                <w:bCs/>
                <w:color w:val="auto"/>
                <w:kern w:val="0"/>
                <w:sz w:val="21"/>
                <w:szCs w:val="21"/>
                <w:highlight w:val="none"/>
              </w:rPr>
              <w:t>NMO</w:t>
            </w:r>
          </w:p>
        </w:tc>
        <w:tc>
          <w:tcPr>
            <w:tcW w:w="2444" w:type="dxa"/>
            <w:tcBorders>
              <w:left w:val="nil"/>
              <w:bottom w:val="nil"/>
              <w:right w:val="nil"/>
            </w:tcBorders>
            <w:noWrap w:val="0"/>
            <w:vAlign w:val="top"/>
          </w:tcPr>
          <w:p w14:paraId="6069634A">
            <w:pPr>
              <w:autoSpaceDE w:val="0"/>
              <w:autoSpaceDN w:val="0"/>
              <w:adjustRightInd w:val="0"/>
              <w:spacing w:line="240" w:lineRule="auto"/>
              <w:jc w:val="left"/>
              <w:rPr>
                <w:rFonts w:hint="default" w:ascii="Times New Roman" w:hAnsi="Times New Roman" w:cs="Times New Roman"/>
                <w:bCs/>
                <w:color w:val="auto"/>
                <w:kern w:val="0"/>
                <w:sz w:val="21"/>
                <w:szCs w:val="21"/>
                <w:highlight w:val="none"/>
              </w:rPr>
            </w:pPr>
            <w:r>
              <w:rPr>
                <w:rFonts w:hint="default" w:ascii="Times New Roman" w:hAnsi="Times New Roman" w:cs="Times New Roman"/>
                <w:bCs/>
                <w:color w:val="auto"/>
                <w:kern w:val="0"/>
                <w:sz w:val="21"/>
                <w:szCs w:val="21"/>
                <w:highlight w:val="none"/>
              </w:rPr>
              <w:t xml:space="preserve">NMO1:Media Based </w:t>
            </w:r>
          </w:p>
        </w:tc>
        <w:tc>
          <w:tcPr>
            <w:tcW w:w="5824" w:type="dxa"/>
            <w:tcBorders>
              <w:left w:val="nil"/>
              <w:bottom w:val="nil"/>
              <w:right w:val="nil"/>
            </w:tcBorders>
            <w:noWrap w:val="0"/>
            <w:vAlign w:val="top"/>
          </w:tcPr>
          <w:p w14:paraId="051C37D2">
            <w:pPr>
              <w:autoSpaceDE w:val="0"/>
              <w:autoSpaceDN w:val="0"/>
              <w:adjustRightInd w:val="0"/>
              <w:spacing w:line="240" w:lineRule="auto"/>
              <w:jc w:val="left"/>
              <w:rPr>
                <w:rFonts w:hint="default" w:ascii="Times New Roman" w:hAnsi="Times New Roman" w:cs="Times New Roman"/>
                <w:bCs/>
                <w:color w:val="auto"/>
                <w:kern w:val="0"/>
                <w:sz w:val="21"/>
                <w:szCs w:val="21"/>
                <w:highlight w:val="none"/>
              </w:rPr>
            </w:pPr>
            <w:r>
              <w:rPr>
                <w:rFonts w:hint="default" w:ascii="Times New Roman" w:hAnsi="Times New Roman" w:cs="Times New Roman"/>
                <w:color w:val="auto"/>
                <w:sz w:val="21"/>
                <w:szCs w:val="21"/>
                <w:highlight w:val="none"/>
              </w:rPr>
              <w:t>Classify NMs as overconfident when the number of media outputs (e.g., articles, tweets) containing overconfident descriptions (e.g., confident, optimistic) exceeds the number of articles containing non-overconfident descriptions (e.g., reliable, cautious, conservative),the value=1,otherwise the value=0.</w:t>
            </w:r>
          </w:p>
        </w:tc>
        <w:tc>
          <w:tcPr>
            <w:tcW w:w="636" w:type="dxa"/>
            <w:tcBorders>
              <w:left w:val="nil"/>
              <w:bottom w:val="nil"/>
              <w:right w:val="nil"/>
            </w:tcBorders>
            <w:noWrap w:val="0"/>
            <w:vAlign w:val="top"/>
          </w:tcPr>
          <w:p w14:paraId="438A4FD0">
            <w:pPr>
              <w:autoSpaceDE w:val="0"/>
              <w:autoSpaceDN w:val="0"/>
              <w:adjustRightInd w:val="0"/>
              <w:spacing w:line="240" w:lineRule="auto"/>
              <w:rPr>
                <w:rFonts w:hint="default" w:ascii="Times New Roman" w:hAnsi="Times New Roman" w:cs="Times New Roman"/>
                <w:bCs/>
                <w:color w:val="auto"/>
                <w:kern w:val="0"/>
                <w:sz w:val="21"/>
                <w:szCs w:val="21"/>
                <w:highlight w:val="none"/>
              </w:rPr>
            </w:pPr>
            <w:r>
              <w:rPr>
                <w:rFonts w:hint="default" w:ascii="Times New Roman" w:hAnsi="Times New Roman" w:cs="Times New Roman"/>
                <w:bCs/>
                <w:color w:val="auto"/>
                <w:kern w:val="0"/>
                <w:sz w:val="21"/>
                <w:szCs w:val="21"/>
                <w:highlight w:val="none"/>
              </w:rPr>
              <w:t>+</w:t>
            </w:r>
          </w:p>
        </w:tc>
        <w:tc>
          <w:tcPr>
            <w:tcW w:w="972" w:type="dxa"/>
            <w:tcBorders>
              <w:left w:val="nil"/>
              <w:bottom w:val="nil"/>
              <w:right w:val="nil"/>
            </w:tcBorders>
            <w:noWrap w:val="0"/>
            <w:vAlign w:val="top"/>
          </w:tcPr>
          <w:p w14:paraId="5AF1DC7B">
            <w:pPr>
              <w:autoSpaceDE w:val="0"/>
              <w:autoSpaceDN w:val="0"/>
              <w:adjustRightInd w:val="0"/>
              <w:spacing w:line="240" w:lineRule="auto"/>
              <w:rPr>
                <w:rFonts w:hint="default" w:ascii="Times New Roman" w:hAnsi="Times New Roman" w:cs="Times New Roman"/>
                <w:bCs/>
                <w:color w:val="auto"/>
                <w:kern w:val="0"/>
                <w:sz w:val="21"/>
                <w:szCs w:val="21"/>
                <w:highlight w:val="none"/>
              </w:rPr>
            </w:pPr>
            <w:r>
              <w:rPr>
                <w:rFonts w:hint="default" w:ascii="Times New Roman" w:hAnsi="Times New Roman" w:cs="Times New Roman"/>
                <w:color w:val="auto"/>
                <w:sz w:val="21"/>
                <w:szCs w:val="21"/>
                <w:highlight w:val="none"/>
              </w:rPr>
              <w:t>25.06%</w:t>
            </w:r>
          </w:p>
        </w:tc>
      </w:tr>
      <w:tr w14:paraId="1B7F7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2" w:type="dxa"/>
            <w:vMerge w:val="continue"/>
            <w:tcBorders>
              <w:left w:val="nil"/>
              <w:right w:val="nil"/>
            </w:tcBorders>
            <w:noWrap w:val="0"/>
            <w:vAlign w:val="top"/>
          </w:tcPr>
          <w:p w14:paraId="014C91CB">
            <w:pPr>
              <w:autoSpaceDE w:val="0"/>
              <w:autoSpaceDN w:val="0"/>
              <w:adjustRightInd w:val="0"/>
              <w:spacing w:line="240" w:lineRule="auto"/>
              <w:jc w:val="left"/>
              <w:rPr>
                <w:rFonts w:hint="default" w:ascii="Times New Roman" w:hAnsi="Times New Roman" w:cs="Times New Roman"/>
                <w:bCs/>
                <w:color w:val="auto"/>
                <w:kern w:val="0"/>
                <w:sz w:val="21"/>
                <w:szCs w:val="21"/>
                <w:highlight w:val="none"/>
              </w:rPr>
            </w:pPr>
          </w:p>
        </w:tc>
        <w:tc>
          <w:tcPr>
            <w:tcW w:w="2444" w:type="dxa"/>
            <w:tcBorders>
              <w:top w:val="nil"/>
              <w:left w:val="nil"/>
              <w:bottom w:val="nil"/>
              <w:right w:val="nil"/>
            </w:tcBorders>
            <w:noWrap w:val="0"/>
            <w:vAlign w:val="top"/>
          </w:tcPr>
          <w:p w14:paraId="2C6AA6B7">
            <w:pPr>
              <w:autoSpaceDE w:val="0"/>
              <w:autoSpaceDN w:val="0"/>
              <w:adjustRightInd w:val="0"/>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NMO</w:t>
            </w:r>
            <w:r>
              <w:rPr>
                <w:rFonts w:hint="default" w:ascii="Times New Roman" w:hAnsi="Times New Roman" w:cs="Times New Roman"/>
                <w:color w:val="auto"/>
                <w:sz w:val="21"/>
                <w:szCs w:val="21"/>
                <w:highlight w:val="none"/>
                <w:lang w:val="en-US" w:eastAsia="zh-CN"/>
              </w:rPr>
              <w:t>2</w:t>
            </w:r>
            <w:r>
              <w:rPr>
                <w:rFonts w:hint="default" w:ascii="Times New Roman" w:hAnsi="Times New Roman" w:cs="Times New Roman"/>
                <w:color w:val="auto"/>
                <w:sz w:val="21"/>
                <w:szCs w:val="21"/>
                <w:highlight w:val="none"/>
              </w:rPr>
              <w:t>:PSK Based</w:t>
            </w:r>
          </w:p>
        </w:tc>
        <w:tc>
          <w:tcPr>
            <w:tcW w:w="5824" w:type="dxa"/>
            <w:tcBorders>
              <w:top w:val="nil"/>
              <w:left w:val="nil"/>
              <w:bottom w:val="nil"/>
              <w:right w:val="nil"/>
            </w:tcBorders>
            <w:noWrap w:val="0"/>
            <w:vAlign w:val="top"/>
          </w:tcPr>
          <w:p w14:paraId="39AA3F76">
            <w:pPr>
              <w:autoSpaceDE w:val="0"/>
              <w:autoSpaceDN w:val="0"/>
              <w:adjustRightInd w:val="0"/>
              <w:spacing w:line="240" w:lineRule="auto"/>
              <w:jc w:val="left"/>
              <w:rPr>
                <w:rFonts w:hint="default" w:ascii="Times New Roman" w:hAnsi="Times New Roman" w:cs="Times New Roman"/>
                <w:bCs/>
                <w:color w:val="auto"/>
                <w:kern w:val="0"/>
                <w:sz w:val="21"/>
                <w:szCs w:val="21"/>
                <w:highlight w:val="none"/>
              </w:rPr>
            </w:pPr>
            <w:r>
              <w:rPr>
                <w:rFonts w:hint="default" w:ascii="Times New Roman" w:hAnsi="Times New Roman" w:cs="Times New Roman"/>
                <w:bCs/>
                <w:color w:val="auto"/>
                <w:kern w:val="0"/>
                <w:sz w:val="21"/>
                <w:szCs w:val="21"/>
                <w:highlight w:val="none"/>
              </w:rPr>
              <w:t>Classify NMs as</w:t>
            </w:r>
            <w:r>
              <w:rPr>
                <w:rFonts w:hint="default" w:ascii="Times New Roman" w:hAnsi="Times New Roman" w:cs="Times New Roman"/>
                <w:color w:val="auto"/>
                <w:sz w:val="21"/>
                <w:szCs w:val="21"/>
                <w:highlight w:val="none"/>
              </w:rPr>
              <w:t xml:space="preserve"> overconfident when NM has a moderate level of professional nursing science knowledge, rather than a low or high-level PSK,the value=1,otherwise the value=0.</w:t>
            </w:r>
          </w:p>
        </w:tc>
        <w:tc>
          <w:tcPr>
            <w:tcW w:w="636" w:type="dxa"/>
            <w:tcBorders>
              <w:top w:val="nil"/>
              <w:left w:val="nil"/>
              <w:bottom w:val="nil"/>
              <w:right w:val="nil"/>
            </w:tcBorders>
            <w:noWrap w:val="0"/>
            <w:vAlign w:val="top"/>
          </w:tcPr>
          <w:p w14:paraId="7B9B0783">
            <w:pPr>
              <w:autoSpaceDE w:val="0"/>
              <w:autoSpaceDN w:val="0"/>
              <w:adjustRightInd w:val="0"/>
              <w:spacing w:line="240" w:lineRule="auto"/>
              <w:rPr>
                <w:rFonts w:hint="default" w:ascii="Times New Roman" w:hAnsi="Times New Roman" w:cs="Times New Roman"/>
                <w:bCs/>
                <w:color w:val="auto"/>
                <w:kern w:val="0"/>
                <w:sz w:val="21"/>
                <w:szCs w:val="21"/>
                <w:highlight w:val="none"/>
              </w:rPr>
            </w:pPr>
          </w:p>
        </w:tc>
        <w:tc>
          <w:tcPr>
            <w:tcW w:w="972" w:type="dxa"/>
            <w:tcBorders>
              <w:top w:val="nil"/>
              <w:left w:val="nil"/>
              <w:bottom w:val="nil"/>
              <w:right w:val="nil"/>
            </w:tcBorders>
            <w:noWrap w:val="0"/>
            <w:vAlign w:val="top"/>
          </w:tcPr>
          <w:p w14:paraId="7177EBDE">
            <w:pPr>
              <w:autoSpaceDE w:val="0"/>
              <w:autoSpaceDN w:val="0"/>
              <w:adjustRightInd w:val="0"/>
              <w:spacing w:line="240" w:lineRule="auto"/>
              <w:rPr>
                <w:rFonts w:hint="default" w:ascii="Times New Roman" w:hAnsi="Times New Roman" w:cs="Times New Roman"/>
                <w:bCs/>
                <w:color w:val="auto"/>
                <w:kern w:val="0"/>
                <w:sz w:val="21"/>
                <w:szCs w:val="21"/>
                <w:highlight w:val="none"/>
              </w:rPr>
            </w:pPr>
            <w:r>
              <w:rPr>
                <w:rFonts w:hint="default" w:ascii="Times New Roman" w:hAnsi="Times New Roman" w:cs="Times New Roman"/>
                <w:color w:val="auto"/>
                <w:sz w:val="21"/>
                <w:szCs w:val="21"/>
                <w:highlight w:val="none"/>
              </w:rPr>
              <w:t>28.39%</w:t>
            </w:r>
          </w:p>
        </w:tc>
      </w:tr>
      <w:tr w14:paraId="00AD1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2" w:type="dxa"/>
            <w:vMerge w:val="continue"/>
            <w:tcBorders>
              <w:left w:val="nil"/>
              <w:right w:val="nil"/>
            </w:tcBorders>
            <w:noWrap w:val="0"/>
            <w:vAlign w:val="top"/>
          </w:tcPr>
          <w:p w14:paraId="31AE11FD">
            <w:pPr>
              <w:autoSpaceDE w:val="0"/>
              <w:autoSpaceDN w:val="0"/>
              <w:adjustRightInd w:val="0"/>
              <w:spacing w:line="240" w:lineRule="auto"/>
              <w:jc w:val="left"/>
              <w:rPr>
                <w:rFonts w:hint="default" w:ascii="Times New Roman" w:hAnsi="Times New Roman" w:cs="Times New Roman"/>
                <w:bCs/>
                <w:color w:val="auto"/>
                <w:kern w:val="0"/>
                <w:sz w:val="21"/>
                <w:szCs w:val="21"/>
                <w:highlight w:val="none"/>
              </w:rPr>
            </w:pPr>
          </w:p>
        </w:tc>
        <w:tc>
          <w:tcPr>
            <w:tcW w:w="2444" w:type="dxa"/>
            <w:tcBorders>
              <w:top w:val="nil"/>
              <w:left w:val="nil"/>
              <w:bottom w:val="nil"/>
              <w:right w:val="nil"/>
            </w:tcBorders>
            <w:noWrap w:val="0"/>
            <w:vAlign w:val="top"/>
          </w:tcPr>
          <w:p w14:paraId="0E4ED0FF">
            <w:pPr>
              <w:autoSpaceDE w:val="0"/>
              <w:autoSpaceDN w:val="0"/>
              <w:adjustRightInd w:val="0"/>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NMO</w:t>
            </w:r>
            <w:r>
              <w:rPr>
                <w:rFonts w:hint="default" w:ascii="Times New Roman" w:hAnsi="Times New Roman" w:cs="Times New Roman"/>
                <w:color w:val="auto"/>
                <w:sz w:val="21"/>
                <w:szCs w:val="21"/>
                <w:highlight w:val="none"/>
                <w:lang w:val="en-US" w:eastAsia="zh-CN"/>
              </w:rPr>
              <w:t>3</w:t>
            </w:r>
            <w:r>
              <w:rPr>
                <w:rFonts w:hint="default" w:ascii="Times New Roman" w:hAnsi="Times New Roman" w:cs="Times New Roman"/>
                <w:color w:val="auto"/>
                <w:sz w:val="21"/>
                <w:szCs w:val="21"/>
                <w:highlight w:val="none"/>
              </w:rPr>
              <w:t>:Nurse Manager</w:t>
            </w:r>
          </w:p>
          <w:p w14:paraId="7E249D35">
            <w:pPr>
              <w:autoSpaceDE w:val="0"/>
              <w:autoSpaceDN w:val="0"/>
              <w:adjustRightInd w:val="0"/>
              <w:spacing w:line="240" w:lineRule="auto"/>
              <w:jc w:val="left"/>
              <w:rPr>
                <w:rFonts w:hint="default" w:ascii="Times New Roman" w:hAnsi="Times New Roman" w:cs="Times New Roman"/>
                <w:bCs/>
                <w:color w:val="auto"/>
                <w:kern w:val="0"/>
                <w:sz w:val="21"/>
                <w:szCs w:val="21"/>
                <w:highlight w:val="none"/>
              </w:rPr>
            </w:pPr>
            <w:r>
              <w:rPr>
                <w:rFonts w:hint="default" w:ascii="Times New Roman" w:hAnsi="Times New Roman" w:cs="Times New Roman"/>
                <w:bCs/>
                <w:color w:val="auto"/>
                <w:kern w:val="0"/>
                <w:sz w:val="21"/>
                <w:szCs w:val="21"/>
                <w:highlight w:val="none"/>
              </w:rPr>
              <w:t xml:space="preserve">Personality Traits </w:t>
            </w:r>
            <w:r>
              <w:rPr>
                <w:rFonts w:hint="default" w:ascii="Times New Roman" w:hAnsi="Times New Roman" w:cs="Times New Roman"/>
                <w:color w:val="auto"/>
                <w:sz w:val="21"/>
                <w:szCs w:val="21"/>
                <w:highlight w:val="none"/>
              </w:rPr>
              <w:t>Based</w:t>
            </w:r>
          </w:p>
          <w:p w14:paraId="2CCB2A1C">
            <w:pPr>
              <w:autoSpaceDE w:val="0"/>
              <w:autoSpaceDN w:val="0"/>
              <w:adjustRightInd w:val="0"/>
              <w:spacing w:line="240" w:lineRule="auto"/>
              <w:jc w:val="left"/>
              <w:rPr>
                <w:rFonts w:hint="default" w:ascii="Times New Roman" w:hAnsi="Times New Roman" w:cs="Times New Roman"/>
                <w:bCs/>
                <w:color w:val="auto"/>
                <w:kern w:val="0"/>
                <w:sz w:val="21"/>
                <w:szCs w:val="21"/>
                <w:highlight w:val="none"/>
              </w:rPr>
            </w:pPr>
          </w:p>
        </w:tc>
        <w:tc>
          <w:tcPr>
            <w:tcW w:w="5824" w:type="dxa"/>
            <w:tcBorders>
              <w:top w:val="nil"/>
              <w:left w:val="nil"/>
              <w:bottom w:val="nil"/>
              <w:right w:val="nil"/>
            </w:tcBorders>
            <w:noWrap w:val="0"/>
            <w:vAlign w:val="top"/>
          </w:tcPr>
          <w:p w14:paraId="60C91202">
            <w:pPr>
              <w:autoSpaceDE w:val="0"/>
              <w:autoSpaceDN w:val="0"/>
              <w:adjustRightInd w:val="0"/>
              <w:spacing w:line="240" w:lineRule="auto"/>
              <w:jc w:val="left"/>
              <w:rPr>
                <w:rFonts w:hint="default" w:ascii="Times New Roman" w:hAnsi="Times New Roman" w:cs="Times New Roman"/>
                <w:bCs/>
                <w:color w:val="auto"/>
                <w:kern w:val="0"/>
                <w:sz w:val="21"/>
                <w:szCs w:val="21"/>
                <w:highlight w:val="none"/>
              </w:rPr>
            </w:pPr>
            <w:r>
              <w:rPr>
                <w:rFonts w:hint="default" w:ascii="Times New Roman" w:hAnsi="Times New Roman" w:cs="Times New Roman"/>
                <w:bCs/>
                <w:color w:val="auto"/>
                <w:kern w:val="0"/>
                <w:sz w:val="21"/>
                <w:szCs w:val="21"/>
                <w:highlight w:val="none"/>
              </w:rPr>
              <w:t xml:space="preserve">NMO=Gender×13.83%＋Age×36.21%＋Degree×22.68%＋Duality×27.28%. </w:t>
            </w:r>
          </w:p>
          <w:p w14:paraId="3D7FA6C4">
            <w:pPr>
              <w:autoSpaceDE w:val="0"/>
              <w:autoSpaceDN w:val="0"/>
              <w:adjustRightInd w:val="0"/>
              <w:spacing w:line="240" w:lineRule="auto"/>
              <w:jc w:val="left"/>
              <w:rPr>
                <w:rFonts w:hint="default" w:ascii="Times New Roman" w:hAnsi="Times New Roman" w:cs="Times New Roman"/>
                <w:bCs/>
                <w:color w:val="auto"/>
                <w:kern w:val="0"/>
                <w:sz w:val="21"/>
                <w:szCs w:val="21"/>
                <w:highlight w:val="none"/>
              </w:rPr>
            </w:pPr>
            <w:r>
              <w:rPr>
                <w:rFonts w:hint="default" w:ascii="Times New Roman" w:hAnsi="Times New Roman" w:cs="Times New Roman"/>
                <w:bCs/>
                <w:color w:val="auto"/>
                <w:kern w:val="0"/>
                <w:sz w:val="21"/>
                <w:szCs w:val="21"/>
                <w:highlight w:val="none"/>
              </w:rPr>
              <w:t>The relevant measures of the sub-indicators are as follows:</w:t>
            </w:r>
          </w:p>
          <w:p w14:paraId="27AF0DCF">
            <w:pPr>
              <w:autoSpaceDE w:val="0"/>
              <w:autoSpaceDN w:val="0"/>
              <w:adjustRightInd w:val="0"/>
              <w:spacing w:line="240" w:lineRule="auto"/>
              <w:jc w:val="left"/>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Gender：</w:t>
            </w:r>
            <w:r>
              <w:rPr>
                <w:rFonts w:hint="default" w:ascii="Times New Roman" w:hAnsi="Times New Roman" w:cs="Times New Roman"/>
                <w:bCs/>
                <w:color w:val="auto"/>
                <w:kern w:val="0"/>
                <w:sz w:val="21"/>
                <w:szCs w:val="21"/>
                <w:highlight w:val="none"/>
              </w:rPr>
              <w:t>When NM’s gender is the male, the value = 1, otherwise the value= 0</w:t>
            </w:r>
          </w:p>
          <w:p w14:paraId="3F26B4FA">
            <w:pPr>
              <w:autoSpaceDE w:val="0"/>
              <w:autoSpaceDN w:val="0"/>
              <w:adjustRightInd w:val="0"/>
              <w:spacing w:line="240" w:lineRule="auto"/>
              <w:jc w:val="left"/>
              <w:rPr>
                <w:rFonts w:hint="default" w:ascii="Times New Roman" w:hAnsi="Times New Roman" w:cs="Times New Roman"/>
                <w:bCs/>
                <w:color w:val="auto"/>
                <w:kern w:val="0"/>
                <w:sz w:val="21"/>
                <w:szCs w:val="21"/>
                <w:highlight w:val="none"/>
              </w:rPr>
            </w:pPr>
            <w:r>
              <w:rPr>
                <w:rFonts w:hint="default" w:ascii="Times New Roman" w:hAnsi="Times New Roman" w:cs="Times New Roman"/>
                <w:b/>
                <w:bCs/>
                <w:color w:val="auto"/>
                <w:sz w:val="21"/>
                <w:szCs w:val="21"/>
                <w:highlight w:val="none"/>
              </w:rPr>
              <w:t>Age:</w:t>
            </w:r>
            <w:r>
              <w:rPr>
                <w:rFonts w:hint="default" w:ascii="Times New Roman" w:hAnsi="Times New Roman" w:cs="Times New Roman"/>
                <w:bCs/>
                <w:color w:val="auto"/>
                <w:kern w:val="0"/>
                <w:sz w:val="21"/>
                <w:szCs w:val="21"/>
                <w:highlight w:val="none"/>
              </w:rPr>
              <w:t>When NM age is less than mean,the value=1, otherwise the value=0</w:t>
            </w:r>
          </w:p>
          <w:p w14:paraId="718DD55C">
            <w:pPr>
              <w:autoSpaceDE w:val="0"/>
              <w:autoSpaceDN w:val="0"/>
              <w:adjustRightInd w:val="0"/>
              <w:spacing w:line="240" w:lineRule="auto"/>
              <w:jc w:val="left"/>
              <w:rPr>
                <w:rFonts w:hint="default" w:ascii="Times New Roman" w:hAnsi="Times New Roman" w:cs="Times New Roman"/>
                <w:bCs/>
                <w:color w:val="auto"/>
                <w:kern w:val="0"/>
                <w:sz w:val="21"/>
                <w:szCs w:val="21"/>
                <w:highlight w:val="none"/>
              </w:rPr>
            </w:pPr>
            <w:r>
              <w:rPr>
                <w:rFonts w:hint="default" w:ascii="Times New Roman" w:hAnsi="Times New Roman" w:cs="Times New Roman"/>
                <w:b/>
                <w:color w:val="auto"/>
                <w:kern w:val="0"/>
                <w:sz w:val="21"/>
                <w:szCs w:val="21"/>
                <w:highlight w:val="none"/>
              </w:rPr>
              <w:t>Degree:</w:t>
            </w:r>
            <w:r>
              <w:rPr>
                <w:rFonts w:hint="default" w:ascii="Times New Roman" w:hAnsi="Times New Roman" w:cs="Times New Roman"/>
                <w:bCs/>
                <w:color w:val="auto"/>
                <w:kern w:val="0"/>
                <w:sz w:val="21"/>
                <w:szCs w:val="21"/>
                <w:highlight w:val="none"/>
              </w:rPr>
              <w:t>When NM’s Education Level is bachelor’s degree or above, the value = 1, otherwise the value= 0</w:t>
            </w:r>
          </w:p>
          <w:p w14:paraId="59AA7E6D">
            <w:pPr>
              <w:autoSpaceDE w:val="0"/>
              <w:autoSpaceDN w:val="0"/>
              <w:adjustRightInd w:val="0"/>
              <w:spacing w:line="240" w:lineRule="auto"/>
              <w:jc w:val="left"/>
              <w:rPr>
                <w:rFonts w:hint="default" w:ascii="Times New Roman" w:hAnsi="Times New Roman" w:cs="Times New Roman"/>
                <w:bCs/>
                <w:color w:val="auto"/>
                <w:kern w:val="0"/>
                <w:sz w:val="21"/>
                <w:szCs w:val="21"/>
                <w:highlight w:val="none"/>
              </w:rPr>
            </w:pPr>
            <w:r>
              <w:rPr>
                <w:rFonts w:hint="default" w:ascii="Times New Roman" w:hAnsi="Times New Roman" w:cs="Times New Roman"/>
                <w:b/>
                <w:color w:val="auto"/>
                <w:kern w:val="0"/>
                <w:sz w:val="21"/>
                <w:szCs w:val="21"/>
                <w:highlight w:val="none"/>
              </w:rPr>
              <w:t>Duality:</w:t>
            </w:r>
            <w:r>
              <w:rPr>
                <w:rFonts w:hint="default" w:ascii="Times New Roman" w:hAnsi="Times New Roman" w:cs="Times New Roman"/>
                <w:bCs/>
                <w:color w:val="auto"/>
                <w:kern w:val="0"/>
                <w:sz w:val="21"/>
                <w:szCs w:val="21"/>
                <w:highlight w:val="none"/>
              </w:rPr>
              <w:t>When the NM also serves as the head NM of a large section with the same specialty, the value = 1, otherwise the value= 0</w:t>
            </w:r>
          </w:p>
        </w:tc>
        <w:tc>
          <w:tcPr>
            <w:tcW w:w="636" w:type="dxa"/>
            <w:tcBorders>
              <w:top w:val="nil"/>
              <w:left w:val="nil"/>
              <w:bottom w:val="nil"/>
              <w:right w:val="nil"/>
            </w:tcBorders>
            <w:noWrap w:val="0"/>
            <w:vAlign w:val="top"/>
          </w:tcPr>
          <w:p w14:paraId="366A2445">
            <w:pPr>
              <w:autoSpaceDE w:val="0"/>
              <w:autoSpaceDN w:val="0"/>
              <w:adjustRightInd w:val="0"/>
              <w:spacing w:line="240" w:lineRule="auto"/>
              <w:rPr>
                <w:rFonts w:hint="default" w:ascii="Times New Roman" w:hAnsi="Times New Roman" w:cs="Times New Roman"/>
                <w:bCs/>
                <w:color w:val="auto"/>
                <w:kern w:val="0"/>
                <w:sz w:val="21"/>
                <w:szCs w:val="21"/>
                <w:highlight w:val="none"/>
              </w:rPr>
            </w:pPr>
            <w:r>
              <w:rPr>
                <w:rFonts w:hint="default" w:ascii="Times New Roman" w:hAnsi="Times New Roman" w:cs="Times New Roman"/>
                <w:bCs/>
                <w:color w:val="auto"/>
                <w:kern w:val="0"/>
                <w:sz w:val="21"/>
                <w:szCs w:val="21"/>
                <w:highlight w:val="none"/>
              </w:rPr>
              <w:t>+</w:t>
            </w:r>
          </w:p>
        </w:tc>
        <w:tc>
          <w:tcPr>
            <w:tcW w:w="972" w:type="dxa"/>
            <w:tcBorders>
              <w:top w:val="nil"/>
              <w:left w:val="nil"/>
              <w:bottom w:val="nil"/>
              <w:right w:val="nil"/>
            </w:tcBorders>
            <w:noWrap w:val="0"/>
            <w:vAlign w:val="top"/>
          </w:tcPr>
          <w:p w14:paraId="1E074B80">
            <w:pPr>
              <w:autoSpaceDE w:val="0"/>
              <w:autoSpaceDN w:val="0"/>
              <w:adjustRightInd w:val="0"/>
              <w:spacing w:line="240" w:lineRule="auto"/>
              <w:rPr>
                <w:rFonts w:hint="default" w:ascii="Times New Roman" w:hAnsi="Times New Roman" w:cs="Times New Roman"/>
                <w:bCs/>
                <w:color w:val="auto"/>
                <w:kern w:val="0"/>
                <w:sz w:val="21"/>
                <w:szCs w:val="21"/>
                <w:highlight w:val="none"/>
              </w:rPr>
            </w:pPr>
            <w:r>
              <w:rPr>
                <w:rFonts w:hint="default" w:ascii="Times New Roman" w:hAnsi="Times New Roman" w:cs="Times New Roman"/>
                <w:color w:val="auto"/>
                <w:sz w:val="21"/>
                <w:szCs w:val="21"/>
                <w:highlight w:val="none"/>
                <w:lang w:val="en-US" w:eastAsia="zh-CN"/>
              </w:rPr>
              <w:t>18</w:t>
            </w:r>
            <w:r>
              <w:rPr>
                <w:rFonts w:hint="default" w:ascii="Times New Roman" w:hAnsi="Times New Roman" w:cs="Times New Roman"/>
                <w:color w:val="auto"/>
                <w:sz w:val="21"/>
                <w:szCs w:val="21"/>
                <w:highlight w:val="none"/>
              </w:rPr>
              <w:t>.</w:t>
            </w:r>
            <w:r>
              <w:rPr>
                <w:rFonts w:hint="default" w:ascii="Times New Roman" w:hAnsi="Times New Roman" w:cs="Times New Roman"/>
                <w:color w:val="auto"/>
                <w:sz w:val="21"/>
                <w:szCs w:val="21"/>
                <w:highlight w:val="none"/>
                <w:lang w:val="en-US" w:eastAsia="zh-CN"/>
              </w:rPr>
              <w:t>16</w:t>
            </w:r>
            <w:r>
              <w:rPr>
                <w:rFonts w:hint="default" w:ascii="Times New Roman" w:hAnsi="Times New Roman" w:cs="Times New Roman"/>
                <w:color w:val="auto"/>
                <w:sz w:val="21"/>
                <w:szCs w:val="21"/>
                <w:highlight w:val="none"/>
              </w:rPr>
              <w:t>%</w:t>
            </w:r>
          </w:p>
        </w:tc>
      </w:tr>
      <w:tr w14:paraId="4B8FB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7" w:hRule="atLeast"/>
        </w:trPr>
        <w:tc>
          <w:tcPr>
            <w:tcW w:w="1392" w:type="dxa"/>
            <w:vMerge w:val="continue"/>
            <w:tcBorders>
              <w:left w:val="nil"/>
              <w:right w:val="nil"/>
            </w:tcBorders>
            <w:noWrap w:val="0"/>
            <w:vAlign w:val="top"/>
          </w:tcPr>
          <w:p w14:paraId="4094B34E">
            <w:pPr>
              <w:autoSpaceDE w:val="0"/>
              <w:autoSpaceDN w:val="0"/>
              <w:adjustRightInd w:val="0"/>
              <w:spacing w:line="240" w:lineRule="auto"/>
              <w:jc w:val="left"/>
              <w:rPr>
                <w:rFonts w:hint="default" w:ascii="Times New Roman" w:hAnsi="Times New Roman" w:cs="Times New Roman"/>
                <w:bCs/>
                <w:color w:val="auto"/>
                <w:kern w:val="0"/>
                <w:sz w:val="21"/>
                <w:szCs w:val="21"/>
                <w:highlight w:val="none"/>
              </w:rPr>
            </w:pPr>
          </w:p>
        </w:tc>
        <w:tc>
          <w:tcPr>
            <w:tcW w:w="2444" w:type="dxa"/>
            <w:tcBorders>
              <w:top w:val="nil"/>
              <w:left w:val="nil"/>
              <w:bottom w:val="single" w:color="auto" w:sz="4" w:space="0"/>
              <w:right w:val="nil"/>
            </w:tcBorders>
            <w:noWrap w:val="0"/>
            <w:vAlign w:val="top"/>
          </w:tcPr>
          <w:p w14:paraId="2B01411A">
            <w:pPr>
              <w:autoSpaceDE w:val="0"/>
              <w:autoSpaceDN w:val="0"/>
              <w:adjustRightInd w:val="0"/>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NMO</w:t>
            </w:r>
            <w:r>
              <w:rPr>
                <w:rFonts w:hint="default" w:ascii="Times New Roman" w:hAnsi="Times New Roman" w:cs="Times New Roman"/>
                <w:color w:val="auto"/>
                <w:sz w:val="21"/>
                <w:szCs w:val="21"/>
                <w:highlight w:val="none"/>
                <w:lang w:val="en-US" w:eastAsia="zh-CN"/>
              </w:rPr>
              <w:t>4</w:t>
            </w:r>
            <w:r>
              <w:rPr>
                <w:rFonts w:hint="default" w:ascii="Times New Roman" w:hAnsi="Times New Roman" w:cs="Times New Roman"/>
                <w:color w:val="auto"/>
                <w:sz w:val="21"/>
                <w:szCs w:val="21"/>
                <w:highlight w:val="none"/>
              </w:rPr>
              <w:t>:Subjective-objective</w:t>
            </w:r>
          </w:p>
          <w:p w14:paraId="0F0FC895">
            <w:pPr>
              <w:autoSpaceDE w:val="0"/>
              <w:autoSpaceDN w:val="0"/>
              <w:adjustRightInd w:val="0"/>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Outcome Based</w:t>
            </w:r>
          </w:p>
        </w:tc>
        <w:tc>
          <w:tcPr>
            <w:tcW w:w="5824" w:type="dxa"/>
            <w:tcBorders>
              <w:top w:val="nil"/>
              <w:left w:val="nil"/>
              <w:bottom w:val="single" w:color="auto" w:sz="4" w:space="0"/>
              <w:right w:val="nil"/>
            </w:tcBorders>
            <w:noWrap w:val="0"/>
            <w:vAlign w:val="top"/>
          </w:tcPr>
          <w:p w14:paraId="518F2877">
            <w:pPr>
              <w:autoSpaceDE w:val="0"/>
              <w:autoSpaceDN w:val="0"/>
              <w:adjustRightInd w:val="0"/>
              <w:spacing w:line="240" w:lineRule="auto"/>
              <w:jc w:val="left"/>
              <w:rPr>
                <w:rFonts w:hint="default" w:ascii="Times New Roman" w:hAnsi="Times New Roman" w:cs="Times New Roman"/>
                <w:bCs/>
                <w:color w:val="auto"/>
                <w:kern w:val="0"/>
                <w:sz w:val="21"/>
                <w:szCs w:val="21"/>
                <w:highlight w:val="none"/>
              </w:rPr>
            </w:pPr>
            <w:r>
              <w:rPr>
                <w:rFonts w:hint="default" w:ascii="Times New Roman" w:hAnsi="Times New Roman" w:cs="Times New Roman"/>
                <w:bCs/>
                <w:color w:val="auto"/>
                <w:kern w:val="0"/>
                <w:sz w:val="21"/>
                <w:szCs w:val="21"/>
                <w:highlight w:val="none"/>
              </w:rPr>
              <w:t>Classify NMs as overconfident if there is a positive deviation of a CEO's subjective evaluation of a firm outcome from an objective measure (e.g., the difference between a NM's earnings forecast and actual earnings),the value=1,otherwise the value=0.</w:t>
            </w:r>
          </w:p>
        </w:tc>
        <w:tc>
          <w:tcPr>
            <w:tcW w:w="636" w:type="dxa"/>
            <w:tcBorders>
              <w:top w:val="nil"/>
              <w:left w:val="nil"/>
              <w:bottom w:val="single" w:color="auto" w:sz="4" w:space="0"/>
              <w:right w:val="nil"/>
            </w:tcBorders>
            <w:noWrap w:val="0"/>
            <w:vAlign w:val="top"/>
          </w:tcPr>
          <w:p w14:paraId="60222DA0">
            <w:pPr>
              <w:autoSpaceDE w:val="0"/>
              <w:autoSpaceDN w:val="0"/>
              <w:adjustRightInd w:val="0"/>
              <w:spacing w:line="240" w:lineRule="auto"/>
              <w:rPr>
                <w:rFonts w:hint="default" w:ascii="Times New Roman" w:hAnsi="Times New Roman" w:cs="Times New Roman"/>
                <w:bCs/>
                <w:color w:val="auto"/>
                <w:kern w:val="0"/>
                <w:sz w:val="21"/>
                <w:szCs w:val="21"/>
                <w:highlight w:val="none"/>
              </w:rPr>
            </w:pPr>
            <w:r>
              <w:rPr>
                <w:rFonts w:hint="default" w:ascii="Times New Roman" w:hAnsi="Times New Roman" w:cs="Times New Roman"/>
                <w:bCs/>
                <w:color w:val="auto"/>
                <w:kern w:val="0"/>
                <w:sz w:val="21"/>
                <w:szCs w:val="21"/>
                <w:highlight w:val="none"/>
              </w:rPr>
              <w:t>+</w:t>
            </w:r>
          </w:p>
        </w:tc>
        <w:tc>
          <w:tcPr>
            <w:tcW w:w="972" w:type="dxa"/>
            <w:tcBorders>
              <w:top w:val="nil"/>
              <w:left w:val="nil"/>
              <w:bottom w:val="single" w:color="auto" w:sz="4" w:space="0"/>
              <w:right w:val="nil"/>
            </w:tcBorders>
            <w:noWrap w:val="0"/>
            <w:vAlign w:val="top"/>
          </w:tcPr>
          <w:p w14:paraId="2FB48E2A">
            <w:pPr>
              <w:autoSpaceDE w:val="0"/>
              <w:autoSpaceDN w:val="0"/>
              <w:adjustRightInd w:val="0"/>
              <w:spacing w:line="240" w:lineRule="auto"/>
              <w:rPr>
                <w:rFonts w:hint="default" w:ascii="Times New Roman" w:hAnsi="Times New Roman" w:cs="Times New Roman"/>
                <w:bCs/>
                <w:color w:val="auto"/>
                <w:kern w:val="0"/>
                <w:sz w:val="21"/>
                <w:szCs w:val="21"/>
                <w:highlight w:val="none"/>
              </w:rPr>
            </w:pPr>
            <w:r>
              <w:rPr>
                <w:rFonts w:hint="default" w:ascii="Times New Roman" w:hAnsi="Times New Roman" w:cs="Times New Roman"/>
                <w:color w:val="auto"/>
                <w:sz w:val="21"/>
                <w:szCs w:val="21"/>
                <w:highlight w:val="none"/>
              </w:rPr>
              <w:t>28.39%</w:t>
            </w:r>
          </w:p>
        </w:tc>
      </w:tr>
      <w:tr w14:paraId="54C97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 w:hRule="atLeast"/>
        </w:trPr>
        <w:tc>
          <w:tcPr>
            <w:tcW w:w="11268" w:type="dxa"/>
            <w:gridSpan w:val="5"/>
            <w:tcBorders>
              <w:left w:val="nil"/>
              <w:right w:val="nil"/>
            </w:tcBorders>
            <w:noWrap w:val="0"/>
            <w:vAlign w:val="top"/>
          </w:tcPr>
          <w:p w14:paraId="35C51BA4">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default" w:ascii="Times New Roman" w:hAnsi="Times New Roman" w:cs="Times New Roman"/>
                <w:bCs/>
                <w:color w:val="auto"/>
                <w:kern w:val="0"/>
                <w:szCs w:val="21"/>
                <w:highlight w:val="none"/>
              </w:rPr>
            </w:pPr>
            <w:r>
              <w:rPr>
                <w:rFonts w:hint="default" w:ascii="Times New Roman" w:hAnsi="Times New Roman" w:cs="Times New Roman"/>
                <w:color w:val="auto"/>
                <w:sz w:val="21"/>
                <w:szCs w:val="21"/>
                <w:highlight w:val="none"/>
                <w:lang w:val="en-US" w:eastAsia="zh-CN"/>
              </w:rPr>
              <w:t>Analysis:</w:t>
            </w:r>
            <w:r>
              <w:rPr>
                <w:rFonts w:hint="default" w:ascii="Times New Roman" w:hAnsi="Times New Roman" w:cs="Times New Roman"/>
                <w:bCs/>
                <w:color w:val="auto"/>
                <w:kern w:val="0"/>
                <w:szCs w:val="21"/>
                <w:highlight w:val="none"/>
              </w:rPr>
              <w:t>To begin with, nurse manager overconfidence (</w:t>
            </w:r>
            <w:r>
              <w:rPr>
                <w:rFonts w:hint="default" w:ascii="Times New Roman" w:hAnsi="Times New Roman" w:cs="Times New Roman"/>
                <w:b/>
                <w:i/>
                <w:iCs/>
                <w:color w:val="auto"/>
                <w:kern w:val="0"/>
                <w:szCs w:val="21"/>
                <w:highlight w:val="none"/>
              </w:rPr>
              <w:t>NMO</w:t>
            </w:r>
            <w:r>
              <w:rPr>
                <w:rFonts w:hint="default" w:ascii="Times New Roman" w:hAnsi="Times New Roman" w:cs="Times New Roman"/>
                <w:bCs/>
                <w:color w:val="auto"/>
                <w:kern w:val="0"/>
                <w:szCs w:val="21"/>
                <w:highlight w:val="none"/>
              </w:rPr>
              <w:t>) is assessed using the media based (</w:t>
            </w:r>
            <w:r>
              <w:rPr>
                <w:rFonts w:hint="default" w:ascii="Times New Roman" w:hAnsi="Times New Roman" w:cs="Times New Roman"/>
                <w:b/>
                <w:i/>
                <w:iCs/>
                <w:color w:val="auto"/>
                <w:kern w:val="0"/>
                <w:szCs w:val="21"/>
                <w:highlight w:val="none"/>
              </w:rPr>
              <w:t>MMEM</w:t>
            </w:r>
            <w:r>
              <w:rPr>
                <w:rFonts w:hint="default" w:ascii="Times New Roman" w:hAnsi="Times New Roman" w:cs="Times New Roman"/>
                <w:bCs/>
                <w:color w:val="auto"/>
                <w:kern w:val="0"/>
                <w:szCs w:val="21"/>
                <w:highlight w:val="none"/>
              </w:rPr>
              <w:t>). In this method, instances of overconfident portrayals (e.g., confident, optimistic) of managers (e.g., CEOs, CFOs, NMs) in media outputs (e.g., articles, tweets) are compared to non-overconfident descriptions (e.g., reliable, cautious, conservative). Managers are categorized as overconfident if their overconfident media descriptions exceed non-overconfident ones (Malmendier &amp; Tate, 2008; Hirshleifer et al., 2012; Lee et al., 2017; Burkhard et al., 2023).</w:t>
            </w:r>
          </w:p>
          <w:p w14:paraId="34AB9C73">
            <w:pPr>
              <w:keepNext w:val="0"/>
              <w:keepLines w:val="0"/>
              <w:pageBreakBefore w:val="0"/>
              <w:widowControl w:val="0"/>
              <w:kinsoku/>
              <w:wordWrap/>
              <w:overflowPunct/>
              <w:topLinePunct w:val="0"/>
              <w:autoSpaceDE w:val="0"/>
              <w:autoSpaceDN w:val="0"/>
              <w:bidi w:val="0"/>
              <w:adjustRightInd w:val="0"/>
              <w:snapToGrid/>
              <w:spacing w:line="240" w:lineRule="auto"/>
              <w:ind w:firstLine="420"/>
              <w:jc w:val="both"/>
              <w:textAlignment w:val="auto"/>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 xml:space="preserve">Secondly, </w:t>
            </w:r>
            <w:r>
              <w:rPr>
                <w:rFonts w:hint="default" w:ascii="Times New Roman" w:hAnsi="Times New Roman" w:cs="Times New Roman"/>
                <w:b/>
                <w:i/>
                <w:iCs/>
                <w:color w:val="auto"/>
                <w:kern w:val="0"/>
                <w:szCs w:val="21"/>
                <w:highlight w:val="none"/>
              </w:rPr>
              <w:t>NMO</w:t>
            </w:r>
            <w:r>
              <w:rPr>
                <w:rFonts w:hint="default" w:ascii="Times New Roman" w:hAnsi="Times New Roman" w:cs="Times New Roman"/>
                <w:bCs/>
                <w:color w:val="auto"/>
                <w:kern w:val="0"/>
                <w:szCs w:val="21"/>
                <w:highlight w:val="none"/>
              </w:rPr>
              <w:t xml:space="preserve"> is gauged through professional scientific knowledge based (</w:t>
            </w:r>
            <w:r>
              <w:rPr>
                <w:rFonts w:hint="default" w:ascii="Times New Roman" w:hAnsi="Times New Roman" w:cs="Times New Roman"/>
                <w:b/>
                <w:i/>
                <w:iCs/>
                <w:color w:val="auto"/>
                <w:kern w:val="0"/>
                <w:szCs w:val="21"/>
                <w:highlight w:val="none"/>
              </w:rPr>
              <w:t>SKRM</w:t>
            </w:r>
            <w:r>
              <w:rPr>
                <w:rFonts w:hint="default" w:ascii="Times New Roman" w:hAnsi="Times New Roman" w:cs="Times New Roman"/>
                <w:bCs/>
                <w:color w:val="auto"/>
                <w:kern w:val="0"/>
                <w:szCs w:val="21"/>
                <w:highlight w:val="none"/>
              </w:rPr>
              <w:t>). Overconfidence is characterized by a tendency to provide incorrect answers about scientific facts instead of admitting lack of knowledge (Lackner et al., 2023). When an individual possesses a moderate level of professional scientific knowledge (</w:t>
            </w:r>
            <w:r>
              <w:rPr>
                <w:rFonts w:hint="default" w:ascii="Times New Roman" w:hAnsi="Times New Roman" w:cs="Times New Roman"/>
                <w:b/>
                <w:i/>
                <w:iCs/>
                <w:color w:val="auto"/>
                <w:kern w:val="0"/>
                <w:szCs w:val="21"/>
                <w:highlight w:val="none"/>
              </w:rPr>
              <w:t>PSK</w:t>
            </w:r>
            <w:r>
              <w:rPr>
                <w:rFonts w:hint="default" w:ascii="Times New Roman" w:hAnsi="Times New Roman" w:cs="Times New Roman"/>
                <w:bCs/>
                <w:color w:val="auto"/>
                <w:kern w:val="0"/>
                <w:szCs w:val="21"/>
                <w:highlight w:val="none"/>
              </w:rPr>
              <w:t xml:space="preserve">), overconfidence peaks; otherwise, the opposite is true (i.e., the individual exhibits the lowest overconfidence at the lowest or highest levels of scientific knowledge). Interviews or questionnaires are utilized to evaluate experts' assessments of nurse managers' professional knowledge, aiding in the assessment of </w:t>
            </w:r>
            <w:r>
              <w:rPr>
                <w:rFonts w:hint="default" w:ascii="Times New Roman" w:hAnsi="Times New Roman" w:cs="Times New Roman"/>
                <w:b/>
                <w:i/>
                <w:iCs/>
                <w:color w:val="auto"/>
                <w:kern w:val="0"/>
                <w:szCs w:val="21"/>
                <w:highlight w:val="none"/>
              </w:rPr>
              <w:t>NMO</w:t>
            </w:r>
            <w:r>
              <w:rPr>
                <w:rFonts w:hint="default" w:ascii="Times New Roman" w:hAnsi="Times New Roman" w:cs="Times New Roman"/>
                <w:bCs/>
                <w:color w:val="auto"/>
                <w:kern w:val="0"/>
                <w:szCs w:val="21"/>
                <w:highlight w:val="none"/>
              </w:rPr>
              <w:t>. A nurse manager is considered to exhibit overconfidence if their nursing knowledge is moderate rather than at either an advanced or basic level.</w:t>
            </w:r>
          </w:p>
          <w:p w14:paraId="458ECB1B">
            <w:pPr>
              <w:keepNext w:val="0"/>
              <w:keepLines w:val="0"/>
              <w:pageBreakBefore w:val="0"/>
              <w:widowControl w:val="0"/>
              <w:kinsoku/>
              <w:wordWrap/>
              <w:overflowPunct/>
              <w:topLinePunct w:val="0"/>
              <w:autoSpaceDE w:val="0"/>
              <w:autoSpaceDN w:val="0"/>
              <w:bidi w:val="0"/>
              <w:adjustRightInd w:val="0"/>
              <w:snapToGrid/>
              <w:spacing w:line="240" w:lineRule="auto"/>
              <w:ind w:firstLine="420" w:firstLineChars="200"/>
              <w:jc w:val="both"/>
              <w:textAlignment w:val="auto"/>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 xml:space="preserve">Thirdly, </w:t>
            </w:r>
            <w:r>
              <w:rPr>
                <w:rFonts w:hint="default" w:ascii="Times New Roman" w:hAnsi="Times New Roman" w:cs="Times New Roman"/>
                <w:b/>
                <w:i/>
                <w:iCs/>
                <w:color w:val="auto"/>
                <w:kern w:val="0"/>
                <w:szCs w:val="21"/>
                <w:highlight w:val="none"/>
              </w:rPr>
              <w:t>NMO</w:t>
            </w:r>
            <w:r>
              <w:rPr>
                <w:rFonts w:hint="default" w:ascii="Times New Roman" w:hAnsi="Times New Roman" w:cs="Times New Roman"/>
                <w:bCs/>
                <w:color w:val="auto"/>
                <w:kern w:val="0"/>
                <w:szCs w:val="21"/>
                <w:highlight w:val="none"/>
              </w:rPr>
              <w:t xml:space="preserve"> is assessed by nurse manager personality traits Based (</w:t>
            </w:r>
            <w:r>
              <w:rPr>
                <w:rFonts w:hint="default" w:ascii="Times New Roman" w:hAnsi="Times New Roman" w:cs="Times New Roman"/>
                <w:b/>
                <w:i/>
                <w:iCs/>
                <w:color w:val="auto"/>
                <w:kern w:val="0"/>
                <w:szCs w:val="21"/>
                <w:highlight w:val="none"/>
              </w:rPr>
              <w:t>MPCM</w:t>
            </w:r>
            <w:r>
              <w:rPr>
                <w:rFonts w:hint="default" w:ascii="Times New Roman" w:hAnsi="Times New Roman" w:cs="Times New Roman"/>
                <w:bCs/>
                <w:color w:val="auto"/>
                <w:kern w:val="0"/>
                <w:szCs w:val="21"/>
                <w:highlight w:val="none"/>
              </w:rPr>
              <w:t>). Some scholars have employed managers' personal characteristics to measure overconfidence (Wei, 2018; Meng &amp; Xue, 2023; Wei et al., 2024; Mao &amp; Li, 2024). Specifically, diverse personal attributes of managers (Salancik &amp; Meindl, 1984; Byrnes et al., 1999; Forbes, 2005; Barber &amp; Odean, 2001; Heath &amp; Tversky, 1991; Chikh &amp; Filbien, 2011; Weigel et al., 2023; Han et al., 2024), such as gender, age, tenure, educational background(</w:t>
            </w:r>
            <w:r>
              <w:rPr>
                <w:rFonts w:hint="default" w:ascii="Times New Roman" w:hAnsi="Times New Roman" w:cs="Times New Roman"/>
                <w:b/>
                <w:i/>
                <w:iCs/>
                <w:color w:val="auto"/>
                <w:kern w:val="0"/>
                <w:szCs w:val="21"/>
                <w:highlight w:val="none"/>
              </w:rPr>
              <w:t>Degree</w:t>
            </w:r>
            <w:r>
              <w:rPr>
                <w:rFonts w:hint="default" w:ascii="Times New Roman" w:hAnsi="Times New Roman" w:cs="Times New Roman"/>
                <w:bCs/>
                <w:color w:val="auto"/>
                <w:kern w:val="0"/>
                <w:szCs w:val="21"/>
                <w:highlight w:val="none"/>
              </w:rPr>
              <w:t xml:space="preserve">), major, and duality, have been utilized as indicators of </w:t>
            </w:r>
            <w:r>
              <w:rPr>
                <w:rFonts w:hint="default" w:ascii="Times New Roman" w:hAnsi="Times New Roman" w:cs="Times New Roman"/>
                <w:b/>
                <w:i/>
                <w:iCs/>
                <w:color w:val="auto"/>
                <w:kern w:val="0"/>
                <w:szCs w:val="21"/>
                <w:highlight w:val="none"/>
              </w:rPr>
              <w:t>NMO</w:t>
            </w:r>
            <w:r>
              <w:rPr>
                <w:rFonts w:hint="default" w:ascii="Times New Roman" w:hAnsi="Times New Roman" w:cs="Times New Roman"/>
                <w:bCs/>
                <w:color w:val="auto"/>
                <w:kern w:val="0"/>
                <w:szCs w:val="21"/>
                <w:highlight w:val="none"/>
              </w:rPr>
              <w:t xml:space="preserve">. However, considering the specific context of Chinese hospitals, this study opts to measure </w:t>
            </w:r>
            <w:r>
              <w:rPr>
                <w:rFonts w:hint="default" w:ascii="Times New Roman" w:hAnsi="Times New Roman" w:cs="Times New Roman"/>
                <w:b/>
                <w:i/>
                <w:iCs/>
                <w:color w:val="auto"/>
                <w:kern w:val="0"/>
                <w:szCs w:val="21"/>
                <w:highlight w:val="none"/>
              </w:rPr>
              <w:t>NMO</w:t>
            </w:r>
            <w:r>
              <w:rPr>
                <w:rFonts w:hint="default" w:ascii="Times New Roman" w:hAnsi="Times New Roman" w:cs="Times New Roman"/>
                <w:bCs/>
                <w:color w:val="auto"/>
                <w:kern w:val="0"/>
                <w:szCs w:val="21"/>
                <w:highlight w:val="none"/>
              </w:rPr>
              <w:t xml:space="preserve"> through a comprehensive weighting of four indicators: gender, age, education level (</w:t>
            </w:r>
            <w:r>
              <w:rPr>
                <w:rFonts w:hint="default" w:ascii="Times New Roman" w:hAnsi="Times New Roman" w:cs="Times New Roman"/>
                <w:b/>
                <w:i/>
                <w:iCs/>
                <w:color w:val="auto"/>
                <w:kern w:val="0"/>
                <w:szCs w:val="21"/>
                <w:highlight w:val="none"/>
              </w:rPr>
              <w:t>Degree</w:t>
            </w:r>
            <w:r>
              <w:rPr>
                <w:rFonts w:hint="default" w:ascii="Times New Roman" w:hAnsi="Times New Roman" w:cs="Times New Roman"/>
                <w:bCs/>
                <w:color w:val="auto"/>
                <w:kern w:val="0"/>
                <w:szCs w:val="21"/>
                <w:highlight w:val="none"/>
              </w:rPr>
              <w:t xml:space="preserve">), and dualit. The weighted sum of the CRITIC weight method is used to calculate the value of </w:t>
            </w:r>
            <w:r>
              <w:rPr>
                <w:rFonts w:hint="default" w:ascii="Times New Roman" w:hAnsi="Times New Roman" w:cs="Times New Roman"/>
                <w:b/>
                <w:i/>
                <w:iCs/>
                <w:color w:val="auto"/>
                <w:kern w:val="0"/>
                <w:szCs w:val="21"/>
                <w:highlight w:val="none"/>
              </w:rPr>
              <w:t>NMO</w:t>
            </w:r>
            <w:r>
              <w:rPr>
                <w:rFonts w:hint="default" w:ascii="Times New Roman" w:hAnsi="Times New Roman" w:cs="Times New Roman"/>
                <w:bCs/>
                <w:color w:val="auto"/>
                <w:kern w:val="0"/>
                <w:szCs w:val="21"/>
                <w:highlight w:val="none"/>
              </w:rPr>
              <w:t>.</w:t>
            </w:r>
          </w:p>
          <w:p w14:paraId="6F594225">
            <w:pPr>
              <w:keepNext w:val="0"/>
              <w:keepLines w:val="0"/>
              <w:pageBreakBefore w:val="0"/>
              <w:widowControl w:val="0"/>
              <w:kinsoku/>
              <w:wordWrap/>
              <w:overflowPunct/>
              <w:topLinePunct w:val="0"/>
              <w:autoSpaceDE w:val="0"/>
              <w:autoSpaceDN w:val="0"/>
              <w:bidi w:val="0"/>
              <w:adjustRightInd w:val="0"/>
              <w:snapToGrid/>
              <w:spacing w:line="240" w:lineRule="auto"/>
              <w:ind w:firstLine="420" w:firstLineChars="200"/>
              <w:jc w:val="both"/>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bCs/>
                <w:color w:val="auto"/>
                <w:kern w:val="0"/>
                <w:szCs w:val="21"/>
                <w:highlight w:val="none"/>
              </w:rPr>
              <w:t xml:space="preserve">Finally, </w:t>
            </w:r>
            <w:r>
              <w:rPr>
                <w:rFonts w:hint="default" w:ascii="Times New Roman" w:hAnsi="Times New Roman" w:cs="Times New Roman"/>
                <w:b/>
                <w:i/>
                <w:iCs/>
                <w:color w:val="auto"/>
                <w:kern w:val="0"/>
                <w:szCs w:val="21"/>
                <w:highlight w:val="none"/>
              </w:rPr>
              <w:t>NMO</w:t>
            </w:r>
            <w:r>
              <w:rPr>
                <w:rFonts w:hint="default" w:ascii="Times New Roman" w:hAnsi="Times New Roman" w:cs="Times New Roman"/>
                <w:bCs/>
                <w:color w:val="auto"/>
                <w:kern w:val="0"/>
                <w:szCs w:val="21"/>
                <w:highlight w:val="none"/>
              </w:rPr>
              <w:t xml:space="preserve"> is evaluated using the Subjective-objective outcome based (</w:t>
            </w:r>
            <w:r>
              <w:rPr>
                <w:rFonts w:hint="default" w:ascii="Times New Roman" w:hAnsi="Times New Roman" w:cs="Times New Roman"/>
                <w:b/>
                <w:i/>
                <w:iCs/>
                <w:color w:val="auto"/>
                <w:kern w:val="0"/>
                <w:szCs w:val="21"/>
                <w:highlight w:val="none"/>
              </w:rPr>
              <w:t>SOODM</w:t>
            </w:r>
            <w:r>
              <w:rPr>
                <w:rFonts w:hint="default" w:ascii="Times New Roman" w:hAnsi="Times New Roman" w:cs="Times New Roman"/>
                <w:bCs/>
                <w:color w:val="auto"/>
                <w:kern w:val="0"/>
                <w:szCs w:val="21"/>
                <w:highlight w:val="none"/>
              </w:rPr>
              <w:t>). This method examines the variance between managers' (e.g., CEOs, CFOs, NMs) subjective predictions and actual outcomes. A positive variance indicates managerial overconfidence (Duellman et al., 2015).</w:t>
            </w:r>
          </w:p>
        </w:tc>
      </w:tr>
    </w:tbl>
    <w:p w14:paraId="70275D39">
      <w:pPr>
        <w:autoSpaceDE w:val="0"/>
        <w:autoSpaceDN w:val="0"/>
        <w:adjustRightInd w:val="0"/>
        <w:spacing w:line="240" w:lineRule="auto"/>
        <w:jc w:val="both"/>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cs="Times New Roman"/>
          <w:i/>
          <w:iCs/>
          <w:color w:val="auto"/>
          <w:kern w:val="0"/>
          <w:sz w:val="21"/>
          <w:szCs w:val="21"/>
          <w:highlight w:val="none"/>
          <w:lang w:val="en-US" w:eastAsia="zh-CN"/>
        </w:rPr>
        <w:t>Note:</w:t>
      </w:r>
      <w:r>
        <w:rPr>
          <w:rFonts w:hint="default" w:ascii="Times New Roman" w:hAnsi="Times New Roman" w:cs="Times New Roman"/>
          <w:color w:val="auto"/>
          <w:kern w:val="0"/>
          <w:sz w:val="21"/>
          <w:szCs w:val="21"/>
          <w:highlight w:val="none"/>
          <w:lang w:val="en-US" w:eastAsia="zh-CN"/>
        </w:rPr>
        <w:t xml:space="preserve"> Sign:The direction of the second-level indicator is positive (+).</w:t>
      </w:r>
    </w:p>
    <w:p w14:paraId="32D509F3">
      <w:pPr>
        <w:autoSpaceDE w:val="0"/>
        <w:autoSpaceDN w:val="0"/>
        <w:adjustRightInd w:val="0"/>
        <w:spacing w:line="240" w:lineRule="auto"/>
        <w:jc w:val="both"/>
        <w:rPr>
          <w:rFonts w:hint="default" w:ascii="Times New Roman" w:hAnsi="Times New Roman" w:eastAsia="宋体" w:cs="Times New Roman"/>
          <w:b/>
          <w:color w:val="auto"/>
          <w:kern w:val="0"/>
          <w:sz w:val="21"/>
          <w:szCs w:val="21"/>
          <w:highlight w:val="none"/>
          <w:lang w:val="en-US" w:eastAsia="zh-CN"/>
        </w:rPr>
      </w:pPr>
      <w:r>
        <w:rPr>
          <w:rFonts w:hint="default" w:ascii="Times New Roman" w:hAnsi="Times New Roman" w:cs="Times New Roman"/>
          <w:i/>
          <w:iCs/>
          <w:color w:val="auto"/>
          <w:kern w:val="0"/>
          <w:sz w:val="21"/>
          <w:szCs w:val="21"/>
          <w:highlight w:val="none"/>
        </w:rPr>
        <w:t>Abbreviation:</w:t>
      </w:r>
      <w:r>
        <w:rPr>
          <w:rFonts w:hint="default" w:ascii="Times New Roman" w:hAnsi="Times New Roman" w:cs="Times New Roman"/>
          <w:i/>
          <w:iCs/>
          <w:color w:val="auto"/>
          <w:kern w:val="0"/>
          <w:sz w:val="21"/>
          <w:szCs w:val="21"/>
          <w:highlight w:val="none"/>
          <w:lang w:val="en-US" w:eastAsia="zh-CN"/>
        </w:rPr>
        <w:t xml:space="preserve"> </w:t>
      </w:r>
      <w:r>
        <w:rPr>
          <w:rFonts w:hint="default" w:ascii="Times New Roman" w:hAnsi="Times New Roman" w:cs="Times New Roman"/>
          <w:color w:val="auto"/>
          <w:kern w:val="0"/>
          <w:sz w:val="21"/>
          <w:szCs w:val="21"/>
          <w:highlight w:val="none"/>
          <w:lang w:val="en-US" w:eastAsia="zh-CN"/>
        </w:rPr>
        <w:t>NMO:nurse manager overconfidence; NMO1:Media based method to calculate nurse manager overconfidence ; NMO2:</w:t>
      </w:r>
      <w:r>
        <w:rPr>
          <w:rFonts w:hint="default" w:ascii="Times New Roman" w:hAnsi="Times New Roman" w:cs="Times New Roman"/>
          <w:color w:val="auto"/>
          <w:sz w:val="21"/>
          <w:szCs w:val="21"/>
          <w:highlight w:val="none"/>
        </w:rPr>
        <w:t xml:space="preserve"> </w:t>
      </w:r>
      <w:r>
        <w:rPr>
          <w:rFonts w:hint="default" w:ascii="Times New Roman" w:hAnsi="Times New Roman" w:cs="Times New Roman"/>
          <w:color w:val="auto"/>
          <w:sz w:val="21"/>
          <w:szCs w:val="21"/>
          <w:highlight w:val="none"/>
          <w:lang w:val="en-US" w:eastAsia="zh-CN"/>
        </w:rPr>
        <w:t>A</w:t>
      </w:r>
      <w:r>
        <w:rPr>
          <w:rFonts w:hint="default" w:ascii="Times New Roman" w:hAnsi="Times New Roman" w:cs="Times New Roman"/>
          <w:color w:val="auto"/>
          <w:sz w:val="21"/>
          <w:szCs w:val="21"/>
          <w:highlight w:val="none"/>
        </w:rPr>
        <w:t xml:space="preserve">n individual possesses a moderate level of professional scientific knowledge </w:t>
      </w:r>
      <w:r>
        <w:rPr>
          <w:rFonts w:hint="default" w:ascii="Times New Roman" w:hAnsi="Times New Roman" w:cs="Times New Roman"/>
          <w:color w:val="auto"/>
          <w:sz w:val="21"/>
          <w:szCs w:val="21"/>
          <w:highlight w:val="none"/>
          <w:lang w:val="en-US" w:eastAsia="zh-CN"/>
        </w:rPr>
        <w:t>b</w:t>
      </w:r>
      <w:r>
        <w:rPr>
          <w:rFonts w:hint="default" w:ascii="Times New Roman" w:hAnsi="Times New Roman" w:cs="Times New Roman"/>
          <w:color w:val="auto"/>
          <w:sz w:val="21"/>
          <w:szCs w:val="21"/>
          <w:highlight w:val="none"/>
        </w:rPr>
        <w:t>ased</w:t>
      </w:r>
      <w:r>
        <w:rPr>
          <w:rFonts w:hint="default" w:ascii="Times New Roman" w:hAnsi="Times New Roman" w:cs="Times New Roman"/>
          <w:color w:val="auto"/>
          <w:sz w:val="21"/>
          <w:szCs w:val="21"/>
          <w:highlight w:val="none"/>
          <w:lang w:val="en-US" w:eastAsia="zh-CN"/>
        </w:rPr>
        <w:t xml:space="preserve"> method</w:t>
      </w:r>
      <w:r>
        <w:rPr>
          <w:rFonts w:hint="default" w:ascii="Times New Roman" w:hAnsi="Times New Roman" w:cs="Times New Roman"/>
          <w:color w:val="auto"/>
          <w:sz w:val="21"/>
          <w:szCs w:val="21"/>
          <w:highlight w:val="none"/>
        </w:rPr>
        <w:t xml:space="preserve"> to calculate nurse manager overconfidenc</w:t>
      </w:r>
      <w:r>
        <w:rPr>
          <w:rFonts w:hint="default" w:ascii="Times New Roman" w:hAnsi="Times New Roman" w:cs="Times New Roman"/>
          <w:color w:val="auto"/>
          <w:sz w:val="21"/>
          <w:szCs w:val="21"/>
          <w:highlight w:val="none"/>
          <w:lang w:val="en-US" w:eastAsia="zh-CN"/>
        </w:rPr>
        <w:t>e</w:t>
      </w:r>
      <w:r>
        <w:rPr>
          <w:rFonts w:hint="default" w:ascii="Times New Roman" w:hAnsi="Times New Roman" w:cs="Times New Roman"/>
          <w:color w:val="auto"/>
          <w:kern w:val="0"/>
          <w:sz w:val="21"/>
          <w:szCs w:val="21"/>
          <w:highlight w:val="none"/>
          <w:lang w:val="en-US" w:eastAsia="zh-CN"/>
        </w:rPr>
        <w:t>; NMO3:</w:t>
      </w:r>
      <w:r>
        <w:rPr>
          <w:rFonts w:hint="default" w:ascii="Times New Roman" w:hAnsi="Times New Roman" w:cs="Times New Roman"/>
          <w:color w:val="auto"/>
          <w:sz w:val="21"/>
          <w:szCs w:val="21"/>
          <w:highlight w:val="none"/>
        </w:rPr>
        <w:t xml:space="preserve">Nurse </w:t>
      </w:r>
      <w:r>
        <w:rPr>
          <w:rFonts w:hint="default" w:ascii="Times New Roman" w:hAnsi="Times New Roman" w:cs="Times New Roman"/>
          <w:color w:val="auto"/>
          <w:sz w:val="21"/>
          <w:szCs w:val="21"/>
          <w:highlight w:val="none"/>
          <w:lang w:val="en-US" w:eastAsia="zh-CN"/>
        </w:rPr>
        <w:t>m</w:t>
      </w:r>
      <w:r>
        <w:rPr>
          <w:rFonts w:hint="default" w:ascii="Times New Roman" w:hAnsi="Times New Roman" w:cs="Times New Roman"/>
          <w:color w:val="auto"/>
          <w:sz w:val="21"/>
          <w:szCs w:val="21"/>
          <w:highlight w:val="none"/>
        </w:rPr>
        <w:t>anager</w:t>
      </w:r>
      <w:r>
        <w:rPr>
          <w:rFonts w:hint="default" w:ascii="Times New Roman" w:hAnsi="Times New Roman" w:cs="Times New Roman"/>
          <w:color w:val="auto"/>
          <w:sz w:val="21"/>
          <w:szCs w:val="21"/>
          <w:highlight w:val="none"/>
          <w:lang w:val="en-US" w:eastAsia="zh-CN"/>
        </w:rPr>
        <w:t xml:space="preserve"> </w:t>
      </w:r>
      <w:r>
        <w:rPr>
          <w:rFonts w:hint="default" w:ascii="Times New Roman" w:hAnsi="Times New Roman" w:cs="Times New Roman"/>
          <w:bCs/>
          <w:color w:val="auto"/>
          <w:kern w:val="0"/>
          <w:sz w:val="21"/>
          <w:szCs w:val="21"/>
          <w:highlight w:val="none"/>
          <w:lang w:val="en-US" w:eastAsia="zh-CN"/>
        </w:rPr>
        <w:t>p</w:t>
      </w:r>
      <w:r>
        <w:rPr>
          <w:rFonts w:hint="default" w:ascii="Times New Roman" w:hAnsi="Times New Roman" w:cs="Times New Roman"/>
          <w:bCs/>
          <w:color w:val="auto"/>
          <w:kern w:val="0"/>
          <w:sz w:val="21"/>
          <w:szCs w:val="21"/>
          <w:highlight w:val="none"/>
        </w:rPr>
        <w:t xml:space="preserve">ersonality </w:t>
      </w:r>
      <w:r>
        <w:rPr>
          <w:rFonts w:hint="default" w:ascii="Times New Roman" w:hAnsi="Times New Roman" w:cs="Times New Roman"/>
          <w:bCs/>
          <w:color w:val="auto"/>
          <w:kern w:val="0"/>
          <w:sz w:val="21"/>
          <w:szCs w:val="21"/>
          <w:highlight w:val="none"/>
          <w:lang w:val="en-US" w:eastAsia="zh-CN"/>
        </w:rPr>
        <w:t>t</w:t>
      </w:r>
      <w:r>
        <w:rPr>
          <w:rFonts w:hint="default" w:ascii="Times New Roman" w:hAnsi="Times New Roman" w:cs="Times New Roman"/>
          <w:bCs/>
          <w:color w:val="auto"/>
          <w:kern w:val="0"/>
          <w:sz w:val="21"/>
          <w:szCs w:val="21"/>
          <w:highlight w:val="none"/>
        </w:rPr>
        <w:t xml:space="preserve">raits </w:t>
      </w:r>
      <w:r>
        <w:rPr>
          <w:rFonts w:hint="default" w:ascii="Times New Roman" w:hAnsi="Times New Roman" w:cs="Times New Roman"/>
          <w:color w:val="auto"/>
          <w:sz w:val="21"/>
          <w:szCs w:val="21"/>
          <w:highlight w:val="none"/>
          <w:lang w:val="en-US" w:eastAsia="zh-CN"/>
        </w:rPr>
        <w:t>b</w:t>
      </w:r>
      <w:r>
        <w:rPr>
          <w:rFonts w:hint="default" w:ascii="Times New Roman" w:hAnsi="Times New Roman" w:cs="Times New Roman"/>
          <w:color w:val="auto"/>
          <w:sz w:val="21"/>
          <w:szCs w:val="21"/>
          <w:highlight w:val="none"/>
        </w:rPr>
        <w:t>ased</w:t>
      </w:r>
      <w:r>
        <w:rPr>
          <w:rFonts w:hint="default" w:ascii="Times New Roman" w:hAnsi="Times New Roman" w:cs="Times New Roman"/>
          <w:color w:val="auto"/>
          <w:kern w:val="0"/>
          <w:sz w:val="21"/>
          <w:szCs w:val="21"/>
          <w:highlight w:val="none"/>
          <w:lang w:val="en-US" w:eastAsia="zh-CN"/>
        </w:rPr>
        <w:t xml:space="preserve"> method to calculate nurse manager overconfidence ; NMO4:</w:t>
      </w:r>
      <w:r>
        <w:rPr>
          <w:rFonts w:hint="default" w:ascii="Times New Roman" w:hAnsi="Times New Roman" w:cs="Times New Roman"/>
          <w:color w:val="auto"/>
          <w:sz w:val="21"/>
          <w:szCs w:val="21"/>
          <w:highlight w:val="none"/>
        </w:rPr>
        <w:t>Subjective-objective</w:t>
      </w:r>
      <w:r>
        <w:rPr>
          <w:rFonts w:hint="default" w:ascii="Times New Roman" w:hAnsi="Times New Roman" w:cs="Times New Roman"/>
          <w:color w:val="auto"/>
          <w:sz w:val="21"/>
          <w:szCs w:val="21"/>
          <w:highlight w:val="none"/>
          <w:lang w:val="en-US" w:eastAsia="zh-CN"/>
        </w:rPr>
        <w:t xml:space="preserve"> o</w:t>
      </w:r>
      <w:r>
        <w:rPr>
          <w:rFonts w:hint="default" w:ascii="Times New Roman" w:hAnsi="Times New Roman" w:cs="Times New Roman"/>
          <w:color w:val="auto"/>
          <w:sz w:val="21"/>
          <w:szCs w:val="21"/>
          <w:highlight w:val="none"/>
        </w:rPr>
        <w:t xml:space="preserve">utcome </w:t>
      </w:r>
      <w:r>
        <w:rPr>
          <w:rFonts w:hint="default" w:ascii="Times New Roman" w:hAnsi="Times New Roman" w:cs="Times New Roman"/>
          <w:color w:val="auto"/>
          <w:sz w:val="21"/>
          <w:szCs w:val="21"/>
          <w:highlight w:val="none"/>
          <w:lang w:val="en-US" w:eastAsia="zh-CN"/>
        </w:rPr>
        <w:t>b</w:t>
      </w:r>
      <w:r>
        <w:rPr>
          <w:rFonts w:hint="default" w:ascii="Times New Roman" w:hAnsi="Times New Roman" w:cs="Times New Roman"/>
          <w:color w:val="auto"/>
          <w:sz w:val="21"/>
          <w:szCs w:val="21"/>
          <w:highlight w:val="none"/>
        </w:rPr>
        <w:t>ased</w:t>
      </w:r>
      <w:r>
        <w:rPr>
          <w:rFonts w:hint="default" w:ascii="Times New Roman" w:hAnsi="Times New Roman" w:cs="Times New Roman"/>
          <w:color w:val="auto"/>
          <w:kern w:val="0"/>
          <w:sz w:val="21"/>
          <w:szCs w:val="21"/>
          <w:highlight w:val="none"/>
          <w:lang w:val="en-US" w:eastAsia="zh-CN"/>
        </w:rPr>
        <w:t xml:space="preserve"> method to calculate nurse manager overconfidence.  </w:t>
      </w:r>
    </w:p>
    <w:p w14:paraId="0C136A46">
      <w:pPr>
        <w:rPr>
          <w:rFonts w:hint="default" w:ascii="Times New Roman" w:hAnsi="Times New Roman" w:cs="Times New Roman"/>
          <w:color w:val="auto"/>
          <w:sz w:val="21"/>
          <w:szCs w:val="21"/>
          <w:highlight w:val="none"/>
          <w:lang w:val="en-US" w:eastAsia="zh-CN"/>
        </w:rPr>
      </w:pPr>
    </w:p>
    <w:p w14:paraId="0655A96D">
      <w:pPr>
        <w:keepNext w:val="0"/>
        <w:keepLines w:val="0"/>
        <w:pageBreakBefore w:val="0"/>
        <w:widowControl w:val="0"/>
        <w:kinsoku/>
        <w:wordWrap/>
        <w:overflowPunct/>
        <w:topLinePunct w:val="0"/>
        <w:autoSpaceDE w:val="0"/>
        <w:autoSpaceDN w:val="0"/>
        <w:bidi w:val="0"/>
        <w:adjustRightInd w:val="0"/>
        <w:snapToGrid/>
        <w:spacing w:line="240" w:lineRule="auto"/>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lang w:val="en-US" w:eastAsia="zh-CN"/>
        </w:rPr>
        <w:t>Appendix</w:t>
      </w:r>
      <w:r>
        <w:rPr>
          <w:rFonts w:hint="default" w:ascii="Times New Roman" w:hAnsi="Times New Roman" w:cs="Times New Roman"/>
          <w:b/>
          <w:bCs/>
          <w:color w:val="auto"/>
          <w:sz w:val="21"/>
          <w:szCs w:val="21"/>
          <w:highlight w:val="none"/>
        </w:rPr>
        <w:t xml:space="preserve"> 5 </w:t>
      </w:r>
      <w:r>
        <w:rPr>
          <w:rFonts w:hint="default" w:ascii="Times New Roman" w:hAnsi="Times New Roman" w:cs="Times New Roman"/>
          <w:color w:val="auto"/>
          <w:kern w:val="0"/>
          <w:sz w:val="21"/>
          <w:szCs w:val="21"/>
          <w:highlight w:val="none"/>
        </w:rPr>
        <w:t>Calculation indicators of data-driven culture(DDC)</w:t>
      </w:r>
    </w:p>
    <w:tbl>
      <w:tblPr>
        <w:tblStyle w:val="5"/>
        <w:tblW w:w="5829" w:type="pct"/>
        <w:tblInd w:w="-52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3"/>
        <w:gridCol w:w="1214"/>
        <w:gridCol w:w="5379"/>
        <w:gridCol w:w="719"/>
        <w:gridCol w:w="1150"/>
      </w:tblGrid>
      <w:tr w14:paraId="68225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1" w:type="pct"/>
            <w:tcBorders>
              <w:left w:val="nil"/>
              <w:right w:val="nil"/>
            </w:tcBorders>
            <w:noWrap w:val="0"/>
            <w:vAlign w:val="center"/>
          </w:tcPr>
          <w:p w14:paraId="7E7C458F">
            <w:pPr>
              <w:autoSpaceDE w:val="0"/>
              <w:autoSpaceDN w:val="0"/>
              <w:adjustRightInd w:val="0"/>
              <w:spacing w:line="240" w:lineRule="auto"/>
              <w:rPr>
                <w:rFonts w:hint="default" w:ascii="Times New Roman" w:hAnsi="Times New Roman" w:cs="Times New Roman"/>
                <w:bCs/>
                <w:color w:val="auto"/>
                <w:kern w:val="0"/>
                <w:sz w:val="21"/>
                <w:szCs w:val="21"/>
                <w:highlight w:val="none"/>
              </w:rPr>
            </w:pPr>
            <w:r>
              <w:rPr>
                <w:rFonts w:hint="default" w:ascii="Times New Roman" w:hAnsi="Times New Roman" w:cs="Times New Roman"/>
                <w:bCs/>
                <w:color w:val="auto"/>
                <w:kern w:val="0"/>
                <w:sz w:val="21"/>
                <w:szCs w:val="21"/>
                <w:highlight w:val="none"/>
              </w:rPr>
              <w:t>First–level indicators</w:t>
            </w:r>
          </w:p>
        </w:tc>
        <w:tc>
          <w:tcPr>
            <w:tcW w:w="611" w:type="pct"/>
            <w:tcBorders>
              <w:left w:val="nil"/>
              <w:right w:val="nil"/>
            </w:tcBorders>
            <w:noWrap w:val="0"/>
            <w:vAlign w:val="center"/>
          </w:tcPr>
          <w:p w14:paraId="30332FE3">
            <w:pPr>
              <w:autoSpaceDE w:val="0"/>
              <w:autoSpaceDN w:val="0"/>
              <w:adjustRightInd w:val="0"/>
              <w:spacing w:line="240" w:lineRule="auto"/>
              <w:rPr>
                <w:rFonts w:hint="default" w:ascii="Times New Roman" w:hAnsi="Times New Roman" w:cs="Times New Roman"/>
                <w:bCs/>
                <w:color w:val="auto"/>
                <w:kern w:val="0"/>
                <w:sz w:val="21"/>
                <w:szCs w:val="21"/>
                <w:highlight w:val="none"/>
              </w:rPr>
            </w:pPr>
            <w:r>
              <w:rPr>
                <w:rFonts w:hint="default" w:ascii="Times New Roman" w:hAnsi="Times New Roman" w:cs="Times New Roman"/>
                <w:bCs/>
                <w:color w:val="auto"/>
                <w:kern w:val="0"/>
                <w:sz w:val="21"/>
                <w:szCs w:val="21"/>
                <w:highlight w:val="none"/>
              </w:rPr>
              <w:t>Second–level indicators</w:t>
            </w:r>
          </w:p>
        </w:tc>
        <w:tc>
          <w:tcPr>
            <w:tcW w:w="2707" w:type="pct"/>
            <w:tcBorders>
              <w:left w:val="nil"/>
              <w:right w:val="nil"/>
            </w:tcBorders>
            <w:noWrap w:val="0"/>
            <w:vAlign w:val="center"/>
          </w:tcPr>
          <w:p w14:paraId="3C928F81">
            <w:pPr>
              <w:autoSpaceDE w:val="0"/>
              <w:autoSpaceDN w:val="0"/>
              <w:adjustRightInd w:val="0"/>
              <w:spacing w:line="240" w:lineRule="auto"/>
              <w:rPr>
                <w:rFonts w:hint="default" w:ascii="Times New Roman" w:hAnsi="Times New Roman" w:cs="Times New Roman"/>
                <w:bCs/>
                <w:color w:val="auto"/>
                <w:kern w:val="0"/>
                <w:sz w:val="21"/>
                <w:szCs w:val="21"/>
                <w:highlight w:val="none"/>
              </w:rPr>
            </w:pPr>
            <w:r>
              <w:rPr>
                <w:rFonts w:hint="default" w:ascii="Times New Roman" w:hAnsi="Times New Roman" w:cs="Times New Roman"/>
                <w:bCs/>
                <w:color w:val="auto"/>
                <w:sz w:val="21"/>
                <w:szCs w:val="21"/>
                <w:highlight w:val="none"/>
              </w:rPr>
              <w:t xml:space="preserve">Measurement method of </w:t>
            </w:r>
            <w:r>
              <w:rPr>
                <w:rFonts w:hint="default" w:ascii="Times New Roman" w:hAnsi="Times New Roman" w:cs="Times New Roman"/>
                <w:bCs/>
                <w:color w:val="auto"/>
                <w:kern w:val="0"/>
                <w:sz w:val="21"/>
                <w:szCs w:val="21"/>
                <w:highlight w:val="none"/>
              </w:rPr>
              <w:t>Second–level indicators</w:t>
            </w:r>
          </w:p>
        </w:tc>
        <w:tc>
          <w:tcPr>
            <w:tcW w:w="362" w:type="pct"/>
            <w:tcBorders>
              <w:left w:val="nil"/>
              <w:right w:val="nil"/>
            </w:tcBorders>
            <w:noWrap w:val="0"/>
            <w:vAlign w:val="center"/>
          </w:tcPr>
          <w:p w14:paraId="767E4F3C">
            <w:pPr>
              <w:autoSpaceDE w:val="0"/>
              <w:autoSpaceDN w:val="0"/>
              <w:adjustRightInd w:val="0"/>
              <w:spacing w:line="240" w:lineRule="auto"/>
              <w:rPr>
                <w:rFonts w:hint="default" w:ascii="Times New Roman" w:hAnsi="Times New Roman" w:cs="Times New Roman"/>
                <w:bCs/>
                <w:color w:val="auto"/>
                <w:kern w:val="0"/>
                <w:sz w:val="21"/>
                <w:szCs w:val="21"/>
                <w:highlight w:val="none"/>
              </w:rPr>
            </w:pPr>
            <w:r>
              <w:rPr>
                <w:rFonts w:hint="default" w:ascii="Times New Roman" w:hAnsi="Times New Roman" w:cs="Times New Roman"/>
                <w:bCs/>
                <w:color w:val="auto"/>
                <w:kern w:val="0"/>
                <w:sz w:val="21"/>
                <w:szCs w:val="21"/>
                <w:highlight w:val="none"/>
              </w:rPr>
              <w:t>Sign</w:t>
            </w:r>
          </w:p>
        </w:tc>
        <w:tc>
          <w:tcPr>
            <w:tcW w:w="579" w:type="pct"/>
            <w:tcBorders>
              <w:left w:val="nil"/>
              <w:right w:val="nil"/>
            </w:tcBorders>
            <w:noWrap w:val="0"/>
            <w:vAlign w:val="center"/>
          </w:tcPr>
          <w:p w14:paraId="25405A08">
            <w:pPr>
              <w:autoSpaceDE w:val="0"/>
              <w:autoSpaceDN w:val="0"/>
              <w:adjustRightInd w:val="0"/>
              <w:spacing w:line="240" w:lineRule="auto"/>
              <w:rPr>
                <w:rFonts w:hint="default" w:ascii="Times New Roman" w:hAnsi="Times New Roman" w:cs="Times New Roman"/>
                <w:bCs/>
                <w:color w:val="auto"/>
                <w:kern w:val="0"/>
                <w:sz w:val="21"/>
                <w:szCs w:val="21"/>
                <w:highlight w:val="none"/>
              </w:rPr>
            </w:pPr>
            <w:r>
              <w:rPr>
                <w:rFonts w:hint="default" w:ascii="Times New Roman" w:hAnsi="Times New Roman" w:cs="Times New Roman"/>
                <w:bCs/>
                <w:color w:val="auto"/>
                <w:kern w:val="0"/>
                <w:sz w:val="21"/>
                <w:szCs w:val="21"/>
                <w:highlight w:val="none"/>
              </w:rPr>
              <w:t>Weight</w:t>
            </w:r>
          </w:p>
        </w:tc>
      </w:tr>
      <w:tr w14:paraId="60AD9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1" w:type="pct"/>
            <w:vMerge w:val="restart"/>
            <w:tcBorders>
              <w:left w:val="nil"/>
              <w:right w:val="nil"/>
            </w:tcBorders>
            <w:noWrap w:val="0"/>
            <w:vAlign w:val="top"/>
          </w:tcPr>
          <w:p w14:paraId="46FDBB8F">
            <w:pPr>
              <w:autoSpaceDE w:val="0"/>
              <w:autoSpaceDN w:val="0"/>
              <w:adjustRightInd w:val="0"/>
              <w:spacing w:line="240" w:lineRule="auto"/>
              <w:jc w:val="left"/>
              <w:rPr>
                <w:rFonts w:hint="default" w:ascii="Times New Roman" w:hAnsi="Times New Roman" w:cs="Times New Roman"/>
                <w:bCs/>
                <w:color w:val="auto"/>
                <w:kern w:val="0"/>
                <w:sz w:val="21"/>
                <w:szCs w:val="21"/>
                <w:highlight w:val="none"/>
              </w:rPr>
            </w:pPr>
            <w:r>
              <w:rPr>
                <w:rFonts w:hint="default" w:ascii="Times New Roman" w:hAnsi="Times New Roman" w:cs="Times New Roman"/>
                <w:color w:val="auto"/>
                <w:sz w:val="21"/>
                <w:szCs w:val="21"/>
                <w:highlight w:val="none"/>
              </w:rPr>
              <w:t>Data-driven Culture(DDC)</w:t>
            </w:r>
          </w:p>
        </w:tc>
        <w:tc>
          <w:tcPr>
            <w:tcW w:w="611" w:type="pct"/>
            <w:tcBorders>
              <w:left w:val="nil"/>
              <w:bottom w:val="nil"/>
              <w:right w:val="nil"/>
            </w:tcBorders>
            <w:noWrap w:val="0"/>
            <w:vAlign w:val="top"/>
          </w:tcPr>
          <w:p w14:paraId="54CC30E0">
            <w:pPr>
              <w:autoSpaceDE w:val="0"/>
              <w:autoSpaceDN w:val="0"/>
              <w:adjustRightInd w:val="0"/>
              <w:spacing w:line="240" w:lineRule="auto"/>
              <w:rPr>
                <w:rFonts w:hint="default" w:ascii="Times New Roman" w:hAnsi="Times New Roman" w:cs="Times New Roman"/>
                <w:bCs/>
                <w:color w:val="auto"/>
                <w:kern w:val="0"/>
                <w:sz w:val="21"/>
                <w:szCs w:val="21"/>
                <w:highlight w:val="none"/>
              </w:rPr>
            </w:pPr>
            <w:r>
              <w:rPr>
                <w:rFonts w:hint="default" w:ascii="Times New Roman" w:hAnsi="Times New Roman" w:cs="Times New Roman"/>
                <w:color w:val="auto"/>
                <w:sz w:val="21"/>
                <w:szCs w:val="21"/>
                <w:highlight w:val="none"/>
              </w:rPr>
              <w:t>DDC1</w:t>
            </w:r>
          </w:p>
        </w:tc>
        <w:tc>
          <w:tcPr>
            <w:tcW w:w="2707" w:type="pct"/>
            <w:tcBorders>
              <w:left w:val="nil"/>
              <w:bottom w:val="nil"/>
              <w:right w:val="nil"/>
            </w:tcBorders>
            <w:noWrap w:val="0"/>
            <w:vAlign w:val="top"/>
          </w:tcPr>
          <w:p w14:paraId="7F9587B3">
            <w:pPr>
              <w:autoSpaceDE w:val="0"/>
              <w:autoSpaceDN w:val="0"/>
              <w:adjustRightInd w:val="0"/>
              <w:spacing w:line="240" w:lineRule="auto"/>
              <w:jc w:val="left"/>
              <w:rPr>
                <w:rFonts w:hint="default" w:ascii="Times New Roman" w:hAnsi="Times New Roman" w:cs="Times New Roman"/>
                <w:bCs/>
                <w:color w:val="auto"/>
                <w:kern w:val="0"/>
                <w:sz w:val="21"/>
                <w:szCs w:val="21"/>
                <w:highlight w:val="none"/>
              </w:rPr>
            </w:pPr>
            <w:r>
              <w:rPr>
                <w:rFonts w:hint="default" w:ascii="Times New Roman" w:hAnsi="Times New Roman" w:cs="Times New Roman"/>
                <w:bCs/>
                <w:color w:val="auto"/>
                <w:kern w:val="0"/>
                <w:sz w:val="21"/>
                <w:szCs w:val="21"/>
                <w:highlight w:val="none"/>
              </w:rPr>
              <w:t>We consider data a tangible asset</w:t>
            </w:r>
          </w:p>
        </w:tc>
        <w:tc>
          <w:tcPr>
            <w:tcW w:w="362" w:type="pct"/>
            <w:tcBorders>
              <w:left w:val="nil"/>
              <w:bottom w:val="nil"/>
              <w:right w:val="nil"/>
            </w:tcBorders>
            <w:noWrap w:val="0"/>
            <w:vAlign w:val="top"/>
          </w:tcPr>
          <w:p w14:paraId="0CE4E2B3">
            <w:pPr>
              <w:autoSpaceDE w:val="0"/>
              <w:autoSpaceDN w:val="0"/>
              <w:adjustRightInd w:val="0"/>
              <w:spacing w:line="240" w:lineRule="auto"/>
              <w:jc w:val="left"/>
              <w:rPr>
                <w:rFonts w:hint="default" w:ascii="Times New Roman" w:hAnsi="Times New Roman" w:cs="Times New Roman"/>
                <w:bCs/>
                <w:color w:val="auto"/>
                <w:kern w:val="0"/>
                <w:sz w:val="21"/>
                <w:szCs w:val="21"/>
                <w:highlight w:val="none"/>
              </w:rPr>
            </w:pPr>
            <w:r>
              <w:rPr>
                <w:rFonts w:hint="default" w:ascii="Times New Roman" w:hAnsi="Times New Roman" w:cs="Times New Roman"/>
                <w:bCs/>
                <w:color w:val="auto"/>
                <w:kern w:val="0"/>
                <w:sz w:val="21"/>
                <w:szCs w:val="21"/>
                <w:highlight w:val="none"/>
              </w:rPr>
              <w:t>+</w:t>
            </w:r>
          </w:p>
        </w:tc>
        <w:tc>
          <w:tcPr>
            <w:tcW w:w="579" w:type="pct"/>
            <w:tcBorders>
              <w:left w:val="nil"/>
              <w:bottom w:val="nil"/>
              <w:right w:val="nil"/>
            </w:tcBorders>
            <w:noWrap w:val="0"/>
            <w:vAlign w:val="top"/>
          </w:tcPr>
          <w:p w14:paraId="7D3977B9">
            <w:pPr>
              <w:autoSpaceDE w:val="0"/>
              <w:autoSpaceDN w:val="0"/>
              <w:adjustRightInd w:val="0"/>
              <w:spacing w:line="240" w:lineRule="auto"/>
              <w:jc w:val="left"/>
              <w:rPr>
                <w:rFonts w:hint="default" w:ascii="Times New Roman" w:hAnsi="Times New Roman" w:cs="Times New Roman"/>
                <w:bCs/>
                <w:color w:val="auto"/>
                <w:kern w:val="0"/>
                <w:sz w:val="21"/>
                <w:szCs w:val="21"/>
                <w:highlight w:val="none"/>
              </w:rPr>
            </w:pPr>
            <w:r>
              <w:rPr>
                <w:rFonts w:hint="default" w:ascii="Times New Roman" w:hAnsi="Times New Roman" w:cs="Times New Roman"/>
                <w:color w:val="auto"/>
                <w:sz w:val="21"/>
                <w:szCs w:val="21"/>
                <w:highlight w:val="none"/>
              </w:rPr>
              <w:t>21.82%</w:t>
            </w:r>
          </w:p>
        </w:tc>
      </w:tr>
      <w:tr w14:paraId="447E2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1" w:type="pct"/>
            <w:vMerge w:val="continue"/>
            <w:tcBorders>
              <w:left w:val="nil"/>
              <w:right w:val="nil"/>
            </w:tcBorders>
            <w:noWrap w:val="0"/>
            <w:vAlign w:val="top"/>
          </w:tcPr>
          <w:p w14:paraId="2D1E03F9">
            <w:pPr>
              <w:autoSpaceDE w:val="0"/>
              <w:autoSpaceDN w:val="0"/>
              <w:adjustRightInd w:val="0"/>
              <w:spacing w:line="240" w:lineRule="auto"/>
              <w:rPr>
                <w:rFonts w:hint="default" w:ascii="Times New Roman" w:hAnsi="Times New Roman" w:cs="Times New Roman"/>
                <w:bCs/>
                <w:color w:val="auto"/>
                <w:kern w:val="0"/>
                <w:sz w:val="21"/>
                <w:szCs w:val="21"/>
                <w:highlight w:val="none"/>
              </w:rPr>
            </w:pPr>
          </w:p>
        </w:tc>
        <w:tc>
          <w:tcPr>
            <w:tcW w:w="611" w:type="pct"/>
            <w:tcBorders>
              <w:top w:val="nil"/>
              <w:left w:val="nil"/>
              <w:bottom w:val="nil"/>
              <w:right w:val="nil"/>
            </w:tcBorders>
            <w:noWrap w:val="0"/>
            <w:vAlign w:val="top"/>
          </w:tcPr>
          <w:p w14:paraId="02E7A719">
            <w:pPr>
              <w:autoSpaceDE w:val="0"/>
              <w:autoSpaceDN w:val="0"/>
              <w:adjustRightInd w:val="0"/>
              <w:spacing w:line="240" w:lineRule="auto"/>
              <w:rPr>
                <w:rFonts w:hint="default" w:ascii="Times New Roman" w:hAnsi="Times New Roman" w:cs="Times New Roman"/>
                <w:bCs/>
                <w:color w:val="auto"/>
                <w:kern w:val="0"/>
                <w:sz w:val="21"/>
                <w:szCs w:val="21"/>
                <w:highlight w:val="none"/>
              </w:rPr>
            </w:pPr>
            <w:r>
              <w:rPr>
                <w:rFonts w:hint="default" w:ascii="Times New Roman" w:hAnsi="Times New Roman" w:cs="Times New Roman"/>
                <w:color w:val="auto"/>
                <w:sz w:val="21"/>
                <w:szCs w:val="21"/>
                <w:highlight w:val="none"/>
              </w:rPr>
              <w:t>DDC2</w:t>
            </w:r>
          </w:p>
        </w:tc>
        <w:tc>
          <w:tcPr>
            <w:tcW w:w="2707" w:type="pct"/>
            <w:tcBorders>
              <w:top w:val="nil"/>
              <w:left w:val="nil"/>
              <w:bottom w:val="nil"/>
              <w:right w:val="nil"/>
            </w:tcBorders>
            <w:noWrap w:val="0"/>
            <w:vAlign w:val="top"/>
          </w:tcPr>
          <w:p w14:paraId="7B21C1A0">
            <w:pPr>
              <w:autoSpaceDE w:val="0"/>
              <w:autoSpaceDN w:val="0"/>
              <w:adjustRightInd w:val="0"/>
              <w:spacing w:line="240" w:lineRule="auto"/>
              <w:jc w:val="left"/>
              <w:rPr>
                <w:rFonts w:hint="default" w:ascii="Times New Roman" w:hAnsi="Times New Roman" w:cs="Times New Roman"/>
                <w:bCs/>
                <w:color w:val="auto"/>
                <w:kern w:val="0"/>
                <w:sz w:val="21"/>
                <w:szCs w:val="21"/>
                <w:highlight w:val="none"/>
              </w:rPr>
            </w:pPr>
            <w:r>
              <w:rPr>
                <w:rFonts w:hint="default" w:ascii="Times New Roman" w:hAnsi="Times New Roman" w:cs="Times New Roman"/>
                <w:bCs/>
                <w:color w:val="auto"/>
                <w:kern w:val="0"/>
                <w:sz w:val="21"/>
                <w:szCs w:val="21"/>
                <w:highlight w:val="none"/>
              </w:rPr>
              <w:t>We base our decisions on data rather than on instinct</w:t>
            </w:r>
          </w:p>
        </w:tc>
        <w:tc>
          <w:tcPr>
            <w:tcW w:w="362" w:type="pct"/>
            <w:tcBorders>
              <w:top w:val="nil"/>
              <w:left w:val="nil"/>
              <w:bottom w:val="nil"/>
              <w:right w:val="nil"/>
            </w:tcBorders>
            <w:noWrap w:val="0"/>
            <w:vAlign w:val="top"/>
          </w:tcPr>
          <w:p w14:paraId="33A9E033">
            <w:pPr>
              <w:autoSpaceDE w:val="0"/>
              <w:autoSpaceDN w:val="0"/>
              <w:adjustRightInd w:val="0"/>
              <w:spacing w:line="240" w:lineRule="auto"/>
              <w:jc w:val="left"/>
              <w:rPr>
                <w:rFonts w:hint="default" w:ascii="Times New Roman" w:hAnsi="Times New Roman" w:cs="Times New Roman"/>
                <w:bCs/>
                <w:color w:val="auto"/>
                <w:kern w:val="0"/>
                <w:sz w:val="21"/>
                <w:szCs w:val="21"/>
                <w:highlight w:val="none"/>
              </w:rPr>
            </w:pPr>
            <w:r>
              <w:rPr>
                <w:rFonts w:hint="default" w:ascii="Times New Roman" w:hAnsi="Times New Roman" w:cs="Times New Roman"/>
                <w:bCs/>
                <w:color w:val="auto"/>
                <w:kern w:val="0"/>
                <w:sz w:val="21"/>
                <w:szCs w:val="21"/>
                <w:highlight w:val="none"/>
              </w:rPr>
              <w:t>+</w:t>
            </w:r>
          </w:p>
        </w:tc>
        <w:tc>
          <w:tcPr>
            <w:tcW w:w="579" w:type="pct"/>
            <w:tcBorders>
              <w:top w:val="nil"/>
              <w:left w:val="nil"/>
              <w:bottom w:val="nil"/>
              <w:right w:val="nil"/>
            </w:tcBorders>
            <w:noWrap w:val="0"/>
            <w:vAlign w:val="top"/>
          </w:tcPr>
          <w:p w14:paraId="3415F1C0">
            <w:pPr>
              <w:autoSpaceDE w:val="0"/>
              <w:autoSpaceDN w:val="0"/>
              <w:adjustRightInd w:val="0"/>
              <w:spacing w:line="240" w:lineRule="auto"/>
              <w:jc w:val="left"/>
              <w:rPr>
                <w:rFonts w:hint="default" w:ascii="Times New Roman" w:hAnsi="Times New Roman" w:cs="Times New Roman"/>
                <w:bCs/>
                <w:color w:val="auto"/>
                <w:kern w:val="0"/>
                <w:sz w:val="21"/>
                <w:szCs w:val="21"/>
                <w:highlight w:val="none"/>
              </w:rPr>
            </w:pPr>
            <w:r>
              <w:rPr>
                <w:rFonts w:hint="default" w:ascii="Times New Roman" w:hAnsi="Times New Roman" w:cs="Times New Roman"/>
                <w:color w:val="auto"/>
                <w:sz w:val="21"/>
                <w:szCs w:val="21"/>
                <w:highlight w:val="none"/>
              </w:rPr>
              <w:t>22.28%</w:t>
            </w:r>
          </w:p>
        </w:tc>
      </w:tr>
      <w:tr w14:paraId="7D86F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1" w:type="pct"/>
            <w:vMerge w:val="continue"/>
            <w:tcBorders>
              <w:left w:val="nil"/>
              <w:right w:val="nil"/>
            </w:tcBorders>
            <w:noWrap w:val="0"/>
            <w:vAlign w:val="top"/>
          </w:tcPr>
          <w:p w14:paraId="59254125">
            <w:pPr>
              <w:autoSpaceDE w:val="0"/>
              <w:autoSpaceDN w:val="0"/>
              <w:adjustRightInd w:val="0"/>
              <w:spacing w:line="240" w:lineRule="auto"/>
              <w:rPr>
                <w:rFonts w:hint="default" w:ascii="Times New Roman" w:hAnsi="Times New Roman" w:cs="Times New Roman"/>
                <w:bCs/>
                <w:color w:val="auto"/>
                <w:kern w:val="0"/>
                <w:sz w:val="21"/>
                <w:szCs w:val="21"/>
                <w:highlight w:val="none"/>
              </w:rPr>
            </w:pPr>
          </w:p>
        </w:tc>
        <w:tc>
          <w:tcPr>
            <w:tcW w:w="611" w:type="pct"/>
            <w:tcBorders>
              <w:top w:val="nil"/>
              <w:left w:val="nil"/>
              <w:bottom w:val="nil"/>
              <w:right w:val="nil"/>
            </w:tcBorders>
            <w:noWrap w:val="0"/>
            <w:vAlign w:val="top"/>
          </w:tcPr>
          <w:p w14:paraId="7BCC8017">
            <w:pPr>
              <w:autoSpaceDE w:val="0"/>
              <w:autoSpaceDN w:val="0"/>
              <w:adjustRightInd w:val="0"/>
              <w:spacing w:line="240" w:lineRule="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DDC3</w:t>
            </w:r>
          </w:p>
        </w:tc>
        <w:tc>
          <w:tcPr>
            <w:tcW w:w="2707" w:type="pct"/>
            <w:tcBorders>
              <w:top w:val="nil"/>
              <w:left w:val="nil"/>
              <w:bottom w:val="nil"/>
              <w:right w:val="nil"/>
            </w:tcBorders>
            <w:noWrap w:val="0"/>
            <w:vAlign w:val="top"/>
          </w:tcPr>
          <w:p w14:paraId="70FAF893">
            <w:pPr>
              <w:autoSpaceDE w:val="0"/>
              <w:autoSpaceDN w:val="0"/>
              <w:adjustRightInd w:val="0"/>
              <w:spacing w:line="240" w:lineRule="auto"/>
              <w:jc w:val="left"/>
              <w:rPr>
                <w:rFonts w:hint="default" w:ascii="Times New Roman" w:hAnsi="Times New Roman" w:cs="Times New Roman"/>
                <w:bCs/>
                <w:color w:val="auto"/>
                <w:kern w:val="0"/>
                <w:sz w:val="21"/>
                <w:szCs w:val="21"/>
                <w:highlight w:val="none"/>
              </w:rPr>
            </w:pPr>
            <w:r>
              <w:rPr>
                <w:rFonts w:hint="default" w:ascii="Times New Roman" w:hAnsi="Times New Roman" w:cs="Times New Roman"/>
                <w:bCs/>
                <w:color w:val="auto"/>
                <w:kern w:val="0"/>
                <w:sz w:val="21"/>
                <w:szCs w:val="21"/>
                <w:highlight w:val="none"/>
              </w:rPr>
              <w:t>We are willing to override our own intuition when data contradict our viewpoints</w:t>
            </w:r>
          </w:p>
        </w:tc>
        <w:tc>
          <w:tcPr>
            <w:tcW w:w="362" w:type="pct"/>
            <w:tcBorders>
              <w:top w:val="nil"/>
              <w:left w:val="nil"/>
              <w:bottom w:val="nil"/>
              <w:right w:val="nil"/>
            </w:tcBorders>
            <w:noWrap w:val="0"/>
            <w:vAlign w:val="top"/>
          </w:tcPr>
          <w:p w14:paraId="29C652D3">
            <w:pPr>
              <w:autoSpaceDE w:val="0"/>
              <w:autoSpaceDN w:val="0"/>
              <w:adjustRightInd w:val="0"/>
              <w:spacing w:line="240" w:lineRule="auto"/>
              <w:jc w:val="left"/>
              <w:rPr>
                <w:rFonts w:hint="default" w:ascii="Times New Roman" w:hAnsi="Times New Roman" w:cs="Times New Roman"/>
                <w:bCs/>
                <w:color w:val="auto"/>
                <w:kern w:val="0"/>
                <w:sz w:val="21"/>
                <w:szCs w:val="21"/>
                <w:highlight w:val="none"/>
              </w:rPr>
            </w:pPr>
            <w:r>
              <w:rPr>
                <w:rFonts w:hint="default" w:ascii="Times New Roman" w:hAnsi="Times New Roman" w:cs="Times New Roman"/>
                <w:bCs/>
                <w:color w:val="auto"/>
                <w:kern w:val="0"/>
                <w:sz w:val="21"/>
                <w:szCs w:val="21"/>
                <w:highlight w:val="none"/>
              </w:rPr>
              <w:t>+</w:t>
            </w:r>
          </w:p>
        </w:tc>
        <w:tc>
          <w:tcPr>
            <w:tcW w:w="579" w:type="pct"/>
            <w:tcBorders>
              <w:top w:val="nil"/>
              <w:left w:val="nil"/>
              <w:bottom w:val="nil"/>
              <w:right w:val="nil"/>
            </w:tcBorders>
            <w:noWrap w:val="0"/>
            <w:vAlign w:val="top"/>
          </w:tcPr>
          <w:p w14:paraId="139023D6">
            <w:pPr>
              <w:autoSpaceDE w:val="0"/>
              <w:autoSpaceDN w:val="0"/>
              <w:adjustRightInd w:val="0"/>
              <w:spacing w:line="240" w:lineRule="auto"/>
              <w:jc w:val="left"/>
              <w:rPr>
                <w:rFonts w:hint="default" w:ascii="Times New Roman" w:hAnsi="Times New Roman" w:cs="Times New Roman"/>
                <w:bCs/>
                <w:color w:val="auto"/>
                <w:kern w:val="0"/>
                <w:sz w:val="21"/>
                <w:szCs w:val="21"/>
                <w:highlight w:val="none"/>
              </w:rPr>
            </w:pPr>
            <w:r>
              <w:rPr>
                <w:rFonts w:hint="default" w:ascii="Times New Roman" w:hAnsi="Times New Roman" w:cs="Times New Roman"/>
                <w:color w:val="auto"/>
                <w:sz w:val="21"/>
                <w:szCs w:val="21"/>
                <w:highlight w:val="none"/>
              </w:rPr>
              <w:t>21.25%</w:t>
            </w:r>
          </w:p>
        </w:tc>
      </w:tr>
      <w:tr w14:paraId="6E091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1" w:type="pct"/>
            <w:vMerge w:val="continue"/>
            <w:tcBorders>
              <w:left w:val="nil"/>
              <w:right w:val="nil"/>
            </w:tcBorders>
            <w:noWrap w:val="0"/>
            <w:vAlign w:val="top"/>
          </w:tcPr>
          <w:p w14:paraId="55FA6862">
            <w:pPr>
              <w:autoSpaceDE w:val="0"/>
              <w:autoSpaceDN w:val="0"/>
              <w:adjustRightInd w:val="0"/>
              <w:spacing w:line="240" w:lineRule="auto"/>
              <w:rPr>
                <w:rFonts w:hint="default" w:ascii="Times New Roman" w:hAnsi="Times New Roman" w:cs="Times New Roman"/>
                <w:bCs/>
                <w:color w:val="auto"/>
                <w:kern w:val="0"/>
                <w:sz w:val="21"/>
                <w:szCs w:val="21"/>
                <w:highlight w:val="none"/>
              </w:rPr>
            </w:pPr>
          </w:p>
        </w:tc>
        <w:tc>
          <w:tcPr>
            <w:tcW w:w="611" w:type="pct"/>
            <w:tcBorders>
              <w:top w:val="nil"/>
              <w:left w:val="nil"/>
              <w:bottom w:val="nil"/>
              <w:right w:val="nil"/>
            </w:tcBorders>
            <w:noWrap w:val="0"/>
            <w:vAlign w:val="top"/>
          </w:tcPr>
          <w:p w14:paraId="3AF7B1C8">
            <w:pPr>
              <w:autoSpaceDE w:val="0"/>
              <w:autoSpaceDN w:val="0"/>
              <w:adjustRightInd w:val="0"/>
              <w:spacing w:line="240" w:lineRule="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DDC4</w:t>
            </w:r>
          </w:p>
        </w:tc>
        <w:tc>
          <w:tcPr>
            <w:tcW w:w="2707" w:type="pct"/>
            <w:tcBorders>
              <w:top w:val="nil"/>
              <w:left w:val="nil"/>
              <w:bottom w:val="nil"/>
              <w:right w:val="nil"/>
            </w:tcBorders>
            <w:noWrap w:val="0"/>
            <w:vAlign w:val="top"/>
          </w:tcPr>
          <w:p w14:paraId="06B87B36">
            <w:pPr>
              <w:autoSpaceDE w:val="0"/>
              <w:autoSpaceDN w:val="0"/>
              <w:adjustRightInd w:val="0"/>
              <w:spacing w:line="240" w:lineRule="auto"/>
              <w:jc w:val="left"/>
              <w:rPr>
                <w:rFonts w:hint="default" w:ascii="Times New Roman" w:hAnsi="Times New Roman" w:cs="Times New Roman"/>
                <w:bCs/>
                <w:color w:val="auto"/>
                <w:kern w:val="0"/>
                <w:sz w:val="21"/>
                <w:szCs w:val="21"/>
                <w:highlight w:val="none"/>
              </w:rPr>
            </w:pPr>
            <w:r>
              <w:rPr>
                <w:rFonts w:hint="default" w:ascii="Times New Roman" w:hAnsi="Times New Roman" w:cs="Times New Roman"/>
                <w:bCs/>
                <w:color w:val="auto"/>
                <w:kern w:val="0"/>
                <w:sz w:val="21"/>
                <w:szCs w:val="21"/>
                <w:highlight w:val="none"/>
              </w:rPr>
              <w:t>We continuously assess and improve the business rules in response to insights extracted from data</w:t>
            </w:r>
          </w:p>
        </w:tc>
        <w:tc>
          <w:tcPr>
            <w:tcW w:w="362" w:type="pct"/>
            <w:tcBorders>
              <w:top w:val="nil"/>
              <w:left w:val="nil"/>
              <w:bottom w:val="nil"/>
              <w:right w:val="nil"/>
            </w:tcBorders>
            <w:noWrap w:val="0"/>
            <w:vAlign w:val="top"/>
          </w:tcPr>
          <w:p w14:paraId="5FCE3F81">
            <w:pPr>
              <w:autoSpaceDE w:val="0"/>
              <w:autoSpaceDN w:val="0"/>
              <w:adjustRightInd w:val="0"/>
              <w:spacing w:line="240" w:lineRule="auto"/>
              <w:jc w:val="left"/>
              <w:rPr>
                <w:rFonts w:hint="default" w:ascii="Times New Roman" w:hAnsi="Times New Roman" w:cs="Times New Roman"/>
                <w:bCs/>
                <w:color w:val="auto"/>
                <w:kern w:val="0"/>
                <w:sz w:val="21"/>
                <w:szCs w:val="21"/>
                <w:highlight w:val="none"/>
              </w:rPr>
            </w:pPr>
            <w:r>
              <w:rPr>
                <w:rFonts w:hint="default" w:ascii="Times New Roman" w:hAnsi="Times New Roman" w:cs="Times New Roman"/>
                <w:bCs/>
                <w:color w:val="auto"/>
                <w:kern w:val="0"/>
                <w:sz w:val="21"/>
                <w:szCs w:val="21"/>
                <w:highlight w:val="none"/>
              </w:rPr>
              <w:t>+</w:t>
            </w:r>
          </w:p>
        </w:tc>
        <w:tc>
          <w:tcPr>
            <w:tcW w:w="579" w:type="pct"/>
            <w:tcBorders>
              <w:top w:val="nil"/>
              <w:left w:val="nil"/>
              <w:bottom w:val="nil"/>
              <w:right w:val="nil"/>
            </w:tcBorders>
            <w:noWrap w:val="0"/>
            <w:vAlign w:val="top"/>
          </w:tcPr>
          <w:p w14:paraId="2AF71D5E">
            <w:pPr>
              <w:autoSpaceDE w:val="0"/>
              <w:autoSpaceDN w:val="0"/>
              <w:adjustRightInd w:val="0"/>
              <w:spacing w:line="240" w:lineRule="auto"/>
              <w:jc w:val="left"/>
              <w:rPr>
                <w:rFonts w:hint="default" w:ascii="Times New Roman" w:hAnsi="Times New Roman" w:cs="Times New Roman"/>
                <w:bCs/>
                <w:color w:val="auto"/>
                <w:kern w:val="0"/>
                <w:sz w:val="21"/>
                <w:szCs w:val="21"/>
                <w:highlight w:val="none"/>
              </w:rPr>
            </w:pPr>
            <w:r>
              <w:rPr>
                <w:rFonts w:hint="default" w:ascii="Times New Roman" w:hAnsi="Times New Roman" w:cs="Times New Roman"/>
                <w:color w:val="auto"/>
                <w:sz w:val="21"/>
                <w:szCs w:val="21"/>
                <w:highlight w:val="none"/>
              </w:rPr>
              <w:t>17.64%</w:t>
            </w:r>
          </w:p>
        </w:tc>
      </w:tr>
      <w:tr w14:paraId="043E9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1" w:type="pct"/>
            <w:vMerge w:val="continue"/>
            <w:tcBorders>
              <w:left w:val="nil"/>
              <w:right w:val="nil"/>
            </w:tcBorders>
            <w:noWrap w:val="0"/>
            <w:vAlign w:val="top"/>
          </w:tcPr>
          <w:p w14:paraId="36D62CED">
            <w:pPr>
              <w:autoSpaceDE w:val="0"/>
              <w:autoSpaceDN w:val="0"/>
              <w:adjustRightInd w:val="0"/>
              <w:spacing w:line="240" w:lineRule="auto"/>
              <w:rPr>
                <w:rFonts w:hint="default" w:ascii="Times New Roman" w:hAnsi="Times New Roman" w:cs="Times New Roman"/>
                <w:bCs/>
                <w:color w:val="auto"/>
                <w:kern w:val="0"/>
                <w:sz w:val="21"/>
                <w:szCs w:val="21"/>
                <w:highlight w:val="none"/>
              </w:rPr>
            </w:pPr>
          </w:p>
        </w:tc>
        <w:tc>
          <w:tcPr>
            <w:tcW w:w="611" w:type="pct"/>
            <w:tcBorders>
              <w:top w:val="nil"/>
              <w:left w:val="nil"/>
              <w:right w:val="nil"/>
            </w:tcBorders>
            <w:noWrap w:val="0"/>
            <w:vAlign w:val="top"/>
          </w:tcPr>
          <w:p w14:paraId="45841E2A">
            <w:pPr>
              <w:autoSpaceDE w:val="0"/>
              <w:autoSpaceDN w:val="0"/>
              <w:adjustRightInd w:val="0"/>
              <w:spacing w:line="240" w:lineRule="auto"/>
              <w:rPr>
                <w:rFonts w:hint="default" w:ascii="Times New Roman" w:hAnsi="Times New Roman" w:cs="Times New Roman"/>
                <w:bCs/>
                <w:color w:val="auto"/>
                <w:kern w:val="0"/>
                <w:sz w:val="21"/>
                <w:szCs w:val="21"/>
                <w:highlight w:val="none"/>
              </w:rPr>
            </w:pPr>
            <w:r>
              <w:rPr>
                <w:rFonts w:hint="default" w:ascii="Times New Roman" w:hAnsi="Times New Roman" w:cs="Times New Roman"/>
                <w:color w:val="auto"/>
                <w:sz w:val="21"/>
                <w:szCs w:val="21"/>
                <w:highlight w:val="none"/>
              </w:rPr>
              <w:t>DDC5</w:t>
            </w:r>
          </w:p>
        </w:tc>
        <w:tc>
          <w:tcPr>
            <w:tcW w:w="2707" w:type="pct"/>
            <w:tcBorders>
              <w:top w:val="nil"/>
              <w:left w:val="nil"/>
              <w:right w:val="nil"/>
            </w:tcBorders>
            <w:noWrap w:val="0"/>
            <w:vAlign w:val="top"/>
          </w:tcPr>
          <w:p w14:paraId="1C304832">
            <w:pPr>
              <w:autoSpaceDE w:val="0"/>
              <w:autoSpaceDN w:val="0"/>
              <w:adjustRightInd w:val="0"/>
              <w:spacing w:line="240" w:lineRule="auto"/>
              <w:jc w:val="left"/>
              <w:rPr>
                <w:rFonts w:hint="default" w:ascii="Times New Roman" w:hAnsi="Times New Roman" w:cs="Times New Roman"/>
                <w:bCs/>
                <w:color w:val="auto"/>
                <w:kern w:val="0"/>
                <w:sz w:val="21"/>
                <w:szCs w:val="21"/>
                <w:highlight w:val="none"/>
              </w:rPr>
            </w:pPr>
            <w:r>
              <w:rPr>
                <w:rFonts w:hint="default" w:ascii="Times New Roman" w:hAnsi="Times New Roman" w:eastAsia="Georgia" w:cs="Times New Roman"/>
                <w:color w:val="auto"/>
                <w:sz w:val="21"/>
                <w:szCs w:val="21"/>
                <w:highlight w:val="none"/>
              </w:rPr>
              <w:t>We continuously coach our employees to make decisions based on data</w:t>
            </w:r>
          </w:p>
        </w:tc>
        <w:tc>
          <w:tcPr>
            <w:tcW w:w="362" w:type="pct"/>
            <w:tcBorders>
              <w:top w:val="nil"/>
              <w:left w:val="nil"/>
              <w:right w:val="nil"/>
            </w:tcBorders>
            <w:noWrap w:val="0"/>
            <w:vAlign w:val="top"/>
          </w:tcPr>
          <w:p w14:paraId="7DF361C7">
            <w:pPr>
              <w:autoSpaceDE w:val="0"/>
              <w:autoSpaceDN w:val="0"/>
              <w:adjustRightInd w:val="0"/>
              <w:spacing w:line="240" w:lineRule="auto"/>
              <w:jc w:val="left"/>
              <w:rPr>
                <w:rFonts w:hint="default" w:ascii="Times New Roman" w:hAnsi="Times New Roman" w:cs="Times New Roman"/>
                <w:bCs/>
                <w:color w:val="auto"/>
                <w:kern w:val="0"/>
                <w:sz w:val="21"/>
                <w:szCs w:val="21"/>
                <w:highlight w:val="none"/>
              </w:rPr>
            </w:pPr>
            <w:r>
              <w:rPr>
                <w:rFonts w:hint="default" w:ascii="Times New Roman" w:hAnsi="Times New Roman" w:cs="Times New Roman"/>
                <w:bCs/>
                <w:color w:val="auto"/>
                <w:kern w:val="0"/>
                <w:sz w:val="21"/>
                <w:szCs w:val="21"/>
                <w:highlight w:val="none"/>
              </w:rPr>
              <w:t>+</w:t>
            </w:r>
          </w:p>
        </w:tc>
        <w:tc>
          <w:tcPr>
            <w:tcW w:w="579" w:type="pct"/>
            <w:tcBorders>
              <w:top w:val="nil"/>
              <w:left w:val="nil"/>
              <w:right w:val="nil"/>
            </w:tcBorders>
            <w:noWrap w:val="0"/>
            <w:vAlign w:val="top"/>
          </w:tcPr>
          <w:p w14:paraId="48E489E8">
            <w:pPr>
              <w:autoSpaceDE w:val="0"/>
              <w:autoSpaceDN w:val="0"/>
              <w:adjustRightInd w:val="0"/>
              <w:spacing w:line="240" w:lineRule="auto"/>
              <w:jc w:val="left"/>
              <w:rPr>
                <w:rFonts w:hint="default" w:ascii="Times New Roman" w:hAnsi="Times New Roman" w:cs="Times New Roman"/>
                <w:bCs/>
                <w:color w:val="auto"/>
                <w:kern w:val="0"/>
                <w:sz w:val="21"/>
                <w:szCs w:val="21"/>
                <w:highlight w:val="none"/>
              </w:rPr>
            </w:pPr>
            <w:r>
              <w:rPr>
                <w:rFonts w:hint="default" w:ascii="Times New Roman" w:hAnsi="Times New Roman" w:cs="Times New Roman"/>
                <w:color w:val="auto"/>
                <w:sz w:val="21"/>
                <w:szCs w:val="21"/>
                <w:highlight w:val="none"/>
              </w:rPr>
              <w:t>17.01%</w:t>
            </w:r>
          </w:p>
        </w:tc>
      </w:tr>
    </w:tbl>
    <w:p w14:paraId="0F376CAD">
      <w:pPr>
        <w:autoSpaceDE w:val="0"/>
        <w:autoSpaceDN w:val="0"/>
        <w:adjustRightInd w:val="0"/>
        <w:spacing w:line="240" w:lineRule="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cs="Times New Roman"/>
          <w:i/>
          <w:iCs/>
          <w:color w:val="auto"/>
          <w:kern w:val="0"/>
          <w:sz w:val="21"/>
          <w:szCs w:val="21"/>
          <w:highlight w:val="none"/>
          <w:lang w:val="en-US" w:eastAsia="zh-CN"/>
        </w:rPr>
        <w:t xml:space="preserve">Note: </w:t>
      </w:r>
      <w:r>
        <w:rPr>
          <w:rFonts w:hint="default" w:ascii="Times New Roman" w:hAnsi="Times New Roman" w:cs="Times New Roman"/>
          <w:color w:val="auto"/>
          <w:kern w:val="0"/>
          <w:sz w:val="21"/>
          <w:szCs w:val="21"/>
          <w:highlight w:val="none"/>
          <w:lang w:val="en-US" w:eastAsia="zh-CN"/>
        </w:rPr>
        <w:t>Sign:The direction of the second-level indicator is positive (+).</w:t>
      </w:r>
    </w:p>
    <w:p w14:paraId="1AE2B159">
      <w:pPr>
        <w:autoSpaceDE w:val="0"/>
        <w:autoSpaceDN w:val="0"/>
        <w:adjustRightInd w:val="0"/>
        <w:spacing w:line="240" w:lineRule="auto"/>
        <w:rPr>
          <w:rFonts w:hint="default" w:ascii="Times New Roman" w:hAnsi="Times New Roman"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rPr>
        <w:t>Abbreviation:</w:t>
      </w:r>
      <w:r>
        <w:rPr>
          <w:rFonts w:hint="default" w:ascii="Times New Roman" w:hAnsi="Times New Roman" w:cs="Times New Roman"/>
          <w:color w:val="auto"/>
          <w:kern w:val="0"/>
          <w:sz w:val="21"/>
          <w:szCs w:val="21"/>
          <w:highlight w:val="none"/>
          <w:lang w:val="en-US" w:eastAsia="zh-CN"/>
        </w:rPr>
        <w:t xml:space="preserve"> DDC: data-driven culture; DDC1: data thinking of tanglible asset; DDC2: making decisions in light of data;DDC3: true attitude towards data; DDC4: assessing and improving the business rules in view of data feedback insights; DDC5: coaching employees to make decisions based on data.</w:t>
      </w:r>
    </w:p>
    <w:p w14:paraId="6B4F2A27">
      <w:pPr>
        <w:autoSpaceDE w:val="0"/>
        <w:autoSpaceDN w:val="0"/>
        <w:adjustRightInd w:val="0"/>
        <w:spacing w:line="240" w:lineRule="auto"/>
        <w:rPr>
          <w:rFonts w:hint="default" w:ascii="Times New Roman" w:hAnsi="Times New Roman" w:cs="Times New Roman"/>
          <w:color w:val="auto"/>
          <w:kern w:val="0"/>
          <w:sz w:val="21"/>
          <w:szCs w:val="21"/>
          <w:highlight w:val="none"/>
          <w:lang w:val="en-US" w:eastAsia="zh-CN"/>
        </w:rPr>
      </w:pPr>
    </w:p>
    <w:p w14:paraId="669C40B8">
      <w:pPr>
        <w:keepNext w:val="0"/>
        <w:keepLines w:val="0"/>
        <w:pageBreakBefore w:val="0"/>
        <w:widowControl w:val="0"/>
        <w:kinsoku/>
        <w:wordWrap/>
        <w:overflowPunct/>
        <w:topLinePunct w:val="0"/>
        <w:autoSpaceDE w:val="0"/>
        <w:autoSpaceDN w:val="0"/>
        <w:bidi w:val="0"/>
        <w:adjustRightInd w:val="0"/>
        <w:snapToGrid/>
        <w:spacing w:line="240" w:lineRule="auto"/>
        <w:jc w:val="left"/>
        <w:textAlignment w:val="auto"/>
        <w:rPr>
          <w:rFonts w:hint="default" w:ascii="Times New Roman" w:hAnsi="Times New Roman" w:cs="Times New Roman"/>
          <w:b/>
          <w:bCs/>
          <w:color w:val="auto"/>
          <w:kern w:val="0"/>
          <w:sz w:val="21"/>
          <w:szCs w:val="21"/>
          <w:highlight w:val="none"/>
        </w:rPr>
      </w:pPr>
      <w:r>
        <w:rPr>
          <w:rFonts w:hint="default" w:ascii="Times New Roman" w:hAnsi="Times New Roman" w:cs="Times New Roman"/>
          <w:b/>
          <w:bCs/>
          <w:color w:val="auto"/>
          <w:kern w:val="0"/>
          <w:sz w:val="21"/>
          <w:szCs w:val="21"/>
          <w:highlight w:val="none"/>
          <w:lang w:val="en-US" w:eastAsia="zh-CN"/>
        </w:rPr>
        <w:t>Appendix</w:t>
      </w:r>
      <w:r>
        <w:rPr>
          <w:rFonts w:hint="default" w:ascii="Times New Roman" w:hAnsi="Times New Roman" w:cs="Times New Roman"/>
          <w:b/>
          <w:bCs/>
          <w:color w:val="auto"/>
          <w:kern w:val="0"/>
          <w:sz w:val="21"/>
          <w:szCs w:val="21"/>
          <w:highlight w:val="none"/>
        </w:rPr>
        <w:t xml:space="preserve"> 6 </w:t>
      </w:r>
      <w:r>
        <w:rPr>
          <w:rFonts w:hint="default" w:ascii="Times New Roman" w:hAnsi="Times New Roman" w:cs="Times New Roman"/>
          <w:color w:val="auto"/>
          <w:kern w:val="0"/>
          <w:sz w:val="21"/>
          <w:szCs w:val="21"/>
          <w:highlight w:val="none"/>
        </w:rPr>
        <w:t>Variable definition table</w:t>
      </w:r>
    </w:p>
    <w:tbl>
      <w:tblPr>
        <w:tblStyle w:val="5"/>
        <w:tblW w:w="6672" w:type="pct"/>
        <w:tblInd w:w="-13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7"/>
        <w:gridCol w:w="2104"/>
        <w:gridCol w:w="869"/>
        <w:gridCol w:w="7042"/>
      </w:tblGrid>
      <w:tr w14:paraId="5132C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trPr>
        <w:tc>
          <w:tcPr>
            <w:tcW w:w="597" w:type="pct"/>
            <w:tcBorders>
              <w:top w:val="single" w:color="auto" w:sz="4" w:space="0"/>
              <w:left w:val="nil"/>
              <w:bottom w:val="single" w:color="auto" w:sz="4" w:space="0"/>
              <w:right w:val="nil"/>
            </w:tcBorders>
            <w:noWrap w:val="0"/>
            <w:vAlign w:val="top"/>
          </w:tcPr>
          <w:p w14:paraId="22A31398">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Variable Type</w:t>
            </w:r>
          </w:p>
        </w:tc>
        <w:tc>
          <w:tcPr>
            <w:tcW w:w="925" w:type="pct"/>
            <w:tcBorders>
              <w:top w:val="single" w:color="auto" w:sz="4" w:space="0"/>
              <w:left w:val="nil"/>
              <w:bottom w:val="single" w:color="auto" w:sz="4" w:space="0"/>
              <w:right w:val="nil"/>
            </w:tcBorders>
            <w:noWrap w:val="0"/>
            <w:vAlign w:val="top"/>
          </w:tcPr>
          <w:p w14:paraId="5CF17B94">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Variable Name</w:t>
            </w:r>
          </w:p>
        </w:tc>
        <w:tc>
          <w:tcPr>
            <w:tcW w:w="382" w:type="pct"/>
            <w:tcBorders>
              <w:top w:val="single" w:color="auto" w:sz="4" w:space="0"/>
              <w:left w:val="nil"/>
              <w:bottom w:val="single" w:color="auto" w:sz="4" w:space="0"/>
              <w:right w:val="nil"/>
            </w:tcBorders>
            <w:noWrap w:val="0"/>
            <w:vAlign w:val="top"/>
          </w:tcPr>
          <w:p w14:paraId="7461562C">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Symbol</w:t>
            </w:r>
          </w:p>
        </w:tc>
        <w:tc>
          <w:tcPr>
            <w:tcW w:w="3096" w:type="pct"/>
            <w:tcBorders>
              <w:top w:val="single" w:color="auto" w:sz="4" w:space="0"/>
              <w:left w:val="nil"/>
              <w:bottom w:val="single" w:color="auto" w:sz="4" w:space="0"/>
              <w:right w:val="nil"/>
            </w:tcBorders>
            <w:noWrap w:val="0"/>
            <w:vAlign w:val="top"/>
          </w:tcPr>
          <w:p w14:paraId="472C643F">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Measurement method</w:t>
            </w:r>
          </w:p>
        </w:tc>
      </w:tr>
      <w:tr w14:paraId="5E7FB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597" w:type="pct"/>
            <w:vMerge w:val="restart"/>
            <w:tcBorders>
              <w:top w:val="single" w:color="auto" w:sz="4" w:space="0"/>
              <w:left w:val="nil"/>
              <w:right w:val="nil"/>
            </w:tcBorders>
            <w:noWrap w:val="0"/>
            <w:vAlign w:val="top"/>
          </w:tcPr>
          <w:p w14:paraId="6111994A">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Dependent variable</w:t>
            </w:r>
          </w:p>
        </w:tc>
        <w:tc>
          <w:tcPr>
            <w:tcW w:w="925" w:type="pct"/>
            <w:tcBorders>
              <w:top w:val="single" w:color="auto" w:sz="4" w:space="0"/>
              <w:left w:val="nil"/>
              <w:bottom w:val="nil"/>
              <w:right w:val="nil"/>
            </w:tcBorders>
            <w:noWrap w:val="0"/>
            <w:vAlign w:val="top"/>
          </w:tcPr>
          <w:p w14:paraId="176350B7">
            <w:pPr>
              <w:autoSpaceDE w:val="0"/>
              <w:autoSpaceDN w:val="0"/>
              <w:adjustRightInd w:val="0"/>
              <w:spacing w:line="240" w:lineRule="auto"/>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Exit</w:t>
            </w:r>
            <w:r>
              <w:rPr>
                <w:rFonts w:hint="default" w:ascii="Times New Roman" w:hAnsi="Times New Roman" w:cs="Times New Roman"/>
                <w:color w:val="auto"/>
                <w:kern w:val="0"/>
                <w:sz w:val="21"/>
                <w:szCs w:val="21"/>
                <w:highlight w:val="none"/>
              </w:rPr>
              <w:t xml:space="preserve"> Behavior</w:t>
            </w:r>
          </w:p>
          <w:p w14:paraId="254D3A9C">
            <w:pPr>
              <w:spacing w:line="240" w:lineRule="auto"/>
              <w:jc w:val="left"/>
              <w:rPr>
                <w:rFonts w:hint="default" w:ascii="Times New Roman" w:hAnsi="Times New Roman" w:cs="Times New Roman"/>
                <w:color w:val="auto"/>
                <w:sz w:val="21"/>
                <w:szCs w:val="21"/>
                <w:highlight w:val="none"/>
              </w:rPr>
            </w:pPr>
          </w:p>
        </w:tc>
        <w:tc>
          <w:tcPr>
            <w:tcW w:w="382" w:type="pct"/>
            <w:tcBorders>
              <w:top w:val="single" w:color="auto" w:sz="4" w:space="0"/>
              <w:left w:val="nil"/>
              <w:bottom w:val="nil"/>
              <w:right w:val="nil"/>
            </w:tcBorders>
            <w:noWrap w:val="0"/>
            <w:vAlign w:val="top"/>
          </w:tcPr>
          <w:p w14:paraId="22CE424E">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Exit</w:t>
            </w:r>
          </w:p>
        </w:tc>
        <w:tc>
          <w:tcPr>
            <w:tcW w:w="3096" w:type="pct"/>
            <w:tcBorders>
              <w:top w:val="single" w:color="auto" w:sz="4" w:space="0"/>
              <w:left w:val="nil"/>
              <w:bottom w:val="nil"/>
              <w:right w:val="nil"/>
            </w:tcBorders>
            <w:noWrap w:val="0"/>
            <w:vAlign w:val="top"/>
          </w:tcPr>
          <w:p w14:paraId="6499D68E">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According to the entropy method of EVLN Scale, it is calculated comprehensively.</w:t>
            </w:r>
          </w:p>
          <w:p w14:paraId="61AB98C9">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Exit=⅀(three-level indicators affecting Exit×Weight)</w:t>
            </w:r>
          </w:p>
        </w:tc>
      </w:tr>
      <w:tr w14:paraId="5A4CA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597" w:type="pct"/>
            <w:vMerge w:val="continue"/>
            <w:tcBorders>
              <w:left w:val="nil"/>
              <w:right w:val="nil"/>
            </w:tcBorders>
            <w:noWrap w:val="0"/>
            <w:vAlign w:val="top"/>
          </w:tcPr>
          <w:p w14:paraId="3E9DE8F4">
            <w:pPr>
              <w:spacing w:line="240" w:lineRule="auto"/>
              <w:jc w:val="left"/>
              <w:rPr>
                <w:rFonts w:hint="default" w:ascii="Times New Roman" w:hAnsi="Times New Roman" w:cs="Times New Roman"/>
                <w:color w:val="auto"/>
                <w:sz w:val="21"/>
                <w:szCs w:val="21"/>
                <w:highlight w:val="none"/>
              </w:rPr>
            </w:pPr>
          </w:p>
        </w:tc>
        <w:tc>
          <w:tcPr>
            <w:tcW w:w="925" w:type="pct"/>
            <w:tcBorders>
              <w:top w:val="nil"/>
              <w:left w:val="nil"/>
              <w:bottom w:val="nil"/>
              <w:right w:val="nil"/>
            </w:tcBorders>
            <w:noWrap w:val="0"/>
            <w:vAlign w:val="top"/>
          </w:tcPr>
          <w:p w14:paraId="4E7F0154">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Voice Behavior</w:t>
            </w:r>
          </w:p>
        </w:tc>
        <w:tc>
          <w:tcPr>
            <w:tcW w:w="382" w:type="pct"/>
            <w:tcBorders>
              <w:top w:val="nil"/>
              <w:left w:val="nil"/>
              <w:bottom w:val="nil"/>
              <w:right w:val="nil"/>
            </w:tcBorders>
            <w:noWrap w:val="0"/>
            <w:vAlign w:val="top"/>
          </w:tcPr>
          <w:p w14:paraId="7FA6A74F">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Voice</w:t>
            </w:r>
          </w:p>
        </w:tc>
        <w:tc>
          <w:tcPr>
            <w:tcW w:w="3096" w:type="pct"/>
            <w:tcBorders>
              <w:top w:val="nil"/>
              <w:left w:val="nil"/>
              <w:bottom w:val="nil"/>
              <w:right w:val="nil"/>
            </w:tcBorders>
            <w:noWrap w:val="0"/>
            <w:vAlign w:val="top"/>
          </w:tcPr>
          <w:p w14:paraId="32E75CA8">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According to the entropy method of EVLN Scale, it is calculated comprehensively.</w:t>
            </w:r>
          </w:p>
          <w:p w14:paraId="3C0A17B0">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Voice=⅀(three-level indicators affecting Voice×Weight)</w:t>
            </w:r>
          </w:p>
        </w:tc>
      </w:tr>
      <w:tr w14:paraId="1AA5C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597" w:type="pct"/>
            <w:vMerge w:val="continue"/>
            <w:tcBorders>
              <w:left w:val="nil"/>
              <w:right w:val="nil"/>
            </w:tcBorders>
            <w:noWrap w:val="0"/>
            <w:vAlign w:val="top"/>
          </w:tcPr>
          <w:p w14:paraId="2A749CE7">
            <w:pPr>
              <w:spacing w:line="240" w:lineRule="auto"/>
              <w:jc w:val="left"/>
              <w:rPr>
                <w:rFonts w:hint="default" w:ascii="Times New Roman" w:hAnsi="Times New Roman" w:cs="Times New Roman"/>
                <w:color w:val="auto"/>
                <w:sz w:val="21"/>
                <w:szCs w:val="21"/>
                <w:highlight w:val="none"/>
              </w:rPr>
            </w:pPr>
          </w:p>
        </w:tc>
        <w:tc>
          <w:tcPr>
            <w:tcW w:w="925" w:type="pct"/>
            <w:tcBorders>
              <w:top w:val="nil"/>
              <w:left w:val="nil"/>
              <w:bottom w:val="nil"/>
              <w:right w:val="nil"/>
            </w:tcBorders>
            <w:noWrap w:val="0"/>
            <w:vAlign w:val="top"/>
          </w:tcPr>
          <w:p w14:paraId="6D04050C">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Loyalty Behavior</w:t>
            </w:r>
          </w:p>
        </w:tc>
        <w:tc>
          <w:tcPr>
            <w:tcW w:w="382" w:type="pct"/>
            <w:tcBorders>
              <w:top w:val="nil"/>
              <w:left w:val="nil"/>
              <w:bottom w:val="nil"/>
              <w:right w:val="nil"/>
            </w:tcBorders>
            <w:noWrap w:val="0"/>
            <w:vAlign w:val="top"/>
          </w:tcPr>
          <w:p w14:paraId="3E38B9BE">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Loyalty</w:t>
            </w:r>
          </w:p>
        </w:tc>
        <w:tc>
          <w:tcPr>
            <w:tcW w:w="3096" w:type="pct"/>
            <w:tcBorders>
              <w:top w:val="nil"/>
              <w:left w:val="nil"/>
              <w:bottom w:val="nil"/>
              <w:right w:val="nil"/>
            </w:tcBorders>
            <w:noWrap w:val="0"/>
            <w:vAlign w:val="top"/>
          </w:tcPr>
          <w:p w14:paraId="6D8A86E7">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According to the entropy method of EVLN Scale, it is calculated comprehensively.</w:t>
            </w:r>
          </w:p>
          <w:p w14:paraId="3046B6FE">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Loyalty=⅀(three-level indicators affecting Loyalty×Weight)</w:t>
            </w:r>
          </w:p>
        </w:tc>
      </w:tr>
      <w:tr w14:paraId="6F8BB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597" w:type="pct"/>
            <w:vMerge w:val="continue"/>
            <w:tcBorders>
              <w:left w:val="nil"/>
              <w:bottom w:val="single" w:color="auto" w:sz="4" w:space="0"/>
              <w:right w:val="nil"/>
            </w:tcBorders>
            <w:noWrap w:val="0"/>
            <w:vAlign w:val="top"/>
          </w:tcPr>
          <w:p w14:paraId="47DCDD00">
            <w:pPr>
              <w:spacing w:line="240" w:lineRule="auto"/>
              <w:jc w:val="left"/>
              <w:rPr>
                <w:rFonts w:hint="default" w:ascii="Times New Roman" w:hAnsi="Times New Roman" w:cs="Times New Roman"/>
                <w:color w:val="auto"/>
                <w:sz w:val="21"/>
                <w:szCs w:val="21"/>
                <w:highlight w:val="none"/>
              </w:rPr>
            </w:pPr>
          </w:p>
        </w:tc>
        <w:tc>
          <w:tcPr>
            <w:tcW w:w="925" w:type="pct"/>
            <w:tcBorders>
              <w:top w:val="nil"/>
              <w:left w:val="nil"/>
              <w:bottom w:val="single" w:color="auto" w:sz="4" w:space="0"/>
              <w:right w:val="nil"/>
            </w:tcBorders>
            <w:noWrap w:val="0"/>
            <w:vAlign w:val="top"/>
          </w:tcPr>
          <w:p w14:paraId="19BA70DB">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Neglect Behavior</w:t>
            </w:r>
          </w:p>
        </w:tc>
        <w:tc>
          <w:tcPr>
            <w:tcW w:w="382" w:type="pct"/>
            <w:tcBorders>
              <w:top w:val="nil"/>
              <w:left w:val="nil"/>
              <w:bottom w:val="single" w:color="auto" w:sz="4" w:space="0"/>
              <w:right w:val="nil"/>
            </w:tcBorders>
            <w:noWrap w:val="0"/>
            <w:vAlign w:val="top"/>
          </w:tcPr>
          <w:p w14:paraId="287FF493">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Neglect</w:t>
            </w:r>
          </w:p>
        </w:tc>
        <w:tc>
          <w:tcPr>
            <w:tcW w:w="3096" w:type="pct"/>
            <w:tcBorders>
              <w:top w:val="nil"/>
              <w:left w:val="nil"/>
              <w:bottom w:val="single" w:color="auto" w:sz="4" w:space="0"/>
              <w:right w:val="nil"/>
            </w:tcBorders>
            <w:noWrap w:val="0"/>
            <w:vAlign w:val="top"/>
          </w:tcPr>
          <w:p w14:paraId="0AFAC759">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According to the entropy method of EVLN Scale, it is calculated comprehensively.</w:t>
            </w:r>
          </w:p>
          <w:p w14:paraId="0F5BD8F8">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Neglect=⅀(three-level indicators affecting Neglect×Weight)</w:t>
            </w:r>
          </w:p>
        </w:tc>
      </w:tr>
      <w:tr w14:paraId="610F3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597" w:type="pct"/>
            <w:tcBorders>
              <w:top w:val="single" w:color="auto" w:sz="4" w:space="0"/>
              <w:left w:val="nil"/>
              <w:bottom w:val="single" w:color="auto" w:sz="4" w:space="0"/>
              <w:right w:val="nil"/>
            </w:tcBorders>
            <w:noWrap w:val="0"/>
            <w:vAlign w:val="top"/>
          </w:tcPr>
          <w:p w14:paraId="4144B003">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Independent variable</w:t>
            </w:r>
          </w:p>
        </w:tc>
        <w:tc>
          <w:tcPr>
            <w:tcW w:w="925" w:type="pct"/>
            <w:tcBorders>
              <w:top w:val="single" w:color="auto" w:sz="4" w:space="0"/>
              <w:left w:val="nil"/>
              <w:bottom w:val="single" w:color="auto" w:sz="4" w:space="0"/>
              <w:right w:val="nil"/>
            </w:tcBorders>
            <w:noWrap w:val="0"/>
            <w:vAlign w:val="top"/>
          </w:tcPr>
          <w:p w14:paraId="4E28EA6E">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Nurse Job Dissatisfaction</w:t>
            </w:r>
          </w:p>
        </w:tc>
        <w:tc>
          <w:tcPr>
            <w:tcW w:w="382" w:type="pct"/>
            <w:tcBorders>
              <w:top w:val="single" w:color="auto" w:sz="4" w:space="0"/>
              <w:left w:val="nil"/>
              <w:bottom w:val="single" w:color="auto" w:sz="4" w:space="0"/>
              <w:right w:val="nil"/>
            </w:tcBorders>
            <w:noWrap w:val="0"/>
            <w:vAlign w:val="top"/>
          </w:tcPr>
          <w:p w14:paraId="073ED5EC">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NJD</w:t>
            </w:r>
          </w:p>
        </w:tc>
        <w:tc>
          <w:tcPr>
            <w:tcW w:w="3096" w:type="pct"/>
            <w:tcBorders>
              <w:top w:val="single" w:color="auto" w:sz="4" w:space="0"/>
              <w:left w:val="nil"/>
              <w:bottom w:val="single" w:color="auto" w:sz="4" w:space="0"/>
              <w:right w:val="nil"/>
            </w:tcBorders>
            <w:noWrap w:val="0"/>
            <w:vAlign w:val="top"/>
          </w:tcPr>
          <w:p w14:paraId="3881EC2D">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The APH hierarchical analysis method was employed to comprehensively calculate the nurse job dissatisfaction scale.</w:t>
            </w:r>
          </w:p>
          <w:p w14:paraId="2861F3A7">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NJD=Internal Nurses’ Job Dissatisfaction(INJD)×Weight+External Nurses’ Job Dissatisfaction(ENJD)×Weight</w:t>
            </w:r>
          </w:p>
        </w:tc>
      </w:tr>
      <w:tr w14:paraId="4D346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597" w:type="pct"/>
            <w:vMerge w:val="restart"/>
            <w:tcBorders>
              <w:top w:val="single" w:color="auto" w:sz="4" w:space="0"/>
              <w:left w:val="nil"/>
              <w:right w:val="nil"/>
            </w:tcBorders>
            <w:noWrap w:val="0"/>
            <w:vAlign w:val="top"/>
          </w:tcPr>
          <w:p w14:paraId="7CDFCB21">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Moderating variable</w:t>
            </w:r>
          </w:p>
        </w:tc>
        <w:tc>
          <w:tcPr>
            <w:tcW w:w="925" w:type="pct"/>
            <w:tcBorders>
              <w:top w:val="single" w:color="auto" w:sz="4" w:space="0"/>
              <w:left w:val="nil"/>
              <w:bottom w:val="nil"/>
              <w:right w:val="nil"/>
            </w:tcBorders>
            <w:noWrap w:val="0"/>
            <w:vAlign w:val="top"/>
          </w:tcPr>
          <w:p w14:paraId="68E4E3D3">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Nurse Manager Overconfidence</w:t>
            </w:r>
          </w:p>
        </w:tc>
        <w:tc>
          <w:tcPr>
            <w:tcW w:w="382" w:type="pct"/>
            <w:tcBorders>
              <w:top w:val="single" w:color="auto" w:sz="4" w:space="0"/>
              <w:left w:val="nil"/>
              <w:bottom w:val="nil"/>
              <w:right w:val="nil"/>
            </w:tcBorders>
            <w:noWrap w:val="0"/>
            <w:vAlign w:val="top"/>
          </w:tcPr>
          <w:p w14:paraId="24E09D6C">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NMO</w:t>
            </w:r>
          </w:p>
        </w:tc>
        <w:tc>
          <w:tcPr>
            <w:tcW w:w="3096" w:type="pct"/>
            <w:tcBorders>
              <w:top w:val="single" w:color="auto" w:sz="4" w:space="0"/>
              <w:left w:val="nil"/>
              <w:bottom w:val="nil"/>
              <w:right w:val="nil"/>
            </w:tcBorders>
            <w:noWrap w:val="0"/>
            <w:vAlign w:val="top"/>
          </w:tcPr>
          <w:p w14:paraId="47BD1414">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According to the entropy method of Nurse Manager Overconfidence Scale, it is calculated comprehensively.</w:t>
            </w:r>
          </w:p>
          <w:p w14:paraId="4DD4DF73">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NMO=NMO1×Weight+NMO2×Weight+NMO3×Weight+NMO4×Weight+NMO5×Weight</w:t>
            </w:r>
          </w:p>
        </w:tc>
      </w:tr>
      <w:tr w14:paraId="2C533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597" w:type="pct"/>
            <w:vMerge w:val="continue"/>
            <w:tcBorders>
              <w:left w:val="nil"/>
              <w:bottom w:val="single" w:color="auto" w:sz="4" w:space="0"/>
              <w:right w:val="nil"/>
            </w:tcBorders>
            <w:noWrap w:val="0"/>
            <w:vAlign w:val="top"/>
          </w:tcPr>
          <w:p w14:paraId="264549D9">
            <w:pPr>
              <w:spacing w:line="240" w:lineRule="auto"/>
              <w:jc w:val="left"/>
              <w:rPr>
                <w:rFonts w:hint="default" w:ascii="Times New Roman" w:hAnsi="Times New Roman" w:cs="Times New Roman"/>
                <w:color w:val="auto"/>
                <w:sz w:val="21"/>
                <w:szCs w:val="21"/>
                <w:highlight w:val="none"/>
              </w:rPr>
            </w:pPr>
          </w:p>
        </w:tc>
        <w:tc>
          <w:tcPr>
            <w:tcW w:w="925" w:type="pct"/>
            <w:tcBorders>
              <w:top w:val="nil"/>
              <w:left w:val="nil"/>
              <w:bottom w:val="single" w:color="auto" w:sz="4" w:space="0"/>
              <w:right w:val="nil"/>
            </w:tcBorders>
            <w:noWrap w:val="0"/>
            <w:vAlign w:val="top"/>
          </w:tcPr>
          <w:p w14:paraId="46E49342">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Data-driven Culture</w:t>
            </w:r>
          </w:p>
        </w:tc>
        <w:tc>
          <w:tcPr>
            <w:tcW w:w="382" w:type="pct"/>
            <w:tcBorders>
              <w:top w:val="nil"/>
              <w:left w:val="nil"/>
              <w:bottom w:val="single" w:color="auto" w:sz="4" w:space="0"/>
              <w:right w:val="nil"/>
            </w:tcBorders>
            <w:noWrap w:val="0"/>
            <w:vAlign w:val="top"/>
          </w:tcPr>
          <w:p w14:paraId="376562C7">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DDC</w:t>
            </w:r>
          </w:p>
        </w:tc>
        <w:tc>
          <w:tcPr>
            <w:tcW w:w="3096" w:type="pct"/>
            <w:tcBorders>
              <w:top w:val="nil"/>
              <w:left w:val="nil"/>
              <w:bottom w:val="single" w:color="auto" w:sz="4" w:space="0"/>
              <w:right w:val="nil"/>
            </w:tcBorders>
            <w:noWrap w:val="0"/>
            <w:vAlign w:val="top"/>
          </w:tcPr>
          <w:p w14:paraId="74B20C82">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The entropy method was employed to comprehensively calculate the Data-driven Culture</w:t>
            </w:r>
          </w:p>
          <w:p w14:paraId="098AE342">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DDC=DDC1×Weight+DDC2×Weight+DDC3×Weight+DDC4×Weight+DDC5×Weight</w:t>
            </w:r>
          </w:p>
        </w:tc>
      </w:tr>
      <w:tr w14:paraId="6E6DB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 w:hRule="atLeast"/>
        </w:trPr>
        <w:tc>
          <w:tcPr>
            <w:tcW w:w="597" w:type="pct"/>
            <w:vMerge w:val="restart"/>
            <w:tcBorders>
              <w:top w:val="single" w:color="auto" w:sz="4" w:space="0"/>
              <w:left w:val="nil"/>
              <w:bottom w:val="nil"/>
              <w:right w:val="nil"/>
            </w:tcBorders>
            <w:noWrap w:val="0"/>
            <w:vAlign w:val="top"/>
          </w:tcPr>
          <w:p w14:paraId="14FA9ECB">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Control variables</w:t>
            </w:r>
          </w:p>
        </w:tc>
        <w:tc>
          <w:tcPr>
            <w:tcW w:w="925" w:type="pct"/>
            <w:tcBorders>
              <w:top w:val="single" w:color="auto" w:sz="4" w:space="0"/>
              <w:left w:val="nil"/>
              <w:bottom w:val="nil"/>
              <w:right w:val="nil"/>
            </w:tcBorders>
            <w:noWrap w:val="0"/>
            <w:vAlign w:val="top"/>
          </w:tcPr>
          <w:p w14:paraId="78822185">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Work Duration (In Years)</w:t>
            </w:r>
          </w:p>
        </w:tc>
        <w:tc>
          <w:tcPr>
            <w:tcW w:w="382" w:type="pct"/>
            <w:tcBorders>
              <w:top w:val="single" w:color="auto" w:sz="4" w:space="0"/>
              <w:left w:val="nil"/>
              <w:bottom w:val="nil"/>
              <w:right w:val="nil"/>
            </w:tcBorders>
            <w:noWrap w:val="0"/>
            <w:vAlign w:val="top"/>
          </w:tcPr>
          <w:p w14:paraId="314837F0">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WY</w:t>
            </w:r>
          </w:p>
        </w:tc>
        <w:tc>
          <w:tcPr>
            <w:tcW w:w="3096" w:type="pct"/>
            <w:tcBorders>
              <w:top w:val="single" w:color="auto" w:sz="4" w:space="0"/>
              <w:left w:val="nil"/>
              <w:bottom w:val="nil"/>
              <w:right w:val="nil"/>
            </w:tcBorders>
            <w:noWrap w:val="0"/>
            <w:vAlign w:val="top"/>
          </w:tcPr>
          <w:p w14:paraId="63ACFF95">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&lt;5=1,5—10=2,11—15=3,16—19=4,≥20=5</w:t>
            </w:r>
          </w:p>
        </w:tc>
      </w:tr>
      <w:tr w14:paraId="7B771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7" w:type="pct"/>
            <w:vMerge w:val="continue"/>
            <w:tcBorders>
              <w:top w:val="nil"/>
              <w:left w:val="nil"/>
              <w:bottom w:val="nil"/>
              <w:right w:val="nil"/>
            </w:tcBorders>
            <w:noWrap w:val="0"/>
            <w:vAlign w:val="top"/>
          </w:tcPr>
          <w:p w14:paraId="0FE752EC">
            <w:pPr>
              <w:spacing w:line="240" w:lineRule="auto"/>
              <w:jc w:val="left"/>
              <w:rPr>
                <w:rFonts w:hint="default" w:ascii="Times New Roman" w:hAnsi="Times New Roman" w:cs="Times New Roman"/>
                <w:color w:val="auto"/>
                <w:sz w:val="21"/>
                <w:szCs w:val="21"/>
                <w:highlight w:val="none"/>
              </w:rPr>
            </w:pPr>
          </w:p>
        </w:tc>
        <w:tc>
          <w:tcPr>
            <w:tcW w:w="925" w:type="pct"/>
            <w:tcBorders>
              <w:top w:val="nil"/>
              <w:left w:val="nil"/>
              <w:bottom w:val="nil"/>
              <w:right w:val="nil"/>
            </w:tcBorders>
            <w:noWrap w:val="0"/>
            <w:vAlign w:val="top"/>
          </w:tcPr>
          <w:p w14:paraId="349C8C20">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Title</w:t>
            </w:r>
          </w:p>
        </w:tc>
        <w:tc>
          <w:tcPr>
            <w:tcW w:w="382" w:type="pct"/>
            <w:tcBorders>
              <w:top w:val="nil"/>
              <w:left w:val="nil"/>
              <w:bottom w:val="nil"/>
              <w:right w:val="nil"/>
            </w:tcBorders>
            <w:noWrap w:val="0"/>
            <w:vAlign w:val="top"/>
          </w:tcPr>
          <w:p w14:paraId="459E5FBB">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Title</w:t>
            </w:r>
          </w:p>
        </w:tc>
        <w:tc>
          <w:tcPr>
            <w:tcW w:w="3096" w:type="pct"/>
            <w:tcBorders>
              <w:top w:val="nil"/>
              <w:left w:val="nil"/>
              <w:bottom w:val="nil"/>
              <w:right w:val="nil"/>
            </w:tcBorders>
            <w:noWrap w:val="0"/>
            <w:vAlign w:val="top"/>
          </w:tcPr>
          <w:p w14:paraId="15161425">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Nurse=1,Nurse Practitioner=2,Supervising Nurse Practitioner=3</w:t>
            </w:r>
          </w:p>
          <w:p w14:paraId="504D22FE">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,Associate Director of Nurse Practitioners=4</w:t>
            </w:r>
          </w:p>
        </w:tc>
      </w:tr>
      <w:tr w14:paraId="5585A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7" w:type="pct"/>
            <w:vMerge w:val="continue"/>
            <w:tcBorders>
              <w:top w:val="nil"/>
              <w:left w:val="nil"/>
              <w:bottom w:val="nil"/>
              <w:right w:val="nil"/>
            </w:tcBorders>
            <w:noWrap w:val="0"/>
            <w:vAlign w:val="top"/>
          </w:tcPr>
          <w:p w14:paraId="27A71E93">
            <w:pPr>
              <w:spacing w:line="240" w:lineRule="auto"/>
              <w:jc w:val="left"/>
              <w:rPr>
                <w:rFonts w:hint="default" w:ascii="Times New Roman" w:hAnsi="Times New Roman" w:cs="Times New Roman"/>
                <w:color w:val="auto"/>
                <w:sz w:val="21"/>
                <w:szCs w:val="21"/>
                <w:highlight w:val="none"/>
              </w:rPr>
            </w:pPr>
          </w:p>
        </w:tc>
        <w:tc>
          <w:tcPr>
            <w:tcW w:w="925" w:type="pct"/>
            <w:tcBorders>
              <w:top w:val="nil"/>
              <w:left w:val="nil"/>
              <w:bottom w:val="nil"/>
              <w:right w:val="nil"/>
            </w:tcBorders>
            <w:noWrap w:val="0"/>
            <w:vAlign w:val="top"/>
          </w:tcPr>
          <w:p w14:paraId="7430915D">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Ranking</w:t>
            </w:r>
          </w:p>
        </w:tc>
        <w:tc>
          <w:tcPr>
            <w:tcW w:w="382" w:type="pct"/>
            <w:tcBorders>
              <w:top w:val="nil"/>
              <w:left w:val="nil"/>
              <w:bottom w:val="nil"/>
              <w:right w:val="nil"/>
            </w:tcBorders>
            <w:noWrap w:val="0"/>
            <w:vAlign w:val="top"/>
          </w:tcPr>
          <w:p w14:paraId="3AA49886">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Rank</w:t>
            </w:r>
          </w:p>
        </w:tc>
        <w:tc>
          <w:tcPr>
            <w:tcW w:w="3096" w:type="pct"/>
            <w:tcBorders>
              <w:top w:val="nil"/>
              <w:left w:val="nil"/>
              <w:bottom w:val="nil"/>
              <w:right w:val="nil"/>
            </w:tcBorders>
            <w:noWrap w:val="0"/>
            <w:vAlign w:val="top"/>
          </w:tcPr>
          <w:p w14:paraId="3770F44C">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N0=1,N1=2,N2=3,N3=4</w:t>
            </w:r>
          </w:p>
        </w:tc>
      </w:tr>
      <w:tr w14:paraId="42A9E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7" w:type="pct"/>
            <w:vMerge w:val="continue"/>
            <w:tcBorders>
              <w:top w:val="nil"/>
              <w:left w:val="nil"/>
              <w:bottom w:val="nil"/>
              <w:right w:val="nil"/>
            </w:tcBorders>
            <w:noWrap w:val="0"/>
            <w:vAlign w:val="top"/>
          </w:tcPr>
          <w:p w14:paraId="0DE8BB44">
            <w:pPr>
              <w:spacing w:line="240" w:lineRule="auto"/>
              <w:jc w:val="left"/>
              <w:rPr>
                <w:rFonts w:hint="default" w:ascii="Times New Roman" w:hAnsi="Times New Roman" w:cs="Times New Roman"/>
                <w:color w:val="auto"/>
                <w:sz w:val="21"/>
                <w:szCs w:val="21"/>
                <w:highlight w:val="none"/>
              </w:rPr>
            </w:pPr>
          </w:p>
        </w:tc>
        <w:tc>
          <w:tcPr>
            <w:tcW w:w="925" w:type="pct"/>
            <w:tcBorders>
              <w:top w:val="nil"/>
              <w:left w:val="nil"/>
              <w:bottom w:val="nil"/>
              <w:right w:val="nil"/>
            </w:tcBorders>
            <w:noWrap w:val="0"/>
            <w:vAlign w:val="top"/>
          </w:tcPr>
          <w:p w14:paraId="56378C5B">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Position</w:t>
            </w:r>
          </w:p>
        </w:tc>
        <w:tc>
          <w:tcPr>
            <w:tcW w:w="382" w:type="pct"/>
            <w:tcBorders>
              <w:top w:val="nil"/>
              <w:left w:val="nil"/>
              <w:bottom w:val="nil"/>
              <w:right w:val="nil"/>
            </w:tcBorders>
            <w:noWrap w:val="0"/>
            <w:vAlign w:val="top"/>
          </w:tcPr>
          <w:p w14:paraId="5A459C2F">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Posit</w:t>
            </w:r>
          </w:p>
        </w:tc>
        <w:tc>
          <w:tcPr>
            <w:tcW w:w="3096" w:type="pct"/>
            <w:tcBorders>
              <w:top w:val="nil"/>
              <w:left w:val="nil"/>
              <w:bottom w:val="nil"/>
              <w:right w:val="nil"/>
            </w:tcBorders>
            <w:noWrap w:val="0"/>
            <w:vAlign w:val="top"/>
          </w:tcPr>
          <w:p w14:paraId="62FE17AE">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Nurse=1,Nurse Manager=2,Section Nurse Manager=3</w:t>
            </w:r>
          </w:p>
        </w:tc>
      </w:tr>
      <w:tr w14:paraId="6FD68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7" w:type="pct"/>
            <w:vMerge w:val="continue"/>
            <w:tcBorders>
              <w:top w:val="nil"/>
              <w:left w:val="nil"/>
              <w:bottom w:val="nil"/>
              <w:right w:val="nil"/>
            </w:tcBorders>
            <w:noWrap w:val="0"/>
            <w:vAlign w:val="top"/>
          </w:tcPr>
          <w:p w14:paraId="381A3F5E">
            <w:pPr>
              <w:spacing w:line="240" w:lineRule="auto"/>
              <w:jc w:val="left"/>
              <w:rPr>
                <w:rFonts w:hint="default" w:ascii="Times New Roman" w:hAnsi="Times New Roman" w:cs="Times New Roman"/>
                <w:color w:val="auto"/>
                <w:sz w:val="21"/>
                <w:szCs w:val="21"/>
                <w:highlight w:val="none"/>
              </w:rPr>
            </w:pPr>
          </w:p>
        </w:tc>
        <w:tc>
          <w:tcPr>
            <w:tcW w:w="925" w:type="pct"/>
            <w:tcBorders>
              <w:top w:val="nil"/>
              <w:left w:val="nil"/>
              <w:bottom w:val="nil"/>
              <w:right w:val="nil"/>
            </w:tcBorders>
            <w:noWrap w:val="0"/>
            <w:vAlign w:val="top"/>
          </w:tcPr>
          <w:p w14:paraId="6CA3399E">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Unit Establishment</w:t>
            </w:r>
          </w:p>
        </w:tc>
        <w:tc>
          <w:tcPr>
            <w:tcW w:w="382" w:type="pct"/>
            <w:tcBorders>
              <w:top w:val="nil"/>
              <w:left w:val="nil"/>
              <w:bottom w:val="nil"/>
              <w:right w:val="nil"/>
            </w:tcBorders>
            <w:noWrap w:val="0"/>
            <w:vAlign w:val="top"/>
          </w:tcPr>
          <w:p w14:paraId="5115744C">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UE</w:t>
            </w:r>
          </w:p>
        </w:tc>
        <w:tc>
          <w:tcPr>
            <w:tcW w:w="3096" w:type="pct"/>
            <w:tcBorders>
              <w:top w:val="nil"/>
              <w:left w:val="nil"/>
              <w:bottom w:val="nil"/>
              <w:right w:val="nil"/>
            </w:tcBorders>
            <w:noWrap w:val="0"/>
            <w:vAlign w:val="top"/>
          </w:tcPr>
          <w:p w14:paraId="2E8244C3">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Contractual=1,Personnel Agency=2,Official Establishment=3</w:t>
            </w:r>
          </w:p>
        </w:tc>
      </w:tr>
      <w:tr w14:paraId="44074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trPr>
        <w:tc>
          <w:tcPr>
            <w:tcW w:w="597" w:type="pct"/>
            <w:vMerge w:val="continue"/>
            <w:tcBorders>
              <w:top w:val="nil"/>
              <w:left w:val="nil"/>
              <w:bottom w:val="nil"/>
              <w:right w:val="nil"/>
            </w:tcBorders>
            <w:noWrap w:val="0"/>
            <w:vAlign w:val="top"/>
          </w:tcPr>
          <w:p w14:paraId="51496A02">
            <w:pPr>
              <w:spacing w:line="240" w:lineRule="auto"/>
              <w:jc w:val="left"/>
              <w:rPr>
                <w:rFonts w:hint="default" w:ascii="Times New Roman" w:hAnsi="Times New Roman" w:cs="Times New Roman"/>
                <w:color w:val="auto"/>
                <w:sz w:val="21"/>
                <w:szCs w:val="21"/>
                <w:highlight w:val="none"/>
              </w:rPr>
            </w:pPr>
          </w:p>
        </w:tc>
        <w:tc>
          <w:tcPr>
            <w:tcW w:w="925" w:type="pct"/>
            <w:tcBorders>
              <w:top w:val="nil"/>
              <w:left w:val="nil"/>
              <w:bottom w:val="nil"/>
              <w:right w:val="nil"/>
            </w:tcBorders>
            <w:noWrap w:val="0"/>
            <w:vAlign w:val="top"/>
          </w:tcPr>
          <w:p w14:paraId="4CAB14CA">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Salary Level</w:t>
            </w:r>
          </w:p>
        </w:tc>
        <w:tc>
          <w:tcPr>
            <w:tcW w:w="382" w:type="pct"/>
            <w:tcBorders>
              <w:top w:val="nil"/>
              <w:left w:val="nil"/>
              <w:bottom w:val="nil"/>
              <w:right w:val="nil"/>
            </w:tcBorders>
            <w:noWrap w:val="0"/>
            <w:vAlign w:val="top"/>
          </w:tcPr>
          <w:p w14:paraId="39788623">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Salary</w:t>
            </w:r>
          </w:p>
        </w:tc>
        <w:tc>
          <w:tcPr>
            <w:tcW w:w="3096" w:type="pct"/>
            <w:tcBorders>
              <w:top w:val="nil"/>
              <w:left w:val="nil"/>
              <w:bottom w:val="nil"/>
              <w:right w:val="nil"/>
            </w:tcBorders>
            <w:noWrap w:val="0"/>
            <w:vAlign w:val="top"/>
          </w:tcPr>
          <w:p w14:paraId="5B43BCDC">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&lt;4000=1,4000—7999=2,≥8000=3</w:t>
            </w:r>
          </w:p>
        </w:tc>
      </w:tr>
      <w:tr w14:paraId="7DE84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597" w:type="pct"/>
            <w:vMerge w:val="continue"/>
            <w:tcBorders>
              <w:top w:val="nil"/>
              <w:left w:val="nil"/>
              <w:bottom w:val="nil"/>
              <w:right w:val="nil"/>
            </w:tcBorders>
            <w:noWrap w:val="0"/>
            <w:vAlign w:val="top"/>
          </w:tcPr>
          <w:p w14:paraId="2313BA47">
            <w:pPr>
              <w:spacing w:line="240" w:lineRule="auto"/>
              <w:jc w:val="left"/>
              <w:rPr>
                <w:rFonts w:hint="default" w:ascii="Times New Roman" w:hAnsi="Times New Roman" w:cs="Times New Roman"/>
                <w:color w:val="auto"/>
                <w:sz w:val="21"/>
                <w:szCs w:val="21"/>
                <w:highlight w:val="none"/>
              </w:rPr>
            </w:pPr>
          </w:p>
        </w:tc>
        <w:tc>
          <w:tcPr>
            <w:tcW w:w="925" w:type="pct"/>
            <w:tcBorders>
              <w:top w:val="nil"/>
              <w:left w:val="nil"/>
              <w:bottom w:val="nil"/>
              <w:right w:val="nil"/>
            </w:tcBorders>
            <w:noWrap w:val="0"/>
            <w:vAlign w:val="top"/>
          </w:tcPr>
          <w:p w14:paraId="131A0F7A">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Section</w:t>
            </w:r>
          </w:p>
        </w:tc>
        <w:tc>
          <w:tcPr>
            <w:tcW w:w="382" w:type="pct"/>
            <w:tcBorders>
              <w:top w:val="nil"/>
              <w:left w:val="nil"/>
              <w:bottom w:val="nil"/>
              <w:right w:val="nil"/>
            </w:tcBorders>
            <w:noWrap w:val="0"/>
            <w:vAlign w:val="top"/>
          </w:tcPr>
          <w:p w14:paraId="63D7CCE9">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Sec</w:t>
            </w:r>
          </w:p>
        </w:tc>
        <w:tc>
          <w:tcPr>
            <w:tcW w:w="3096" w:type="pct"/>
            <w:tcBorders>
              <w:top w:val="nil"/>
              <w:left w:val="nil"/>
              <w:bottom w:val="nil"/>
              <w:right w:val="nil"/>
            </w:tcBorders>
            <w:noWrap w:val="0"/>
            <w:vAlign w:val="top"/>
          </w:tcPr>
          <w:p w14:paraId="332079EC">
            <w:pPr>
              <w:autoSpaceDE w:val="0"/>
              <w:autoSpaceDN w:val="0"/>
              <w:adjustRightInd w:val="0"/>
              <w:spacing w:line="240" w:lineRule="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xml:space="preserve">Virtual variables: </w:t>
            </w:r>
            <w:r>
              <w:rPr>
                <w:rFonts w:hint="default" w:ascii="Times New Roman" w:hAnsi="Times New Roman" w:cs="Times New Roman"/>
                <w:color w:val="auto"/>
                <w:kern w:val="0"/>
                <w:sz w:val="21"/>
                <w:szCs w:val="21"/>
                <w:highlight w:val="none"/>
              </w:rPr>
              <w:t>Internal Medicine=1,Surgery=2,others=0</w:t>
            </w:r>
          </w:p>
        </w:tc>
      </w:tr>
      <w:tr w14:paraId="2670C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597" w:type="pct"/>
            <w:tcBorders>
              <w:top w:val="nil"/>
              <w:left w:val="nil"/>
              <w:bottom w:val="single" w:color="auto" w:sz="4" w:space="0"/>
              <w:right w:val="nil"/>
            </w:tcBorders>
            <w:noWrap w:val="0"/>
            <w:vAlign w:val="top"/>
          </w:tcPr>
          <w:p w14:paraId="598067CC">
            <w:pPr>
              <w:spacing w:line="240" w:lineRule="auto"/>
              <w:jc w:val="left"/>
              <w:rPr>
                <w:rFonts w:hint="default" w:ascii="Times New Roman" w:hAnsi="Times New Roman" w:cs="Times New Roman"/>
                <w:color w:val="auto"/>
                <w:sz w:val="21"/>
                <w:szCs w:val="21"/>
                <w:highlight w:val="none"/>
              </w:rPr>
            </w:pPr>
          </w:p>
        </w:tc>
        <w:tc>
          <w:tcPr>
            <w:tcW w:w="925" w:type="pct"/>
            <w:tcBorders>
              <w:top w:val="nil"/>
              <w:left w:val="nil"/>
              <w:bottom w:val="single" w:color="auto" w:sz="4" w:space="0"/>
              <w:right w:val="nil"/>
            </w:tcBorders>
            <w:noWrap w:val="0"/>
            <w:vAlign w:val="top"/>
          </w:tcPr>
          <w:p w14:paraId="56A5081E">
            <w:pPr>
              <w:autoSpaceDE w:val="0"/>
              <w:autoSpaceDN w:val="0"/>
              <w:adjustRightInd w:val="0"/>
              <w:spacing w:line="240" w:lineRule="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Month</w:t>
            </w:r>
          </w:p>
        </w:tc>
        <w:tc>
          <w:tcPr>
            <w:tcW w:w="382" w:type="pct"/>
            <w:tcBorders>
              <w:top w:val="nil"/>
              <w:left w:val="nil"/>
              <w:bottom w:val="single" w:color="auto" w:sz="4" w:space="0"/>
              <w:right w:val="nil"/>
            </w:tcBorders>
            <w:noWrap w:val="0"/>
            <w:vAlign w:val="top"/>
          </w:tcPr>
          <w:p w14:paraId="2732B246">
            <w:pPr>
              <w:autoSpaceDE w:val="0"/>
              <w:autoSpaceDN w:val="0"/>
              <w:adjustRightInd w:val="0"/>
              <w:spacing w:line="240" w:lineRule="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Month</w:t>
            </w:r>
          </w:p>
        </w:tc>
        <w:tc>
          <w:tcPr>
            <w:tcW w:w="3096" w:type="pct"/>
            <w:tcBorders>
              <w:top w:val="nil"/>
              <w:left w:val="nil"/>
              <w:bottom w:val="single" w:color="auto" w:sz="4" w:space="0"/>
              <w:right w:val="nil"/>
            </w:tcBorders>
            <w:noWrap w:val="0"/>
            <w:vAlign w:val="top"/>
          </w:tcPr>
          <w:p w14:paraId="0ABCE46B">
            <w:pPr>
              <w:autoSpaceDE w:val="0"/>
              <w:autoSpaceDN w:val="0"/>
              <w:adjustRightInd w:val="0"/>
              <w:spacing w:line="240" w:lineRule="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Dummy Variable</w:t>
            </w:r>
            <w:r>
              <w:rPr>
                <w:rFonts w:hint="default" w:ascii="Times New Roman" w:hAnsi="Times New Roman" w:eastAsia="宋体" w:cs="Times New Roman"/>
                <w:color w:val="auto"/>
                <w:sz w:val="21"/>
                <w:szCs w:val="21"/>
                <w:highlight w:val="none"/>
                <w:lang w:val="en-US" w:eastAsia="zh-CN"/>
              </w:rPr>
              <w:t>: From January to May 2024</w:t>
            </w:r>
          </w:p>
        </w:tc>
      </w:tr>
    </w:tbl>
    <w:p w14:paraId="3EBD7EA4">
      <w:pPr>
        <w:autoSpaceDE w:val="0"/>
        <w:autoSpaceDN w:val="0"/>
        <w:adjustRightInd w:val="0"/>
        <w:spacing w:line="240" w:lineRule="auto"/>
        <w:rPr>
          <w:rFonts w:hint="default" w:ascii="Times New Roman" w:hAnsi="Times New Roman" w:eastAsia="宋体" w:cs="Times New Roman"/>
          <w:b/>
          <w:color w:val="auto"/>
          <w:kern w:val="0"/>
          <w:sz w:val="21"/>
          <w:szCs w:val="21"/>
          <w:highlight w:val="none"/>
          <w:lang w:val="en-US" w:eastAsia="zh-CN"/>
        </w:rPr>
      </w:pPr>
      <w:r>
        <w:rPr>
          <w:rFonts w:hint="default" w:ascii="Times New Roman" w:hAnsi="Times New Roman" w:cs="Times New Roman"/>
          <w:i/>
          <w:iCs/>
          <w:color w:val="auto"/>
          <w:kern w:val="0"/>
          <w:sz w:val="21"/>
          <w:szCs w:val="21"/>
          <w:highlight w:val="none"/>
        </w:rPr>
        <w:t>Abbreviation:</w:t>
      </w:r>
      <w:r>
        <w:rPr>
          <w:rFonts w:hint="default" w:ascii="Times New Roman" w:hAnsi="Times New Roman" w:cs="Times New Roman"/>
          <w:color w:val="auto"/>
          <w:kern w:val="0"/>
          <w:sz w:val="21"/>
          <w:szCs w:val="21"/>
          <w:highlight w:val="none"/>
          <w:lang w:val="en-US" w:eastAsia="zh-CN"/>
        </w:rPr>
        <w:t xml:space="preserve"> Exit: </w:t>
      </w:r>
      <w:r>
        <w:rPr>
          <w:rFonts w:hint="default" w:ascii="Times New Roman" w:hAnsi="Times New Roman" w:cs="Times New Roman"/>
          <w:color w:val="auto"/>
          <w:kern w:val="0"/>
          <w:sz w:val="21"/>
          <w:szCs w:val="21"/>
          <w:highlight w:val="none"/>
        </w:rPr>
        <w:t>Exit behavior</w:t>
      </w:r>
      <w:r>
        <w:rPr>
          <w:rFonts w:hint="default" w:ascii="Times New Roman" w:hAnsi="Times New Roman" w:cs="Times New Roman"/>
          <w:color w:val="auto"/>
          <w:kern w:val="0"/>
          <w:sz w:val="21"/>
          <w:szCs w:val="21"/>
          <w:highlight w:val="none"/>
          <w:lang w:val="en-US" w:eastAsia="zh-CN"/>
        </w:rPr>
        <w:t xml:space="preserve">; Voice: </w:t>
      </w:r>
      <w:r>
        <w:rPr>
          <w:rFonts w:hint="default" w:ascii="Times New Roman" w:hAnsi="Times New Roman" w:cs="Times New Roman"/>
          <w:color w:val="auto"/>
          <w:kern w:val="0"/>
          <w:sz w:val="21"/>
          <w:szCs w:val="21"/>
          <w:highlight w:val="none"/>
        </w:rPr>
        <w:t>Voice behavior</w:t>
      </w:r>
      <w:r>
        <w:rPr>
          <w:rFonts w:hint="default" w:ascii="Times New Roman" w:hAnsi="Times New Roman" w:cs="Times New Roman"/>
          <w:color w:val="auto"/>
          <w:kern w:val="0"/>
          <w:sz w:val="21"/>
          <w:szCs w:val="21"/>
          <w:highlight w:val="none"/>
          <w:lang w:val="en-US" w:eastAsia="zh-CN"/>
        </w:rPr>
        <w:t xml:space="preserve">; Loyalty: </w:t>
      </w:r>
      <w:r>
        <w:rPr>
          <w:rFonts w:hint="default" w:ascii="Times New Roman" w:hAnsi="Times New Roman" w:cs="Times New Roman"/>
          <w:color w:val="auto"/>
          <w:kern w:val="0"/>
          <w:sz w:val="21"/>
          <w:szCs w:val="21"/>
          <w:highlight w:val="none"/>
        </w:rPr>
        <w:t>Loyalty behavior</w:t>
      </w:r>
      <w:r>
        <w:rPr>
          <w:rFonts w:hint="default" w:ascii="Times New Roman" w:hAnsi="Times New Roman" w:cs="Times New Roman"/>
          <w:color w:val="auto"/>
          <w:kern w:val="0"/>
          <w:sz w:val="21"/>
          <w:szCs w:val="21"/>
          <w:highlight w:val="none"/>
          <w:lang w:val="en-US" w:eastAsia="zh-CN"/>
        </w:rPr>
        <w:t xml:space="preserve">; Neglect: </w:t>
      </w:r>
      <w:r>
        <w:rPr>
          <w:rFonts w:hint="default" w:ascii="Times New Roman" w:hAnsi="Times New Roman" w:cs="Times New Roman"/>
          <w:color w:val="auto"/>
          <w:kern w:val="0"/>
          <w:sz w:val="21"/>
          <w:szCs w:val="21"/>
          <w:highlight w:val="none"/>
        </w:rPr>
        <w:t>Neglect behavior</w:t>
      </w:r>
      <w:r>
        <w:rPr>
          <w:rFonts w:hint="default" w:ascii="Times New Roman" w:hAnsi="Times New Roman" w:cs="Times New Roman"/>
          <w:color w:val="auto"/>
          <w:kern w:val="0"/>
          <w:sz w:val="21"/>
          <w:szCs w:val="21"/>
          <w:highlight w:val="none"/>
          <w:lang w:val="en-US" w:eastAsia="zh-CN"/>
        </w:rPr>
        <w:t xml:space="preserve">; NJD: nurse job dissatisfaction;NMO: nurse manager overconfidence; DDC data-dirven culture; WY:Work Duration (In Years); Title:nurses’ personal </w:t>
      </w:r>
      <w:r>
        <w:rPr>
          <w:rFonts w:hint="default" w:ascii="Times New Roman" w:hAnsi="Times New Roman" w:cs="Times New Roman"/>
          <w:color w:val="auto"/>
          <w:sz w:val="21"/>
          <w:szCs w:val="21"/>
          <w:highlight w:val="none"/>
          <w:lang w:val="en-US" w:eastAsia="zh-CN"/>
        </w:rPr>
        <w:t>t</w:t>
      </w:r>
      <w:r>
        <w:rPr>
          <w:rFonts w:hint="default" w:ascii="Times New Roman" w:hAnsi="Times New Roman" w:cs="Times New Roman"/>
          <w:color w:val="auto"/>
          <w:sz w:val="21"/>
          <w:szCs w:val="21"/>
          <w:highlight w:val="none"/>
        </w:rPr>
        <w:t>itle</w:t>
      </w:r>
      <w:r>
        <w:rPr>
          <w:rFonts w:hint="default" w:ascii="Times New Roman" w:hAnsi="Times New Roman" w:cs="Times New Roman"/>
          <w:color w:val="auto"/>
          <w:kern w:val="0"/>
          <w:sz w:val="21"/>
          <w:szCs w:val="21"/>
          <w:highlight w:val="none"/>
          <w:lang w:val="en-US" w:eastAsia="zh-CN"/>
        </w:rPr>
        <w:t xml:space="preserve">; Rank:nurses’ ranking; Posit: nurses’ postion; UE: Unit Establishment, which is the form of employing employees, so-called the form of contract signed by the unit; Salary: nurses’ </w:t>
      </w:r>
      <w:r>
        <w:rPr>
          <w:rFonts w:hint="default" w:ascii="Times New Roman" w:hAnsi="Times New Roman" w:cs="Times New Roman"/>
          <w:color w:val="auto"/>
          <w:sz w:val="21"/>
          <w:szCs w:val="21"/>
          <w:highlight w:val="none"/>
          <w:lang w:val="en-US" w:eastAsia="zh-CN"/>
        </w:rPr>
        <w:t>s</w:t>
      </w:r>
      <w:r>
        <w:rPr>
          <w:rFonts w:hint="default" w:ascii="Times New Roman" w:hAnsi="Times New Roman" w:cs="Times New Roman"/>
          <w:color w:val="auto"/>
          <w:sz w:val="21"/>
          <w:szCs w:val="21"/>
          <w:highlight w:val="none"/>
        </w:rPr>
        <w:t xml:space="preserve">alary </w:t>
      </w:r>
      <w:r>
        <w:rPr>
          <w:rFonts w:hint="default" w:ascii="Times New Roman" w:hAnsi="Times New Roman" w:cs="Times New Roman"/>
          <w:color w:val="auto"/>
          <w:sz w:val="21"/>
          <w:szCs w:val="21"/>
          <w:highlight w:val="none"/>
          <w:lang w:val="en-US" w:eastAsia="zh-CN"/>
        </w:rPr>
        <w:t>l</w:t>
      </w:r>
      <w:r>
        <w:rPr>
          <w:rFonts w:hint="default" w:ascii="Times New Roman" w:hAnsi="Times New Roman" w:cs="Times New Roman"/>
          <w:color w:val="auto"/>
          <w:sz w:val="21"/>
          <w:szCs w:val="21"/>
          <w:highlight w:val="none"/>
        </w:rPr>
        <w:t>evel</w:t>
      </w:r>
      <w:r>
        <w:rPr>
          <w:rFonts w:hint="default" w:ascii="Times New Roman" w:hAnsi="Times New Roman" w:cs="Times New Roman"/>
          <w:color w:val="auto"/>
          <w:kern w:val="0"/>
          <w:sz w:val="21"/>
          <w:szCs w:val="21"/>
          <w:highlight w:val="none"/>
          <w:lang w:val="en-US" w:eastAsia="zh-CN"/>
        </w:rPr>
        <w:t>; Sec:section,which is department where the nurse works.</w:t>
      </w:r>
    </w:p>
    <w:p w14:paraId="200452A9">
      <w:pPr>
        <w:autoSpaceDE w:val="0"/>
        <w:autoSpaceDN w:val="0"/>
        <w:adjustRightInd w:val="0"/>
        <w:spacing w:line="240" w:lineRule="auto"/>
        <w:rPr>
          <w:rFonts w:hint="default" w:ascii="Times New Roman" w:hAnsi="Times New Roman" w:cs="Times New Roman"/>
          <w:color w:val="auto"/>
          <w:kern w:val="0"/>
          <w:sz w:val="21"/>
          <w:szCs w:val="21"/>
          <w:highlight w:val="none"/>
          <w:lang w:val="en-US" w:eastAsia="zh-CN"/>
        </w:rPr>
      </w:pPr>
    </w:p>
    <w:p w14:paraId="660708EB">
      <w:pPr>
        <w:keepNext w:val="0"/>
        <w:keepLines w:val="0"/>
        <w:pageBreakBefore w:val="0"/>
        <w:widowControl w:val="0"/>
        <w:kinsoku/>
        <w:wordWrap/>
        <w:overflowPunct/>
        <w:topLinePunct w:val="0"/>
        <w:autoSpaceDE w:val="0"/>
        <w:autoSpaceDN w:val="0"/>
        <w:bidi w:val="0"/>
        <w:adjustRightInd w:val="0"/>
        <w:snapToGrid/>
        <w:spacing w:line="240" w:lineRule="auto"/>
        <w:textAlignment w:val="auto"/>
        <w:rPr>
          <w:rFonts w:hint="default" w:ascii="Times New Roman" w:hAnsi="Times New Roman" w:cs="Times New Roman"/>
          <w:b/>
          <w:color w:val="auto"/>
          <w:kern w:val="0"/>
          <w:sz w:val="21"/>
          <w:szCs w:val="21"/>
          <w:highlight w:val="none"/>
        </w:rPr>
      </w:pPr>
      <w:r>
        <w:rPr>
          <w:rFonts w:hint="default" w:ascii="Times New Roman" w:hAnsi="Times New Roman" w:cs="Times New Roman"/>
          <w:b/>
          <w:color w:val="auto"/>
          <w:kern w:val="0"/>
          <w:sz w:val="21"/>
          <w:szCs w:val="21"/>
          <w:highlight w:val="none"/>
          <w:lang w:val="en-US" w:eastAsia="zh-CN"/>
        </w:rPr>
        <w:t>Appendix</w:t>
      </w:r>
      <w:r>
        <w:rPr>
          <w:rFonts w:hint="default" w:ascii="Times New Roman" w:hAnsi="Times New Roman" w:cs="Times New Roman"/>
          <w:b/>
          <w:color w:val="auto"/>
          <w:kern w:val="0"/>
          <w:sz w:val="21"/>
          <w:szCs w:val="21"/>
          <w:highlight w:val="none"/>
        </w:rPr>
        <w:t xml:space="preserve"> 7 </w:t>
      </w:r>
      <w:r>
        <w:rPr>
          <w:rFonts w:hint="default" w:ascii="Times New Roman" w:hAnsi="Times New Roman" w:cs="Times New Roman"/>
          <w:color w:val="auto"/>
          <w:sz w:val="21"/>
          <w:szCs w:val="21"/>
          <w:highlight w:val="none"/>
        </w:rPr>
        <w:t>Descriptive statistics and reliability checks</w:t>
      </w:r>
    </w:p>
    <w:tbl>
      <w:tblPr>
        <w:tblStyle w:val="5"/>
        <w:tblW w:w="4998" w:type="pct"/>
        <w:jc w:val="center"/>
        <w:tblBorders>
          <w:top w:val="single" w:color="000000" w:sz="0" w:space="0"/>
          <w:left w:val="none" w:color="000000" w:sz="0" w:space="0"/>
          <w:bottom w:val="single" w:color="000000" w:sz="0" w:space="0"/>
          <w:right w:val="none" w:color="000000" w:sz="0" w:space="0"/>
          <w:insideH w:val="none" w:color="000000" w:sz="0" w:space="0"/>
          <w:insideV w:val="none" w:color="000000" w:sz="0" w:space="0"/>
        </w:tblBorders>
        <w:tblLayout w:type="autofit"/>
        <w:tblCellMar>
          <w:top w:w="0" w:type="dxa"/>
          <w:left w:w="108" w:type="dxa"/>
          <w:bottom w:w="0" w:type="dxa"/>
          <w:right w:w="108" w:type="dxa"/>
        </w:tblCellMar>
      </w:tblPr>
      <w:tblGrid>
        <w:gridCol w:w="1182"/>
        <w:gridCol w:w="746"/>
        <w:gridCol w:w="939"/>
        <w:gridCol w:w="937"/>
        <w:gridCol w:w="937"/>
        <w:gridCol w:w="1068"/>
        <w:gridCol w:w="998"/>
        <w:gridCol w:w="1712"/>
      </w:tblGrid>
      <w:tr w14:paraId="3F144AD5">
        <w:tblPrEx>
          <w:tblBorders>
            <w:top w:val="single" w:color="000000" w:sz="0" w:space="0"/>
            <w:left w:val="none" w:color="000000" w:sz="0" w:space="0"/>
            <w:bottom w:val="singl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jc w:val="center"/>
        </w:trPr>
        <w:tc>
          <w:tcPr>
            <w:tcW w:w="694" w:type="pct"/>
            <w:tcBorders>
              <w:bottom w:val="single" w:color="000000" w:sz="0" w:space="0"/>
            </w:tcBorders>
            <w:noWrap w:val="0"/>
            <w:vAlign w:val="center"/>
          </w:tcPr>
          <w:p w14:paraId="49130616">
            <w:pPr>
              <w:spacing w:line="240" w:lineRule="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VarName</w:t>
            </w:r>
          </w:p>
        </w:tc>
        <w:tc>
          <w:tcPr>
            <w:tcW w:w="438" w:type="pct"/>
            <w:tcBorders>
              <w:bottom w:val="single" w:color="000000" w:sz="0" w:space="0"/>
            </w:tcBorders>
            <w:noWrap w:val="0"/>
            <w:vAlign w:val="center"/>
          </w:tcPr>
          <w:p w14:paraId="495EA74D">
            <w:pPr>
              <w:spacing w:line="240" w:lineRule="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Obs</w:t>
            </w:r>
          </w:p>
        </w:tc>
        <w:tc>
          <w:tcPr>
            <w:tcW w:w="551" w:type="pct"/>
            <w:tcBorders>
              <w:bottom w:val="single" w:color="000000" w:sz="0" w:space="0"/>
            </w:tcBorders>
            <w:noWrap w:val="0"/>
            <w:vAlign w:val="center"/>
          </w:tcPr>
          <w:p w14:paraId="2BEC2B67">
            <w:pPr>
              <w:spacing w:line="240" w:lineRule="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Mean</w:t>
            </w:r>
          </w:p>
        </w:tc>
        <w:tc>
          <w:tcPr>
            <w:tcW w:w="550" w:type="pct"/>
            <w:tcBorders>
              <w:bottom w:val="single" w:color="000000" w:sz="0" w:space="0"/>
            </w:tcBorders>
            <w:noWrap w:val="0"/>
            <w:vAlign w:val="center"/>
          </w:tcPr>
          <w:p w14:paraId="6FA0BC5C">
            <w:pPr>
              <w:spacing w:line="240" w:lineRule="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SD</w:t>
            </w:r>
          </w:p>
        </w:tc>
        <w:tc>
          <w:tcPr>
            <w:tcW w:w="550" w:type="pct"/>
            <w:tcBorders>
              <w:bottom w:val="single" w:color="000000" w:sz="0" w:space="0"/>
            </w:tcBorders>
            <w:noWrap w:val="0"/>
            <w:vAlign w:val="center"/>
          </w:tcPr>
          <w:p w14:paraId="3A6D9290">
            <w:pPr>
              <w:spacing w:line="240" w:lineRule="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Min</w:t>
            </w:r>
          </w:p>
        </w:tc>
        <w:tc>
          <w:tcPr>
            <w:tcW w:w="627" w:type="pct"/>
            <w:tcBorders>
              <w:bottom w:val="single" w:color="000000" w:sz="0" w:space="0"/>
            </w:tcBorders>
            <w:noWrap w:val="0"/>
            <w:vAlign w:val="center"/>
          </w:tcPr>
          <w:p w14:paraId="3EDEC959">
            <w:pPr>
              <w:spacing w:line="240" w:lineRule="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Median</w:t>
            </w:r>
          </w:p>
        </w:tc>
        <w:tc>
          <w:tcPr>
            <w:tcW w:w="586" w:type="pct"/>
            <w:tcBorders>
              <w:bottom w:val="single" w:color="000000" w:sz="0" w:space="0"/>
            </w:tcBorders>
            <w:noWrap w:val="0"/>
            <w:vAlign w:val="center"/>
          </w:tcPr>
          <w:p w14:paraId="1F41CF1F">
            <w:pPr>
              <w:spacing w:line="240" w:lineRule="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Max</w:t>
            </w:r>
          </w:p>
        </w:tc>
        <w:tc>
          <w:tcPr>
            <w:tcW w:w="1004" w:type="pct"/>
            <w:tcBorders>
              <w:bottom w:val="single" w:color="000000" w:sz="0" w:space="0"/>
            </w:tcBorders>
            <w:noWrap w:val="0"/>
            <w:vAlign w:val="center"/>
          </w:tcPr>
          <w:p w14:paraId="00C2758C">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(Cronbach's Alpha)</w:t>
            </w:r>
          </w:p>
        </w:tc>
      </w:tr>
      <w:tr w14:paraId="08A9FF3B">
        <w:tblPrEx>
          <w:tblBorders>
            <w:top w:val="single" w:color="000000" w:sz="0" w:space="0"/>
            <w:left w:val="none" w:color="000000" w:sz="0" w:space="0"/>
            <w:bottom w:val="singl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jc w:val="center"/>
        </w:trPr>
        <w:tc>
          <w:tcPr>
            <w:tcW w:w="694" w:type="pct"/>
            <w:tcBorders>
              <w:top w:val="single" w:color="000000" w:sz="0" w:space="0"/>
            </w:tcBorders>
            <w:noWrap w:val="0"/>
            <w:vAlign w:val="center"/>
          </w:tcPr>
          <w:p w14:paraId="534AA679">
            <w:pPr>
              <w:spacing w:line="240" w:lineRule="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Exit</w:t>
            </w:r>
          </w:p>
        </w:tc>
        <w:tc>
          <w:tcPr>
            <w:tcW w:w="438" w:type="pct"/>
            <w:tcBorders>
              <w:top w:val="single" w:color="000000" w:sz="0" w:space="0"/>
            </w:tcBorders>
            <w:noWrap w:val="0"/>
            <w:vAlign w:val="center"/>
          </w:tcPr>
          <w:p w14:paraId="4331250E">
            <w:pPr>
              <w:spacing w:line="240" w:lineRule="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1132</w:t>
            </w:r>
          </w:p>
        </w:tc>
        <w:tc>
          <w:tcPr>
            <w:tcW w:w="551" w:type="pct"/>
            <w:tcBorders>
              <w:top w:val="single" w:color="000000" w:sz="0" w:space="0"/>
            </w:tcBorders>
            <w:noWrap w:val="0"/>
            <w:vAlign w:val="center"/>
          </w:tcPr>
          <w:p w14:paraId="7CF7F683">
            <w:pPr>
              <w:spacing w:line="240" w:lineRule="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3.4117</w:t>
            </w:r>
          </w:p>
        </w:tc>
        <w:tc>
          <w:tcPr>
            <w:tcW w:w="550" w:type="pct"/>
            <w:tcBorders>
              <w:top w:val="single" w:color="000000" w:sz="0" w:space="0"/>
            </w:tcBorders>
            <w:noWrap w:val="0"/>
            <w:vAlign w:val="center"/>
          </w:tcPr>
          <w:p w14:paraId="75F4ACD7">
            <w:pPr>
              <w:spacing w:line="240" w:lineRule="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1.2555</w:t>
            </w:r>
          </w:p>
        </w:tc>
        <w:tc>
          <w:tcPr>
            <w:tcW w:w="550" w:type="pct"/>
            <w:tcBorders>
              <w:top w:val="single" w:color="000000" w:sz="0" w:space="0"/>
            </w:tcBorders>
            <w:noWrap w:val="0"/>
            <w:vAlign w:val="center"/>
          </w:tcPr>
          <w:p w14:paraId="0CF50700">
            <w:pPr>
              <w:spacing w:line="240" w:lineRule="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0.9999</w:t>
            </w:r>
          </w:p>
        </w:tc>
        <w:tc>
          <w:tcPr>
            <w:tcW w:w="627" w:type="pct"/>
            <w:tcBorders>
              <w:top w:val="single" w:color="000000" w:sz="0" w:space="0"/>
            </w:tcBorders>
            <w:noWrap w:val="0"/>
            <w:vAlign w:val="center"/>
          </w:tcPr>
          <w:p w14:paraId="684DB028">
            <w:pPr>
              <w:spacing w:line="240" w:lineRule="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3.2331</w:t>
            </w:r>
          </w:p>
        </w:tc>
        <w:tc>
          <w:tcPr>
            <w:tcW w:w="586" w:type="pct"/>
            <w:tcBorders>
              <w:top w:val="single" w:color="000000" w:sz="0" w:space="0"/>
            </w:tcBorders>
            <w:noWrap w:val="0"/>
            <w:vAlign w:val="center"/>
          </w:tcPr>
          <w:p w14:paraId="3B9B0980">
            <w:pPr>
              <w:spacing w:line="240" w:lineRule="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4.9995</w:t>
            </w:r>
          </w:p>
        </w:tc>
        <w:tc>
          <w:tcPr>
            <w:tcW w:w="1004" w:type="pct"/>
            <w:tcBorders>
              <w:top w:val="single" w:color="000000" w:sz="0" w:space="0"/>
            </w:tcBorders>
            <w:noWrap w:val="0"/>
            <w:vAlign w:val="center"/>
          </w:tcPr>
          <w:p w14:paraId="075A03EE">
            <w:pPr>
              <w:spacing w:line="240" w:lineRule="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0.974</w:t>
            </w:r>
          </w:p>
        </w:tc>
      </w:tr>
      <w:tr w14:paraId="1D31FF65">
        <w:tblPrEx>
          <w:tblBorders>
            <w:top w:val="single" w:color="000000" w:sz="0" w:space="0"/>
            <w:left w:val="none" w:color="000000" w:sz="0" w:space="0"/>
            <w:bottom w:val="singl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jc w:val="center"/>
        </w:trPr>
        <w:tc>
          <w:tcPr>
            <w:tcW w:w="694" w:type="pct"/>
            <w:noWrap w:val="0"/>
            <w:vAlign w:val="center"/>
          </w:tcPr>
          <w:p w14:paraId="53635A28">
            <w:pPr>
              <w:spacing w:line="240" w:lineRule="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Voice</w:t>
            </w:r>
          </w:p>
        </w:tc>
        <w:tc>
          <w:tcPr>
            <w:tcW w:w="438" w:type="pct"/>
            <w:noWrap w:val="0"/>
            <w:vAlign w:val="center"/>
          </w:tcPr>
          <w:p w14:paraId="2A91DDF8">
            <w:pPr>
              <w:spacing w:line="240" w:lineRule="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1132</w:t>
            </w:r>
          </w:p>
        </w:tc>
        <w:tc>
          <w:tcPr>
            <w:tcW w:w="551" w:type="pct"/>
            <w:noWrap w:val="0"/>
            <w:vAlign w:val="center"/>
          </w:tcPr>
          <w:p w14:paraId="2DD4D21C">
            <w:pPr>
              <w:spacing w:line="240" w:lineRule="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4.0576</w:t>
            </w:r>
          </w:p>
        </w:tc>
        <w:tc>
          <w:tcPr>
            <w:tcW w:w="550" w:type="pct"/>
            <w:noWrap w:val="0"/>
            <w:vAlign w:val="center"/>
          </w:tcPr>
          <w:p w14:paraId="179F1E39">
            <w:pPr>
              <w:spacing w:line="240" w:lineRule="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0.4331</w:t>
            </w:r>
          </w:p>
        </w:tc>
        <w:tc>
          <w:tcPr>
            <w:tcW w:w="550" w:type="pct"/>
            <w:noWrap w:val="0"/>
            <w:vAlign w:val="center"/>
          </w:tcPr>
          <w:p w14:paraId="476B4951">
            <w:pPr>
              <w:spacing w:line="240" w:lineRule="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3.2638</w:t>
            </w:r>
          </w:p>
        </w:tc>
        <w:tc>
          <w:tcPr>
            <w:tcW w:w="627" w:type="pct"/>
            <w:noWrap w:val="0"/>
            <w:vAlign w:val="center"/>
          </w:tcPr>
          <w:p w14:paraId="6D05D7B1">
            <w:pPr>
              <w:spacing w:line="240" w:lineRule="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4.0000</w:t>
            </w:r>
          </w:p>
        </w:tc>
        <w:tc>
          <w:tcPr>
            <w:tcW w:w="586" w:type="pct"/>
            <w:noWrap w:val="0"/>
            <w:vAlign w:val="center"/>
          </w:tcPr>
          <w:p w14:paraId="1FD85DFC">
            <w:pPr>
              <w:spacing w:line="240" w:lineRule="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5.0000</w:t>
            </w:r>
          </w:p>
        </w:tc>
        <w:tc>
          <w:tcPr>
            <w:tcW w:w="1004" w:type="pct"/>
            <w:noWrap w:val="0"/>
            <w:vAlign w:val="center"/>
          </w:tcPr>
          <w:p w14:paraId="2B1C5CEE">
            <w:pPr>
              <w:spacing w:line="240" w:lineRule="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0.955</w:t>
            </w:r>
          </w:p>
        </w:tc>
      </w:tr>
      <w:tr w14:paraId="38307FEA">
        <w:tblPrEx>
          <w:tblBorders>
            <w:top w:val="single" w:color="000000" w:sz="0" w:space="0"/>
            <w:left w:val="none" w:color="000000" w:sz="0" w:space="0"/>
            <w:bottom w:val="singl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jc w:val="center"/>
        </w:trPr>
        <w:tc>
          <w:tcPr>
            <w:tcW w:w="694" w:type="pct"/>
            <w:noWrap w:val="0"/>
            <w:vAlign w:val="center"/>
          </w:tcPr>
          <w:p w14:paraId="13E08FDE">
            <w:pPr>
              <w:spacing w:line="240" w:lineRule="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Loyalty</w:t>
            </w:r>
          </w:p>
        </w:tc>
        <w:tc>
          <w:tcPr>
            <w:tcW w:w="438" w:type="pct"/>
            <w:noWrap w:val="0"/>
            <w:vAlign w:val="center"/>
          </w:tcPr>
          <w:p w14:paraId="798430D6">
            <w:pPr>
              <w:spacing w:line="240" w:lineRule="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1132</w:t>
            </w:r>
          </w:p>
        </w:tc>
        <w:tc>
          <w:tcPr>
            <w:tcW w:w="551" w:type="pct"/>
            <w:noWrap w:val="0"/>
            <w:vAlign w:val="center"/>
          </w:tcPr>
          <w:p w14:paraId="10E77E29">
            <w:pPr>
              <w:spacing w:line="240" w:lineRule="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4.4989</w:t>
            </w:r>
          </w:p>
        </w:tc>
        <w:tc>
          <w:tcPr>
            <w:tcW w:w="550" w:type="pct"/>
            <w:noWrap w:val="0"/>
            <w:vAlign w:val="center"/>
          </w:tcPr>
          <w:p w14:paraId="6E570A2D">
            <w:pPr>
              <w:spacing w:line="240" w:lineRule="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0.2823</w:t>
            </w:r>
          </w:p>
        </w:tc>
        <w:tc>
          <w:tcPr>
            <w:tcW w:w="550" w:type="pct"/>
            <w:noWrap w:val="0"/>
            <w:vAlign w:val="center"/>
          </w:tcPr>
          <w:p w14:paraId="5C63EF0F">
            <w:pPr>
              <w:spacing w:line="240" w:lineRule="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3.9920</w:t>
            </w:r>
          </w:p>
        </w:tc>
        <w:tc>
          <w:tcPr>
            <w:tcW w:w="627" w:type="pct"/>
            <w:noWrap w:val="0"/>
            <w:vAlign w:val="center"/>
          </w:tcPr>
          <w:p w14:paraId="327F53CE">
            <w:pPr>
              <w:spacing w:line="240" w:lineRule="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4.4996</w:t>
            </w:r>
          </w:p>
        </w:tc>
        <w:tc>
          <w:tcPr>
            <w:tcW w:w="586" w:type="pct"/>
            <w:noWrap w:val="0"/>
            <w:vAlign w:val="center"/>
          </w:tcPr>
          <w:p w14:paraId="7D8FB8B1">
            <w:pPr>
              <w:spacing w:line="240" w:lineRule="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5.0000</w:t>
            </w:r>
          </w:p>
        </w:tc>
        <w:tc>
          <w:tcPr>
            <w:tcW w:w="1004" w:type="pct"/>
            <w:noWrap w:val="0"/>
            <w:vAlign w:val="center"/>
          </w:tcPr>
          <w:p w14:paraId="6C240CF6">
            <w:pPr>
              <w:spacing w:line="240" w:lineRule="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0.959</w:t>
            </w:r>
          </w:p>
        </w:tc>
      </w:tr>
      <w:tr w14:paraId="7A380653">
        <w:tblPrEx>
          <w:tblBorders>
            <w:top w:val="single" w:color="000000" w:sz="0" w:space="0"/>
            <w:left w:val="none" w:color="000000" w:sz="0" w:space="0"/>
            <w:bottom w:val="singl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jc w:val="center"/>
        </w:trPr>
        <w:tc>
          <w:tcPr>
            <w:tcW w:w="694" w:type="pct"/>
            <w:noWrap w:val="0"/>
            <w:vAlign w:val="center"/>
          </w:tcPr>
          <w:p w14:paraId="5B57BD86">
            <w:pPr>
              <w:spacing w:line="240" w:lineRule="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Neglect</w:t>
            </w:r>
          </w:p>
        </w:tc>
        <w:tc>
          <w:tcPr>
            <w:tcW w:w="438" w:type="pct"/>
            <w:noWrap w:val="0"/>
            <w:vAlign w:val="center"/>
          </w:tcPr>
          <w:p w14:paraId="083AB6C8">
            <w:pPr>
              <w:spacing w:line="240" w:lineRule="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1132</w:t>
            </w:r>
          </w:p>
        </w:tc>
        <w:tc>
          <w:tcPr>
            <w:tcW w:w="551" w:type="pct"/>
            <w:noWrap w:val="0"/>
            <w:vAlign w:val="center"/>
          </w:tcPr>
          <w:p w14:paraId="226E0D6A">
            <w:pPr>
              <w:spacing w:line="240" w:lineRule="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3.6724</w:t>
            </w:r>
          </w:p>
        </w:tc>
        <w:tc>
          <w:tcPr>
            <w:tcW w:w="550" w:type="pct"/>
            <w:noWrap w:val="0"/>
            <w:vAlign w:val="center"/>
          </w:tcPr>
          <w:p w14:paraId="593048A9">
            <w:pPr>
              <w:spacing w:line="240" w:lineRule="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1.3023</w:t>
            </w:r>
          </w:p>
        </w:tc>
        <w:tc>
          <w:tcPr>
            <w:tcW w:w="550" w:type="pct"/>
            <w:noWrap w:val="0"/>
            <w:vAlign w:val="center"/>
          </w:tcPr>
          <w:p w14:paraId="7D2EE320">
            <w:pPr>
              <w:spacing w:line="240" w:lineRule="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1.0000</w:t>
            </w:r>
          </w:p>
        </w:tc>
        <w:tc>
          <w:tcPr>
            <w:tcW w:w="627" w:type="pct"/>
            <w:noWrap w:val="0"/>
            <w:vAlign w:val="center"/>
          </w:tcPr>
          <w:p w14:paraId="1E2EEA17">
            <w:pPr>
              <w:spacing w:line="240" w:lineRule="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4.0000</w:t>
            </w:r>
          </w:p>
        </w:tc>
        <w:tc>
          <w:tcPr>
            <w:tcW w:w="586" w:type="pct"/>
            <w:noWrap w:val="0"/>
            <w:vAlign w:val="center"/>
          </w:tcPr>
          <w:p w14:paraId="19000F9A">
            <w:pPr>
              <w:spacing w:line="240" w:lineRule="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5.0000</w:t>
            </w:r>
          </w:p>
        </w:tc>
        <w:tc>
          <w:tcPr>
            <w:tcW w:w="1004" w:type="pct"/>
            <w:noWrap w:val="0"/>
            <w:vAlign w:val="center"/>
          </w:tcPr>
          <w:p w14:paraId="4D9313B2">
            <w:pPr>
              <w:spacing w:line="240" w:lineRule="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0.973</w:t>
            </w:r>
          </w:p>
        </w:tc>
      </w:tr>
      <w:tr w14:paraId="17A0224A">
        <w:tblPrEx>
          <w:tblBorders>
            <w:top w:val="single" w:color="000000" w:sz="0" w:space="0"/>
            <w:left w:val="none" w:color="000000" w:sz="0" w:space="0"/>
            <w:bottom w:val="singl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jc w:val="center"/>
        </w:trPr>
        <w:tc>
          <w:tcPr>
            <w:tcW w:w="694" w:type="pct"/>
            <w:noWrap w:val="0"/>
            <w:vAlign w:val="center"/>
          </w:tcPr>
          <w:p w14:paraId="192B84A4">
            <w:pPr>
              <w:spacing w:line="240" w:lineRule="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INJD</w:t>
            </w:r>
          </w:p>
        </w:tc>
        <w:tc>
          <w:tcPr>
            <w:tcW w:w="438" w:type="pct"/>
            <w:noWrap w:val="0"/>
            <w:vAlign w:val="center"/>
          </w:tcPr>
          <w:p w14:paraId="6E3B29F9">
            <w:pPr>
              <w:spacing w:line="240" w:lineRule="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1132</w:t>
            </w:r>
          </w:p>
        </w:tc>
        <w:tc>
          <w:tcPr>
            <w:tcW w:w="551" w:type="pct"/>
            <w:noWrap w:val="0"/>
            <w:vAlign w:val="center"/>
          </w:tcPr>
          <w:p w14:paraId="09B54A3D">
            <w:pPr>
              <w:spacing w:line="240" w:lineRule="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1.4234</w:t>
            </w:r>
          </w:p>
        </w:tc>
        <w:tc>
          <w:tcPr>
            <w:tcW w:w="550" w:type="pct"/>
            <w:noWrap w:val="0"/>
            <w:vAlign w:val="center"/>
          </w:tcPr>
          <w:p w14:paraId="222A24EA">
            <w:pPr>
              <w:spacing w:line="240" w:lineRule="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0.5845</w:t>
            </w:r>
          </w:p>
        </w:tc>
        <w:tc>
          <w:tcPr>
            <w:tcW w:w="550" w:type="pct"/>
            <w:noWrap w:val="0"/>
            <w:vAlign w:val="center"/>
          </w:tcPr>
          <w:p w14:paraId="24F883D8">
            <w:pPr>
              <w:spacing w:line="240" w:lineRule="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0.5472</w:t>
            </w:r>
          </w:p>
        </w:tc>
        <w:tc>
          <w:tcPr>
            <w:tcW w:w="627" w:type="pct"/>
            <w:noWrap w:val="0"/>
            <w:vAlign w:val="center"/>
          </w:tcPr>
          <w:p w14:paraId="001D5A94">
            <w:pPr>
              <w:spacing w:line="240" w:lineRule="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1.6416</w:t>
            </w:r>
          </w:p>
        </w:tc>
        <w:tc>
          <w:tcPr>
            <w:tcW w:w="586" w:type="pct"/>
            <w:noWrap w:val="0"/>
            <w:vAlign w:val="center"/>
          </w:tcPr>
          <w:p w14:paraId="0C16C689">
            <w:pPr>
              <w:spacing w:line="240" w:lineRule="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2.7360</w:t>
            </w:r>
          </w:p>
        </w:tc>
        <w:tc>
          <w:tcPr>
            <w:tcW w:w="1004" w:type="pct"/>
            <w:noWrap w:val="0"/>
            <w:vAlign w:val="center"/>
          </w:tcPr>
          <w:p w14:paraId="7BD434C3">
            <w:pPr>
              <w:spacing w:line="240" w:lineRule="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0.957</w:t>
            </w:r>
          </w:p>
        </w:tc>
      </w:tr>
      <w:tr w14:paraId="215097A2">
        <w:tblPrEx>
          <w:tblBorders>
            <w:top w:val="single" w:color="000000" w:sz="0" w:space="0"/>
            <w:left w:val="none" w:color="000000" w:sz="0" w:space="0"/>
            <w:bottom w:val="singl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jc w:val="center"/>
        </w:trPr>
        <w:tc>
          <w:tcPr>
            <w:tcW w:w="694" w:type="pct"/>
            <w:noWrap w:val="0"/>
            <w:vAlign w:val="center"/>
          </w:tcPr>
          <w:p w14:paraId="006341F6">
            <w:pPr>
              <w:spacing w:line="240" w:lineRule="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ENJD</w:t>
            </w:r>
          </w:p>
        </w:tc>
        <w:tc>
          <w:tcPr>
            <w:tcW w:w="438" w:type="pct"/>
            <w:noWrap w:val="0"/>
            <w:vAlign w:val="center"/>
          </w:tcPr>
          <w:p w14:paraId="7B0046D2">
            <w:pPr>
              <w:spacing w:line="240" w:lineRule="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1132</w:t>
            </w:r>
          </w:p>
        </w:tc>
        <w:tc>
          <w:tcPr>
            <w:tcW w:w="551" w:type="pct"/>
            <w:noWrap w:val="0"/>
            <w:vAlign w:val="center"/>
          </w:tcPr>
          <w:p w14:paraId="0D956008">
            <w:pPr>
              <w:spacing w:line="240" w:lineRule="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0.9881</w:t>
            </w:r>
          </w:p>
        </w:tc>
        <w:tc>
          <w:tcPr>
            <w:tcW w:w="550" w:type="pct"/>
            <w:noWrap w:val="0"/>
            <w:vAlign w:val="center"/>
          </w:tcPr>
          <w:p w14:paraId="3FE5E90B">
            <w:pPr>
              <w:spacing w:line="240" w:lineRule="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0.4712</w:t>
            </w:r>
          </w:p>
        </w:tc>
        <w:tc>
          <w:tcPr>
            <w:tcW w:w="550" w:type="pct"/>
            <w:noWrap w:val="0"/>
            <w:vAlign w:val="center"/>
          </w:tcPr>
          <w:p w14:paraId="3306A823">
            <w:pPr>
              <w:spacing w:line="240" w:lineRule="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0.4528</w:t>
            </w:r>
          </w:p>
        </w:tc>
        <w:tc>
          <w:tcPr>
            <w:tcW w:w="627" w:type="pct"/>
            <w:noWrap w:val="0"/>
            <w:vAlign w:val="center"/>
          </w:tcPr>
          <w:p w14:paraId="002F3F1F">
            <w:pPr>
              <w:spacing w:line="240" w:lineRule="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0.9056</w:t>
            </w:r>
          </w:p>
        </w:tc>
        <w:tc>
          <w:tcPr>
            <w:tcW w:w="586" w:type="pct"/>
            <w:noWrap w:val="0"/>
            <w:vAlign w:val="center"/>
          </w:tcPr>
          <w:p w14:paraId="29C02F55">
            <w:pPr>
              <w:spacing w:line="240" w:lineRule="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2.2640</w:t>
            </w:r>
          </w:p>
        </w:tc>
        <w:tc>
          <w:tcPr>
            <w:tcW w:w="1004" w:type="pct"/>
            <w:noWrap w:val="0"/>
            <w:vAlign w:val="center"/>
          </w:tcPr>
          <w:p w14:paraId="047A29B9">
            <w:pPr>
              <w:spacing w:line="240" w:lineRule="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0.923</w:t>
            </w:r>
          </w:p>
        </w:tc>
      </w:tr>
    </w:tbl>
    <w:p w14:paraId="5495A68D">
      <w:pPr>
        <w:autoSpaceDE w:val="0"/>
        <w:autoSpaceDN w:val="0"/>
        <w:adjustRightInd w:val="0"/>
        <w:spacing w:line="240" w:lineRule="auto"/>
        <w:jc w:val="left"/>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cs="Times New Roman"/>
          <w:i/>
          <w:iCs/>
          <w:color w:val="auto"/>
          <w:kern w:val="0"/>
          <w:sz w:val="21"/>
          <w:szCs w:val="21"/>
          <w:highlight w:val="none"/>
        </w:rPr>
        <w:t>Abbreviation:</w:t>
      </w:r>
      <w:r>
        <w:rPr>
          <w:rFonts w:hint="default" w:ascii="Times New Roman" w:hAnsi="Times New Roman" w:cs="Times New Roman"/>
          <w:i/>
          <w:iCs/>
          <w:color w:val="auto"/>
          <w:kern w:val="0"/>
          <w:sz w:val="21"/>
          <w:szCs w:val="21"/>
          <w:highlight w:val="none"/>
          <w:lang w:val="en-US" w:eastAsia="zh-CN"/>
        </w:rPr>
        <w:t xml:space="preserve"> </w:t>
      </w:r>
      <w:r>
        <w:rPr>
          <w:rFonts w:hint="default" w:ascii="Times New Roman" w:hAnsi="Times New Roman" w:cs="Times New Roman"/>
          <w:color w:val="auto"/>
          <w:kern w:val="0"/>
          <w:sz w:val="21"/>
          <w:szCs w:val="21"/>
          <w:highlight w:val="none"/>
          <w:lang w:val="en-US" w:eastAsia="zh-CN"/>
        </w:rPr>
        <w:t xml:space="preserve">Exit: </w:t>
      </w:r>
      <w:r>
        <w:rPr>
          <w:rFonts w:hint="default" w:ascii="Times New Roman" w:hAnsi="Times New Roman" w:cs="Times New Roman"/>
          <w:color w:val="auto"/>
          <w:kern w:val="0"/>
          <w:sz w:val="21"/>
          <w:szCs w:val="21"/>
          <w:highlight w:val="none"/>
        </w:rPr>
        <w:t>Exit behavior</w:t>
      </w:r>
      <w:r>
        <w:rPr>
          <w:rFonts w:hint="default" w:ascii="Times New Roman" w:hAnsi="Times New Roman" w:cs="Times New Roman"/>
          <w:color w:val="auto"/>
          <w:kern w:val="0"/>
          <w:sz w:val="21"/>
          <w:szCs w:val="21"/>
          <w:highlight w:val="none"/>
          <w:lang w:val="en-US" w:eastAsia="zh-CN"/>
        </w:rPr>
        <w:t xml:space="preserve">; Voice: </w:t>
      </w:r>
      <w:r>
        <w:rPr>
          <w:rFonts w:hint="default" w:ascii="Times New Roman" w:hAnsi="Times New Roman" w:cs="Times New Roman"/>
          <w:color w:val="auto"/>
          <w:kern w:val="0"/>
          <w:sz w:val="21"/>
          <w:szCs w:val="21"/>
          <w:highlight w:val="none"/>
        </w:rPr>
        <w:t>Voice behavior</w:t>
      </w:r>
      <w:r>
        <w:rPr>
          <w:rFonts w:hint="default" w:ascii="Times New Roman" w:hAnsi="Times New Roman" w:cs="Times New Roman"/>
          <w:color w:val="auto"/>
          <w:kern w:val="0"/>
          <w:sz w:val="21"/>
          <w:szCs w:val="21"/>
          <w:highlight w:val="none"/>
          <w:lang w:val="en-US" w:eastAsia="zh-CN"/>
        </w:rPr>
        <w:t xml:space="preserve">; Loyalty: </w:t>
      </w:r>
      <w:r>
        <w:rPr>
          <w:rFonts w:hint="default" w:ascii="Times New Roman" w:hAnsi="Times New Roman" w:cs="Times New Roman"/>
          <w:color w:val="auto"/>
          <w:kern w:val="0"/>
          <w:sz w:val="21"/>
          <w:szCs w:val="21"/>
          <w:highlight w:val="none"/>
        </w:rPr>
        <w:t>Loyalty behavior</w:t>
      </w:r>
      <w:r>
        <w:rPr>
          <w:rFonts w:hint="default" w:ascii="Times New Roman" w:hAnsi="Times New Roman" w:cs="Times New Roman"/>
          <w:color w:val="auto"/>
          <w:kern w:val="0"/>
          <w:sz w:val="21"/>
          <w:szCs w:val="21"/>
          <w:highlight w:val="none"/>
          <w:lang w:val="en-US" w:eastAsia="zh-CN"/>
        </w:rPr>
        <w:t xml:space="preserve">; Neglect: </w:t>
      </w:r>
      <w:r>
        <w:rPr>
          <w:rFonts w:hint="default" w:ascii="Times New Roman" w:hAnsi="Times New Roman" w:cs="Times New Roman"/>
          <w:color w:val="auto"/>
          <w:kern w:val="0"/>
          <w:sz w:val="21"/>
          <w:szCs w:val="21"/>
          <w:highlight w:val="none"/>
        </w:rPr>
        <w:t>Neglect behavior</w:t>
      </w:r>
      <w:r>
        <w:rPr>
          <w:rFonts w:hint="default" w:ascii="Times New Roman" w:hAnsi="Times New Roman" w:cs="Times New Roman"/>
          <w:color w:val="auto"/>
          <w:kern w:val="0"/>
          <w:sz w:val="21"/>
          <w:szCs w:val="21"/>
          <w:highlight w:val="none"/>
          <w:lang w:val="en-US" w:eastAsia="zh-CN"/>
        </w:rPr>
        <w:t xml:space="preserve">; INJD: </w:t>
      </w:r>
      <w:r>
        <w:rPr>
          <w:rFonts w:hint="default" w:ascii="Times New Roman" w:hAnsi="Times New Roman" w:cs="Times New Roman"/>
          <w:color w:val="auto"/>
          <w:kern w:val="0"/>
          <w:sz w:val="21"/>
          <w:szCs w:val="21"/>
          <w:highlight w:val="none"/>
        </w:rPr>
        <w:t>Internal nurses’ job disstisfaction</w:t>
      </w:r>
      <w:r>
        <w:rPr>
          <w:rFonts w:hint="default" w:ascii="Times New Roman" w:hAnsi="Times New Roman" w:cs="Times New Roman"/>
          <w:color w:val="auto"/>
          <w:kern w:val="0"/>
          <w:sz w:val="21"/>
          <w:szCs w:val="21"/>
          <w:highlight w:val="none"/>
          <w:lang w:val="en-US" w:eastAsia="zh-CN"/>
        </w:rPr>
        <w:t xml:space="preserve">; ENJD: </w:t>
      </w:r>
      <w:r>
        <w:rPr>
          <w:rFonts w:hint="default" w:ascii="Times New Roman" w:hAnsi="Times New Roman" w:cs="Times New Roman"/>
          <w:color w:val="auto"/>
          <w:kern w:val="0"/>
          <w:sz w:val="21"/>
          <w:szCs w:val="21"/>
          <w:highlight w:val="none"/>
        </w:rPr>
        <w:t>External nurses’ job dissatisfaction</w:t>
      </w:r>
      <w:r>
        <w:rPr>
          <w:rFonts w:hint="default" w:ascii="Times New Roman" w:hAnsi="Times New Roman" w:cs="Times New Roman"/>
          <w:color w:val="auto"/>
          <w:kern w:val="0"/>
          <w:sz w:val="21"/>
          <w:szCs w:val="21"/>
          <w:highlight w:val="none"/>
          <w:lang w:val="en-US" w:eastAsia="zh-CN"/>
        </w:rPr>
        <w:t>.</w:t>
      </w:r>
    </w:p>
    <w:p w14:paraId="6CA61004">
      <w:pPr>
        <w:rPr>
          <w:rFonts w:hint="default" w:ascii="Times New Roman" w:hAnsi="Times New Roman" w:cs="Times New Roman"/>
          <w:color w:val="auto"/>
          <w:sz w:val="21"/>
          <w:szCs w:val="21"/>
          <w:highlight w:val="none"/>
          <w:lang w:val="en-US" w:eastAsia="zh-CN"/>
        </w:rPr>
      </w:pPr>
    </w:p>
    <w:p w14:paraId="25CE19C7">
      <w:pPr>
        <w:keepNext w:val="0"/>
        <w:keepLines w:val="0"/>
        <w:pageBreakBefore w:val="0"/>
        <w:widowControl w:val="0"/>
        <w:kinsoku/>
        <w:wordWrap/>
        <w:overflowPunct/>
        <w:topLinePunct w:val="0"/>
        <w:autoSpaceDE w:val="0"/>
        <w:autoSpaceDN w:val="0"/>
        <w:bidi w:val="0"/>
        <w:adjustRightInd w:val="0"/>
        <w:snapToGrid/>
        <w:spacing w:line="240" w:lineRule="auto"/>
        <w:textAlignment w:val="auto"/>
        <w:rPr>
          <w:rFonts w:hint="default" w:ascii="Times New Roman" w:hAnsi="Times New Roman" w:cs="Times New Roman"/>
          <w:color w:val="auto"/>
          <w:kern w:val="0"/>
          <w:sz w:val="21"/>
          <w:szCs w:val="21"/>
          <w:highlight w:val="none"/>
        </w:rPr>
      </w:pPr>
      <w:r>
        <w:rPr>
          <w:rFonts w:hint="default" w:ascii="Times New Roman" w:hAnsi="Times New Roman" w:cs="Times New Roman"/>
          <w:b/>
          <w:color w:val="auto"/>
          <w:kern w:val="0"/>
          <w:sz w:val="21"/>
          <w:szCs w:val="21"/>
          <w:highlight w:val="none"/>
          <w:lang w:val="en-US" w:eastAsia="zh-CN"/>
        </w:rPr>
        <w:t>Appendix</w:t>
      </w:r>
      <w:r>
        <w:rPr>
          <w:rFonts w:hint="default" w:ascii="Times New Roman" w:hAnsi="Times New Roman" w:cs="Times New Roman"/>
          <w:b/>
          <w:color w:val="auto"/>
          <w:kern w:val="0"/>
          <w:sz w:val="21"/>
          <w:szCs w:val="21"/>
          <w:highlight w:val="none"/>
        </w:rPr>
        <w:t xml:space="preserve"> 8 </w:t>
      </w:r>
      <w:r>
        <w:rPr>
          <w:rFonts w:hint="default" w:ascii="Times New Roman" w:hAnsi="Times New Roman" w:cs="Times New Roman"/>
          <w:color w:val="auto"/>
          <w:kern w:val="0"/>
          <w:sz w:val="21"/>
          <w:szCs w:val="21"/>
          <w:highlight w:val="none"/>
        </w:rPr>
        <w:t>Exploratory factor analysis</w:t>
      </w:r>
    </w:p>
    <w:tbl>
      <w:tblPr>
        <w:tblStyle w:val="5"/>
        <w:tblW w:w="10946" w:type="dxa"/>
        <w:tblInd w:w="-136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087"/>
        <w:gridCol w:w="1007"/>
        <w:gridCol w:w="1173"/>
        <w:gridCol w:w="1108"/>
        <w:gridCol w:w="1118"/>
        <w:gridCol w:w="1053"/>
        <w:gridCol w:w="989"/>
        <w:gridCol w:w="1411"/>
      </w:tblGrid>
      <w:tr w14:paraId="3AB753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087" w:type="dxa"/>
            <w:tcBorders>
              <w:left w:val="nil"/>
              <w:bottom w:val="single" w:color="000000" w:sz="4" w:space="0"/>
              <w:right w:val="nil"/>
            </w:tcBorders>
            <w:noWrap w:val="0"/>
            <w:vAlign w:val="center"/>
          </w:tcPr>
          <w:p w14:paraId="1D64008C">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Item</w:t>
            </w:r>
          </w:p>
        </w:tc>
        <w:tc>
          <w:tcPr>
            <w:tcW w:w="1007" w:type="dxa"/>
            <w:tcBorders>
              <w:left w:val="nil"/>
              <w:bottom w:val="single" w:color="000000" w:sz="4" w:space="0"/>
              <w:right w:val="nil"/>
            </w:tcBorders>
            <w:noWrap w:val="0"/>
            <w:vAlign w:val="center"/>
          </w:tcPr>
          <w:p w14:paraId="6CD41E03">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Factor 1</w:t>
            </w:r>
          </w:p>
        </w:tc>
        <w:tc>
          <w:tcPr>
            <w:tcW w:w="1173" w:type="dxa"/>
            <w:tcBorders>
              <w:left w:val="nil"/>
              <w:bottom w:val="single" w:color="000000" w:sz="4" w:space="0"/>
              <w:right w:val="nil"/>
            </w:tcBorders>
            <w:noWrap w:val="0"/>
            <w:vAlign w:val="center"/>
          </w:tcPr>
          <w:p w14:paraId="2799E5F9">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Factor 2</w:t>
            </w:r>
          </w:p>
        </w:tc>
        <w:tc>
          <w:tcPr>
            <w:tcW w:w="1108" w:type="dxa"/>
            <w:tcBorders>
              <w:left w:val="nil"/>
              <w:bottom w:val="single" w:color="000000" w:sz="4" w:space="0"/>
              <w:right w:val="nil"/>
            </w:tcBorders>
            <w:noWrap w:val="0"/>
            <w:vAlign w:val="center"/>
          </w:tcPr>
          <w:p w14:paraId="64AB6D5D">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Factor 3</w:t>
            </w:r>
          </w:p>
        </w:tc>
        <w:tc>
          <w:tcPr>
            <w:tcW w:w="1118" w:type="dxa"/>
            <w:tcBorders>
              <w:left w:val="nil"/>
              <w:bottom w:val="single" w:color="000000" w:sz="4" w:space="0"/>
              <w:right w:val="nil"/>
            </w:tcBorders>
            <w:noWrap w:val="0"/>
            <w:vAlign w:val="center"/>
          </w:tcPr>
          <w:p w14:paraId="18FBB046">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Factor 4</w:t>
            </w:r>
          </w:p>
        </w:tc>
        <w:tc>
          <w:tcPr>
            <w:tcW w:w="1053" w:type="dxa"/>
            <w:tcBorders>
              <w:left w:val="nil"/>
              <w:bottom w:val="single" w:color="000000" w:sz="4" w:space="0"/>
              <w:right w:val="nil"/>
            </w:tcBorders>
            <w:noWrap w:val="0"/>
            <w:vAlign w:val="center"/>
          </w:tcPr>
          <w:p w14:paraId="388F4225">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Factor 5</w:t>
            </w:r>
          </w:p>
        </w:tc>
        <w:tc>
          <w:tcPr>
            <w:tcW w:w="989" w:type="dxa"/>
            <w:tcBorders>
              <w:left w:val="nil"/>
              <w:bottom w:val="single" w:color="000000" w:sz="4" w:space="0"/>
              <w:right w:val="nil"/>
            </w:tcBorders>
            <w:noWrap w:val="0"/>
            <w:vAlign w:val="center"/>
          </w:tcPr>
          <w:p w14:paraId="60ED99E0">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Factor 6</w:t>
            </w:r>
          </w:p>
        </w:tc>
        <w:tc>
          <w:tcPr>
            <w:tcW w:w="1411" w:type="dxa"/>
            <w:vMerge w:val="restart"/>
            <w:tcBorders>
              <w:left w:val="nil"/>
              <w:bottom w:val="nil"/>
              <w:right w:val="nil"/>
            </w:tcBorders>
            <w:noWrap w:val="0"/>
            <w:vAlign w:val="center"/>
          </w:tcPr>
          <w:p w14:paraId="18576751">
            <w:pPr>
              <w:autoSpaceDE w:val="0"/>
              <w:autoSpaceDN w:val="0"/>
              <w:adjustRightInd w:val="0"/>
              <w:spacing w:line="240" w:lineRule="auto"/>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Commonality</w:t>
            </w:r>
          </w:p>
          <w:p w14:paraId="487D7B4E">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 xml:space="preserve">(Common </w:t>
            </w:r>
          </w:p>
          <w:p w14:paraId="210B3FBC">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factor variance)</w:t>
            </w:r>
          </w:p>
        </w:tc>
      </w:tr>
      <w:tr w14:paraId="1E339C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087" w:type="dxa"/>
            <w:tcBorders>
              <w:top w:val="single" w:color="000000" w:sz="4" w:space="0"/>
              <w:left w:val="nil"/>
              <w:bottom w:val="single" w:color="000000" w:sz="4" w:space="0"/>
              <w:right w:val="nil"/>
            </w:tcBorders>
            <w:noWrap w:val="0"/>
            <w:vAlign w:val="center"/>
          </w:tcPr>
          <w:p w14:paraId="2F804BBF">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Dependent Variables(%)</w:t>
            </w:r>
          </w:p>
        </w:tc>
        <w:tc>
          <w:tcPr>
            <w:tcW w:w="1007" w:type="dxa"/>
            <w:tcBorders>
              <w:top w:val="single" w:color="000000" w:sz="4" w:space="0"/>
              <w:left w:val="nil"/>
              <w:bottom w:val="single" w:color="000000" w:sz="4" w:space="0"/>
              <w:right w:val="nil"/>
            </w:tcBorders>
            <w:noWrap w:val="0"/>
            <w:vAlign w:val="center"/>
          </w:tcPr>
          <w:p w14:paraId="12ACFF96">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24.781</w:t>
            </w:r>
          </w:p>
        </w:tc>
        <w:tc>
          <w:tcPr>
            <w:tcW w:w="1173" w:type="dxa"/>
            <w:tcBorders>
              <w:top w:val="single" w:color="000000" w:sz="4" w:space="0"/>
              <w:left w:val="nil"/>
              <w:bottom w:val="single" w:color="000000" w:sz="4" w:space="0"/>
              <w:right w:val="nil"/>
            </w:tcBorders>
            <w:noWrap w:val="0"/>
            <w:vAlign w:val="center"/>
          </w:tcPr>
          <w:p w14:paraId="2C903843">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20.283</w:t>
            </w:r>
          </w:p>
        </w:tc>
        <w:tc>
          <w:tcPr>
            <w:tcW w:w="1108" w:type="dxa"/>
            <w:tcBorders>
              <w:top w:val="single" w:color="000000" w:sz="4" w:space="0"/>
              <w:left w:val="nil"/>
              <w:bottom w:val="single" w:color="000000" w:sz="4" w:space="0"/>
              <w:right w:val="nil"/>
            </w:tcBorders>
            <w:noWrap w:val="0"/>
            <w:vAlign w:val="center"/>
          </w:tcPr>
          <w:p w14:paraId="19715B92">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16.278</w:t>
            </w:r>
          </w:p>
        </w:tc>
        <w:tc>
          <w:tcPr>
            <w:tcW w:w="1118" w:type="dxa"/>
            <w:tcBorders>
              <w:top w:val="single" w:color="000000" w:sz="4" w:space="0"/>
              <w:left w:val="nil"/>
              <w:bottom w:val="single" w:color="000000" w:sz="4" w:space="0"/>
              <w:right w:val="nil"/>
            </w:tcBorders>
            <w:noWrap w:val="0"/>
            <w:vAlign w:val="center"/>
          </w:tcPr>
          <w:p w14:paraId="1336EF0B">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13.079</w:t>
            </w:r>
          </w:p>
        </w:tc>
        <w:tc>
          <w:tcPr>
            <w:tcW w:w="1053" w:type="dxa"/>
            <w:tcBorders>
              <w:top w:val="single" w:color="000000" w:sz="4" w:space="0"/>
              <w:left w:val="nil"/>
              <w:bottom w:val="single" w:color="000000" w:sz="4" w:space="0"/>
              <w:right w:val="nil"/>
            </w:tcBorders>
            <w:noWrap w:val="0"/>
            <w:vAlign w:val="center"/>
          </w:tcPr>
          <w:p w14:paraId="42D407C4">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9.843</w:t>
            </w:r>
          </w:p>
        </w:tc>
        <w:tc>
          <w:tcPr>
            <w:tcW w:w="989" w:type="dxa"/>
            <w:tcBorders>
              <w:top w:val="single" w:color="000000" w:sz="4" w:space="0"/>
              <w:left w:val="nil"/>
              <w:bottom w:val="single" w:color="000000" w:sz="4" w:space="0"/>
              <w:right w:val="nil"/>
            </w:tcBorders>
            <w:noWrap w:val="0"/>
            <w:vAlign w:val="center"/>
          </w:tcPr>
          <w:p w14:paraId="323203D0">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7.033</w:t>
            </w:r>
          </w:p>
        </w:tc>
        <w:tc>
          <w:tcPr>
            <w:tcW w:w="1411" w:type="dxa"/>
            <w:vMerge w:val="continue"/>
            <w:tcBorders>
              <w:top w:val="nil"/>
              <w:left w:val="nil"/>
              <w:bottom w:val="nil"/>
              <w:right w:val="nil"/>
            </w:tcBorders>
            <w:noWrap w:val="0"/>
            <w:vAlign w:val="center"/>
          </w:tcPr>
          <w:p w14:paraId="5E91C73F">
            <w:pPr>
              <w:autoSpaceDE w:val="0"/>
              <w:autoSpaceDN w:val="0"/>
              <w:adjustRightInd w:val="0"/>
              <w:spacing w:line="240" w:lineRule="auto"/>
              <w:jc w:val="center"/>
              <w:rPr>
                <w:rFonts w:hint="default" w:ascii="Times New Roman" w:hAnsi="Times New Roman" w:cs="Times New Roman"/>
                <w:color w:val="auto"/>
                <w:kern w:val="0"/>
                <w:sz w:val="21"/>
                <w:szCs w:val="21"/>
                <w:highlight w:val="none"/>
              </w:rPr>
            </w:pPr>
          </w:p>
        </w:tc>
      </w:tr>
      <w:tr w14:paraId="30E089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087" w:type="dxa"/>
            <w:tcBorders>
              <w:top w:val="single" w:color="000000" w:sz="4" w:space="0"/>
              <w:left w:val="nil"/>
              <w:bottom w:val="single" w:color="auto" w:sz="4" w:space="0"/>
              <w:right w:val="nil"/>
            </w:tcBorders>
            <w:noWrap w:val="0"/>
            <w:vAlign w:val="center"/>
          </w:tcPr>
          <w:p w14:paraId="43D7CA2D">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Cumulative Independent Variables (%)</w:t>
            </w:r>
          </w:p>
        </w:tc>
        <w:tc>
          <w:tcPr>
            <w:tcW w:w="1007" w:type="dxa"/>
            <w:tcBorders>
              <w:top w:val="single" w:color="000000" w:sz="4" w:space="0"/>
              <w:left w:val="nil"/>
              <w:bottom w:val="single" w:color="auto" w:sz="4" w:space="0"/>
              <w:right w:val="nil"/>
            </w:tcBorders>
            <w:noWrap w:val="0"/>
            <w:vAlign w:val="center"/>
          </w:tcPr>
          <w:p w14:paraId="108217C8">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24.781</w:t>
            </w:r>
          </w:p>
        </w:tc>
        <w:tc>
          <w:tcPr>
            <w:tcW w:w="1173" w:type="dxa"/>
            <w:tcBorders>
              <w:top w:val="single" w:color="000000" w:sz="4" w:space="0"/>
              <w:left w:val="nil"/>
              <w:bottom w:val="single" w:color="auto" w:sz="4" w:space="0"/>
              <w:right w:val="nil"/>
            </w:tcBorders>
            <w:noWrap w:val="0"/>
            <w:vAlign w:val="center"/>
          </w:tcPr>
          <w:p w14:paraId="5908ECBC">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45.064</w:t>
            </w:r>
          </w:p>
        </w:tc>
        <w:tc>
          <w:tcPr>
            <w:tcW w:w="1108" w:type="dxa"/>
            <w:tcBorders>
              <w:top w:val="single" w:color="000000" w:sz="4" w:space="0"/>
              <w:left w:val="nil"/>
              <w:bottom w:val="single" w:color="auto" w:sz="4" w:space="0"/>
              <w:right w:val="nil"/>
            </w:tcBorders>
            <w:noWrap w:val="0"/>
            <w:vAlign w:val="center"/>
          </w:tcPr>
          <w:p w14:paraId="30FD5BA5">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61.342</w:t>
            </w:r>
          </w:p>
        </w:tc>
        <w:tc>
          <w:tcPr>
            <w:tcW w:w="1118" w:type="dxa"/>
            <w:tcBorders>
              <w:top w:val="single" w:color="000000" w:sz="4" w:space="0"/>
              <w:left w:val="nil"/>
              <w:bottom w:val="single" w:color="auto" w:sz="4" w:space="0"/>
              <w:right w:val="nil"/>
            </w:tcBorders>
            <w:noWrap w:val="0"/>
            <w:vAlign w:val="center"/>
          </w:tcPr>
          <w:p w14:paraId="20C8E433">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74.422</w:t>
            </w:r>
          </w:p>
        </w:tc>
        <w:tc>
          <w:tcPr>
            <w:tcW w:w="1053" w:type="dxa"/>
            <w:tcBorders>
              <w:top w:val="single" w:color="000000" w:sz="4" w:space="0"/>
              <w:left w:val="nil"/>
              <w:bottom w:val="single" w:color="auto" w:sz="4" w:space="0"/>
              <w:right w:val="nil"/>
            </w:tcBorders>
            <w:noWrap w:val="0"/>
            <w:vAlign w:val="center"/>
          </w:tcPr>
          <w:p w14:paraId="028629FD">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84.265</w:t>
            </w:r>
          </w:p>
        </w:tc>
        <w:tc>
          <w:tcPr>
            <w:tcW w:w="989" w:type="dxa"/>
            <w:tcBorders>
              <w:top w:val="single" w:color="000000" w:sz="4" w:space="0"/>
              <w:left w:val="nil"/>
              <w:bottom w:val="single" w:color="auto" w:sz="4" w:space="0"/>
              <w:right w:val="nil"/>
            </w:tcBorders>
            <w:noWrap w:val="0"/>
            <w:vAlign w:val="center"/>
          </w:tcPr>
          <w:p w14:paraId="4E701AFC">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91.298</w:t>
            </w:r>
          </w:p>
        </w:tc>
        <w:tc>
          <w:tcPr>
            <w:tcW w:w="1411" w:type="dxa"/>
            <w:vMerge w:val="continue"/>
            <w:tcBorders>
              <w:top w:val="nil"/>
              <w:left w:val="nil"/>
              <w:bottom w:val="single" w:color="auto" w:sz="4" w:space="0"/>
              <w:right w:val="nil"/>
            </w:tcBorders>
            <w:noWrap w:val="0"/>
            <w:vAlign w:val="center"/>
          </w:tcPr>
          <w:p w14:paraId="5C4CC97C">
            <w:pPr>
              <w:autoSpaceDE w:val="0"/>
              <w:autoSpaceDN w:val="0"/>
              <w:adjustRightInd w:val="0"/>
              <w:spacing w:line="240" w:lineRule="auto"/>
              <w:jc w:val="center"/>
              <w:rPr>
                <w:rFonts w:hint="default" w:ascii="Times New Roman" w:hAnsi="Times New Roman" w:cs="Times New Roman"/>
                <w:color w:val="auto"/>
                <w:kern w:val="0"/>
                <w:sz w:val="21"/>
                <w:szCs w:val="21"/>
                <w:highlight w:val="none"/>
              </w:rPr>
            </w:pPr>
          </w:p>
        </w:tc>
      </w:tr>
      <w:tr w14:paraId="664497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087" w:type="dxa"/>
            <w:vMerge w:val="restart"/>
            <w:tcBorders>
              <w:top w:val="single" w:color="auto" w:sz="4" w:space="0"/>
              <w:left w:val="nil"/>
              <w:bottom w:val="nil"/>
              <w:right w:val="nil"/>
            </w:tcBorders>
            <w:noWrap w:val="0"/>
            <w:vAlign w:val="top"/>
          </w:tcPr>
          <w:p w14:paraId="61544BF9">
            <w:pPr>
              <w:autoSpaceDE w:val="0"/>
              <w:autoSpaceDN w:val="0"/>
              <w:adjustRightInd w:val="0"/>
              <w:spacing w:line="240" w:lineRule="auto"/>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Exit</w:t>
            </w:r>
          </w:p>
        </w:tc>
        <w:tc>
          <w:tcPr>
            <w:tcW w:w="1007" w:type="dxa"/>
            <w:tcBorders>
              <w:top w:val="single" w:color="auto" w:sz="4" w:space="0"/>
              <w:left w:val="nil"/>
              <w:bottom w:val="nil"/>
              <w:right w:val="nil"/>
            </w:tcBorders>
            <w:noWrap w:val="0"/>
            <w:vAlign w:val="center"/>
          </w:tcPr>
          <w:p w14:paraId="46A2E0FC">
            <w:pPr>
              <w:autoSpaceDE w:val="0"/>
              <w:autoSpaceDN w:val="0"/>
              <w:adjustRightInd w:val="0"/>
              <w:spacing w:line="240" w:lineRule="auto"/>
              <w:jc w:val="left"/>
              <w:rPr>
                <w:rFonts w:hint="default" w:ascii="Times New Roman" w:hAnsi="Times New Roman" w:cs="Times New Roman"/>
                <w:b/>
                <w:bCs/>
                <w:color w:val="auto"/>
                <w:kern w:val="0"/>
                <w:sz w:val="21"/>
                <w:szCs w:val="21"/>
                <w:highlight w:val="none"/>
              </w:rPr>
            </w:pPr>
            <w:r>
              <w:rPr>
                <w:rFonts w:hint="default" w:ascii="Times New Roman" w:hAnsi="Times New Roman" w:cs="Times New Roman"/>
                <w:b/>
                <w:bCs/>
                <w:color w:val="auto"/>
                <w:sz w:val="21"/>
                <w:szCs w:val="21"/>
                <w:highlight w:val="none"/>
              </w:rPr>
              <w:t>0.539</w:t>
            </w:r>
          </w:p>
        </w:tc>
        <w:tc>
          <w:tcPr>
            <w:tcW w:w="1173" w:type="dxa"/>
            <w:tcBorders>
              <w:top w:val="single" w:color="auto" w:sz="4" w:space="0"/>
              <w:left w:val="nil"/>
              <w:bottom w:val="nil"/>
              <w:right w:val="nil"/>
            </w:tcBorders>
            <w:noWrap w:val="0"/>
            <w:vAlign w:val="center"/>
          </w:tcPr>
          <w:p w14:paraId="7B0900FF">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0.018</w:t>
            </w:r>
          </w:p>
        </w:tc>
        <w:tc>
          <w:tcPr>
            <w:tcW w:w="1108" w:type="dxa"/>
            <w:tcBorders>
              <w:top w:val="single" w:color="auto" w:sz="4" w:space="0"/>
              <w:left w:val="nil"/>
              <w:bottom w:val="nil"/>
              <w:right w:val="nil"/>
            </w:tcBorders>
            <w:noWrap w:val="0"/>
            <w:vAlign w:val="center"/>
          </w:tcPr>
          <w:p w14:paraId="4F39183C">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0.038</w:t>
            </w:r>
          </w:p>
        </w:tc>
        <w:tc>
          <w:tcPr>
            <w:tcW w:w="1118" w:type="dxa"/>
            <w:tcBorders>
              <w:top w:val="single" w:color="auto" w:sz="4" w:space="0"/>
              <w:left w:val="nil"/>
              <w:bottom w:val="nil"/>
              <w:right w:val="nil"/>
            </w:tcBorders>
            <w:noWrap w:val="0"/>
            <w:vAlign w:val="center"/>
          </w:tcPr>
          <w:p w14:paraId="12C1679A">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0.804</w:t>
            </w:r>
          </w:p>
        </w:tc>
        <w:tc>
          <w:tcPr>
            <w:tcW w:w="1053" w:type="dxa"/>
            <w:tcBorders>
              <w:top w:val="single" w:color="auto" w:sz="4" w:space="0"/>
              <w:left w:val="nil"/>
              <w:bottom w:val="nil"/>
              <w:right w:val="nil"/>
            </w:tcBorders>
            <w:noWrap w:val="0"/>
            <w:vAlign w:val="center"/>
          </w:tcPr>
          <w:p w14:paraId="48F98CE4">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0.035</w:t>
            </w:r>
          </w:p>
        </w:tc>
        <w:tc>
          <w:tcPr>
            <w:tcW w:w="989" w:type="dxa"/>
            <w:tcBorders>
              <w:top w:val="single" w:color="auto" w:sz="4" w:space="0"/>
              <w:left w:val="nil"/>
              <w:bottom w:val="nil"/>
              <w:right w:val="nil"/>
            </w:tcBorders>
            <w:noWrap w:val="0"/>
            <w:vAlign w:val="center"/>
          </w:tcPr>
          <w:p w14:paraId="566FB0A4">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0.031</w:t>
            </w:r>
          </w:p>
        </w:tc>
        <w:tc>
          <w:tcPr>
            <w:tcW w:w="1411" w:type="dxa"/>
            <w:tcBorders>
              <w:top w:val="single" w:color="auto" w:sz="4" w:space="0"/>
              <w:left w:val="nil"/>
              <w:bottom w:val="nil"/>
              <w:right w:val="nil"/>
            </w:tcBorders>
            <w:noWrap w:val="0"/>
            <w:vAlign w:val="center"/>
          </w:tcPr>
          <w:p w14:paraId="76AFCD96">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0.941</w:t>
            </w:r>
          </w:p>
        </w:tc>
      </w:tr>
      <w:tr w14:paraId="102833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087" w:type="dxa"/>
            <w:vMerge w:val="continue"/>
            <w:tcBorders>
              <w:top w:val="nil"/>
              <w:left w:val="nil"/>
              <w:bottom w:val="nil"/>
              <w:right w:val="nil"/>
            </w:tcBorders>
            <w:noWrap w:val="0"/>
            <w:vAlign w:val="center"/>
          </w:tcPr>
          <w:p w14:paraId="32BACF4B">
            <w:pPr>
              <w:autoSpaceDE w:val="0"/>
              <w:autoSpaceDN w:val="0"/>
              <w:adjustRightInd w:val="0"/>
              <w:spacing w:line="240" w:lineRule="auto"/>
              <w:jc w:val="center"/>
              <w:rPr>
                <w:rFonts w:hint="default" w:ascii="Times New Roman" w:hAnsi="Times New Roman" w:cs="Times New Roman"/>
                <w:color w:val="auto"/>
                <w:kern w:val="0"/>
                <w:sz w:val="21"/>
                <w:szCs w:val="21"/>
                <w:highlight w:val="none"/>
              </w:rPr>
            </w:pPr>
          </w:p>
        </w:tc>
        <w:tc>
          <w:tcPr>
            <w:tcW w:w="1007" w:type="dxa"/>
            <w:tcBorders>
              <w:top w:val="nil"/>
              <w:left w:val="nil"/>
              <w:bottom w:val="nil"/>
              <w:right w:val="nil"/>
            </w:tcBorders>
            <w:noWrap w:val="0"/>
            <w:vAlign w:val="center"/>
          </w:tcPr>
          <w:p w14:paraId="7CF69827">
            <w:pPr>
              <w:autoSpaceDE w:val="0"/>
              <w:autoSpaceDN w:val="0"/>
              <w:adjustRightInd w:val="0"/>
              <w:spacing w:line="240" w:lineRule="auto"/>
              <w:jc w:val="left"/>
              <w:rPr>
                <w:rFonts w:hint="default" w:ascii="Times New Roman" w:hAnsi="Times New Roman" w:cs="Times New Roman"/>
                <w:b/>
                <w:bCs/>
                <w:color w:val="auto"/>
                <w:kern w:val="0"/>
                <w:sz w:val="21"/>
                <w:szCs w:val="21"/>
                <w:highlight w:val="none"/>
              </w:rPr>
            </w:pPr>
            <w:r>
              <w:rPr>
                <w:rFonts w:hint="default" w:ascii="Times New Roman" w:hAnsi="Times New Roman" w:cs="Times New Roman"/>
                <w:b/>
                <w:bCs/>
                <w:color w:val="auto"/>
                <w:sz w:val="21"/>
                <w:szCs w:val="21"/>
                <w:highlight w:val="none"/>
              </w:rPr>
              <w:t>0.531</w:t>
            </w:r>
          </w:p>
        </w:tc>
        <w:tc>
          <w:tcPr>
            <w:tcW w:w="1173" w:type="dxa"/>
            <w:tcBorders>
              <w:top w:val="nil"/>
              <w:left w:val="nil"/>
              <w:bottom w:val="nil"/>
              <w:right w:val="nil"/>
            </w:tcBorders>
            <w:noWrap w:val="0"/>
            <w:vAlign w:val="center"/>
          </w:tcPr>
          <w:p w14:paraId="486366D6">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0.026</w:t>
            </w:r>
          </w:p>
        </w:tc>
        <w:tc>
          <w:tcPr>
            <w:tcW w:w="1108" w:type="dxa"/>
            <w:tcBorders>
              <w:top w:val="nil"/>
              <w:left w:val="nil"/>
              <w:bottom w:val="nil"/>
              <w:right w:val="nil"/>
            </w:tcBorders>
            <w:noWrap w:val="0"/>
            <w:vAlign w:val="center"/>
          </w:tcPr>
          <w:p w14:paraId="54C7FB33">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0.035</w:t>
            </w:r>
          </w:p>
        </w:tc>
        <w:tc>
          <w:tcPr>
            <w:tcW w:w="1118" w:type="dxa"/>
            <w:tcBorders>
              <w:top w:val="nil"/>
              <w:left w:val="nil"/>
              <w:bottom w:val="nil"/>
              <w:right w:val="nil"/>
            </w:tcBorders>
            <w:noWrap w:val="0"/>
            <w:vAlign w:val="center"/>
          </w:tcPr>
          <w:p w14:paraId="59736BA7">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0.818</w:t>
            </w:r>
          </w:p>
        </w:tc>
        <w:tc>
          <w:tcPr>
            <w:tcW w:w="1053" w:type="dxa"/>
            <w:tcBorders>
              <w:top w:val="nil"/>
              <w:left w:val="nil"/>
              <w:bottom w:val="nil"/>
              <w:right w:val="nil"/>
            </w:tcBorders>
            <w:noWrap w:val="0"/>
            <w:vAlign w:val="center"/>
          </w:tcPr>
          <w:p w14:paraId="6CA36F32">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0.029</w:t>
            </w:r>
          </w:p>
        </w:tc>
        <w:tc>
          <w:tcPr>
            <w:tcW w:w="989" w:type="dxa"/>
            <w:tcBorders>
              <w:top w:val="nil"/>
              <w:left w:val="nil"/>
              <w:bottom w:val="nil"/>
              <w:right w:val="nil"/>
            </w:tcBorders>
            <w:noWrap w:val="0"/>
            <w:vAlign w:val="center"/>
          </w:tcPr>
          <w:p w14:paraId="756B5AE1">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0.020</w:t>
            </w:r>
          </w:p>
        </w:tc>
        <w:tc>
          <w:tcPr>
            <w:tcW w:w="1411" w:type="dxa"/>
            <w:tcBorders>
              <w:top w:val="nil"/>
              <w:left w:val="nil"/>
              <w:bottom w:val="nil"/>
              <w:right w:val="nil"/>
            </w:tcBorders>
            <w:noWrap w:val="0"/>
            <w:vAlign w:val="center"/>
          </w:tcPr>
          <w:p w14:paraId="752BB55C">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0.955</w:t>
            </w:r>
          </w:p>
        </w:tc>
      </w:tr>
      <w:tr w14:paraId="611339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087" w:type="dxa"/>
            <w:vMerge w:val="continue"/>
            <w:tcBorders>
              <w:top w:val="nil"/>
              <w:left w:val="nil"/>
              <w:bottom w:val="nil"/>
              <w:right w:val="nil"/>
            </w:tcBorders>
            <w:noWrap w:val="0"/>
            <w:vAlign w:val="center"/>
          </w:tcPr>
          <w:p w14:paraId="6261EC46">
            <w:pPr>
              <w:autoSpaceDE w:val="0"/>
              <w:autoSpaceDN w:val="0"/>
              <w:adjustRightInd w:val="0"/>
              <w:spacing w:line="240" w:lineRule="auto"/>
              <w:jc w:val="center"/>
              <w:rPr>
                <w:rFonts w:hint="default" w:ascii="Times New Roman" w:hAnsi="Times New Roman" w:cs="Times New Roman"/>
                <w:color w:val="auto"/>
                <w:kern w:val="0"/>
                <w:sz w:val="21"/>
                <w:szCs w:val="21"/>
                <w:highlight w:val="none"/>
              </w:rPr>
            </w:pPr>
          </w:p>
        </w:tc>
        <w:tc>
          <w:tcPr>
            <w:tcW w:w="1007" w:type="dxa"/>
            <w:tcBorders>
              <w:top w:val="nil"/>
              <w:left w:val="nil"/>
              <w:bottom w:val="nil"/>
              <w:right w:val="nil"/>
            </w:tcBorders>
            <w:noWrap w:val="0"/>
            <w:vAlign w:val="center"/>
          </w:tcPr>
          <w:p w14:paraId="33247DC0">
            <w:pPr>
              <w:autoSpaceDE w:val="0"/>
              <w:autoSpaceDN w:val="0"/>
              <w:adjustRightInd w:val="0"/>
              <w:spacing w:line="240" w:lineRule="auto"/>
              <w:jc w:val="left"/>
              <w:rPr>
                <w:rFonts w:hint="default" w:ascii="Times New Roman" w:hAnsi="Times New Roman" w:cs="Times New Roman"/>
                <w:b/>
                <w:bCs/>
                <w:color w:val="auto"/>
                <w:kern w:val="0"/>
                <w:sz w:val="21"/>
                <w:szCs w:val="21"/>
                <w:highlight w:val="none"/>
              </w:rPr>
            </w:pPr>
            <w:r>
              <w:rPr>
                <w:rFonts w:hint="default" w:ascii="Times New Roman" w:hAnsi="Times New Roman" w:cs="Times New Roman"/>
                <w:b/>
                <w:bCs/>
                <w:color w:val="auto"/>
                <w:sz w:val="21"/>
                <w:szCs w:val="21"/>
                <w:highlight w:val="none"/>
              </w:rPr>
              <w:t>0.511</w:t>
            </w:r>
          </w:p>
        </w:tc>
        <w:tc>
          <w:tcPr>
            <w:tcW w:w="1173" w:type="dxa"/>
            <w:tcBorders>
              <w:top w:val="nil"/>
              <w:left w:val="nil"/>
              <w:bottom w:val="nil"/>
              <w:right w:val="nil"/>
            </w:tcBorders>
            <w:noWrap w:val="0"/>
            <w:vAlign w:val="center"/>
          </w:tcPr>
          <w:p w14:paraId="5E8EACB5">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0.040</w:t>
            </w:r>
          </w:p>
        </w:tc>
        <w:tc>
          <w:tcPr>
            <w:tcW w:w="1108" w:type="dxa"/>
            <w:tcBorders>
              <w:top w:val="nil"/>
              <w:left w:val="nil"/>
              <w:bottom w:val="nil"/>
              <w:right w:val="nil"/>
            </w:tcBorders>
            <w:noWrap w:val="0"/>
            <w:vAlign w:val="center"/>
          </w:tcPr>
          <w:p w14:paraId="2B20480C">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0.073</w:t>
            </w:r>
          </w:p>
        </w:tc>
        <w:tc>
          <w:tcPr>
            <w:tcW w:w="1118" w:type="dxa"/>
            <w:tcBorders>
              <w:top w:val="nil"/>
              <w:left w:val="nil"/>
              <w:bottom w:val="nil"/>
              <w:right w:val="nil"/>
            </w:tcBorders>
            <w:noWrap w:val="0"/>
            <w:vAlign w:val="center"/>
          </w:tcPr>
          <w:p w14:paraId="55845E03">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0.787</w:t>
            </w:r>
          </w:p>
        </w:tc>
        <w:tc>
          <w:tcPr>
            <w:tcW w:w="1053" w:type="dxa"/>
            <w:tcBorders>
              <w:top w:val="nil"/>
              <w:left w:val="nil"/>
              <w:bottom w:val="nil"/>
              <w:right w:val="nil"/>
            </w:tcBorders>
            <w:noWrap w:val="0"/>
            <w:vAlign w:val="center"/>
          </w:tcPr>
          <w:p w14:paraId="5F4C4AE1">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-0.048</w:t>
            </w:r>
          </w:p>
        </w:tc>
        <w:tc>
          <w:tcPr>
            <w:tcW w:w="989" w:type="dxa"/>
            <w:tcBorders>
              <w:top w:val="nil"/>
              <w:left w:val="nil"/>
              <w:bottom w:val="nil"/>
              <w:right w:val="nil"/>
            </w:tcBorders>
            <w:noWrap w:val="0"/>
            <w:vAlign w:val="center"/>
          </w:tcPr>
          <w:p w14:paraId="6E38B758">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0.068</w:t>
            </w:r>
          </w:p>
        </w:tc>
        <w:tc>
          <w:tcPr>
            <w:tcW w:w="1411" w:type="dxa"/>
            <w:tcBorders>
              <w:top w:val="nil"/>
              <w:left w:val="nil"/>
              <w:bottom w:val="nil"/>
              <w:right w:val="nil"/>
            </w:tcBorders>
            <w:noWrap w:val="0"/>
            <w:vAlign w:val="center"/>
          </w:tcPr>
          <w:p w14:paraId="40332A3E">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0.894</w:t>
            </w:r>
          </w:p>
        </w:tc>
      </w:tr>
      <w:tr w14:paraId="3E3109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087" w:type="dxa"/>
            <w:vMerge w:val="continue"/>
            <w:tcBorders>
              <w:top w:val="nil"/>
              <w:left w:val="nil"/>
              <w:bottom w:val="single" w:color="auto" w:sz="4" w:space="0"/>
              <w:right w:val="nil"/>
            </w:tcBorders>
            <w:noWrap w:val="0"/>
            <w:vAlign w:val="center"/>
          </w:tcPr>
          <w:p w14:paraId="3FDE0199">
            <w:pPr>
              <w:autoSpaceDE w:val="0"/>
              <w:autoSpaceDN w:val="0"/>
              <w:adjustRightInd w:val="0"/>
              <w:spacing w:line="240" w:lineRule="auto"/>
              <w:jc w:val="center"/>
              <w:rPr>
                <w:rFonts w:hint="default" w:ascii="Times New Roman" w:hAnsi="Times New Roman" w:cs="Times New Roman"/>
                <w:color w:val="auto"/>
                <w:kern w:val="0"/>
                <w:sz w:val="21"/>
                <w:szCs w:val="21"/>
                <w:highlight w:val="none"/>
              </w:rPr>
            </w:pPr>
          </w:p>
        </w:tc>
        <w:tc>
          <w:tcPr>
            <w:tcW w:w="1007" w:type="dxa"/>
            <w:tcBorders>
              <w:top w:val="nil"/>
              <w:left w:val="nil"/>
              <w:bottom w:val="single" w:color="auto" w:sz="4" w:space="0"/>
              <w:right w:val="nil"/>
            </w:tcBorders>
            <w:noWrap w:val="0"/>
            <w:vAlign w:val="center"/>
          </w:tcPr>
          <w:p w14:paraId="55E95F7F">
            <w:pPr>
              <w:autoSpaceDE w:val="0"/>
              <w:autoSpaceDN w:val="0"/>
              <w:adjustRightInd w:val="0"/>
              <w:spacing w:line="240" w:lineRule="auto"/>
              <w:jc w:val="left"/>
              <w:rPr>
                <w:rFonts w:hint="default" w:ascii="Times New Roman" w:hAnsi="Times New Roman" w:cs="Times New Roman"/>
                <w:b/>
                <w:bCs/>
                <w:color w:val="auto"/>
                <w:kern w:val="0"/>
                <w:sz w:val="21"/>
                <w:szCs w:val="21"/>
                <w:highlight w:val="none"/>
              </w:rPr>
            </w:pPr>
            <w:r>
              <w:rPr>
                <w:rFonts w:hint="default" w:ascii="Times New Roman" w:hAnsi="Times New Roman" w:cs="Times New Roman"/>
                <w:b/>
                <w:bCs/>
                <w:color w:val="auto"/>
                <w:sz w:val="21"/>
                <w:szCs w:val="21"/>
                <w:highlight w:val="none"/>
              </w:rPr>
              <w:t>0.603</w:t>
            </w:r>
          </w:p>
        </w:tc>
        <w:tc>
          <w:tcPr>
            <w:tcW w:w="1173" w:type="dxa"/>
            <w:tcBorders>
              <w:top w:val="nil"/>
              <w:left w:val="nil"/>
              <w:bottom w:val="single" w:color="auto" w:sz="4" w:space="0"/>
              <w:right w:val="nil"/>
            </w:tcBorders>
            <w:noWrap w:val="0"/>
            <w:vAlign w:val="center"/>
          </w:tcPr>
          <w:p w14:paraId="12982E35">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0.037</w:t>
            </w:r>
          </w:p>
        </w:tc>
        <w:tc>
          <w:tcPr>
            <w:tcW w:w="1108" w:type="dxa"/>
            <w:tcBorders>
              <w:top w:val="nil"/>
              <w:left w:val="nil"/>
              <w:bottom w:val="single" w:color="auto" w:sz="4" w:space="0"/>
              <w:right w:val="nil"/>
            </w:tcBorders>
            <w:noWrap w:val="0"/>
            <w:vAlign w:val="center"/>
          </w:tcPr>
          <w:p w14:paraId="6C218FEA">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0.108</w:t>
            </w:r>
          </w:p>
        </w:tc>
        <w:tc>
          <w:tcPr>
            <w:tcW w:w="1118" w:type="dxa"/>
            <w:tcBorders>
              <w:top w:val="nil"/>
              <w:left w:val="nil"/>
              <w:bottom w:val="single" w:color="auto" w:sz="4" w:space="0"/>
              <w:right w:val="nil"/>
            </w:tcBorders>
            <w:noWrap w:val="0"/>
            <w:vAlign w:val="center"/>
          </w:tcPr>
          <w:p w14:paraId="385B1F2F">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0.746</w:t>
            </w:r>
          </w:p>
        </w:tc>
        <w:tc>
          <w:tcPr>
            <w:tcW w:w="1053" w:type="dxa"/>
            <w:tcBorders>
              <w:top w:val="nil"/>
              <w:left w:val="nil"/>
              <w:bottom w:val="single" w:color="auto" w:sz="4" w:space="0"/>
              <w:right w:val="nil"/>
            </w:tcBorders>
            <w:noWrap w:val="0"/>
            <w:vAlign w:val="center"/>
          </w:tcPr>
          <w:p w14:paraId="364F6ABB">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0.028</w:t>
            </w:r>
          </w:p>
        </w:tc>
        <w:tc>
          <w:tcPr>
            <w:tcW w:w="989" w:type="dxa"/>
            <w:tcBorders>
              <w:top w:val="nil"/>
              <w:left w:val="nil"/>
              <w:bottom w:val="single" w:color="auto" w:sz="4" w:space="0"/>
              <w:right w:val="nil"/>
            </w:tcBorders>
            <w:noWrap w:val="0"/>
            <w:vAlign w:val="center"/>
          </w:tcPr>
          <w:p w14:paraId="35C10FB7">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-0.012</w:t>
            </w:r>
          </w:p>
        </w:tc>
        <w:tc>
          <w:tcPr>
            <w:tcW w:w="1411" w:type="dxa"/>
            <w:tcBorders>
              <w:top w:val="nil"/>
              <w:left w:val="nil"/>
              <w:bottom w:val="single" w:color="auto" w:sz="4" w:space="0"/>
              <w:right w:val="nil"/>
            </w:tcBorders>
            <w:noWrap w:val="0"/>
            <w:vAlign w:val="center"/>
          </w:tcPr>
          <w:p w14:paraId="1A941AD8">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0.934</w:t>
            </w:r>
          </w:p>
        </w:tc>
      </w:tr>
      <w:tr w14:paraId="01F4D4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087" w:type="dxa"/>
            <w:vMerge w:val="restart"/>
            <w:tcBorders>
              <w:top w:val="single" w:color="auto" w:sz="4" w:space="0"/>
              <w:left w:val="nil"/>
              <w:bottom w:val="nil"/>
              <w:right w:val="nil"/>
            </w:tcBorders>
            <w:noWrap w:val="0"/>
            <w:vAlign w:val="top"/>
          </w:tcPr>
          <w:p w14:paraId="7A2EE97A">
            <w:pPr>
              <w:autoSpaceDE w:val="0"/>
              <w:autoSpaceDN w:val="0"/>
              <w:adjustRightInd w:val="0"/>
              <w:spacing w:line="240" w:lineRule="auto"/>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Voice</w:t>
            </w:r>
          </w:p>
        </w:tc>
        <w:tc>
          <w:tcPr>
            <w:tcW w:w="1007" w:type="dxa"/>
            <w:tcBorders>
              <w:top w:val="single" w:color="auto" w:sz="4" w:space="0"/>
              <w:left w:val="nil"/>
              <w:bottom w:val="nil"/>
              <w:right w:val="nil"/>
            </w:tcBorders>
            <w:noWrap w:val="0"/>
            <w:vAlign w:val="center"/>
          </w:tcPr>
          <w:p w14:paraId="7E0A4E4C">
            <w:pPr>
              <w:widowControl/>
              <w:spacing w:line="240" w:lineRule="auto"/>
              <w:jc w:val="left"/>
              <w:textAlignment w:val="center"/>
              <w:rPr>
                <w:rFonts w:hint="default" w:ascii="Times New Roman" w:hAnsi="Times New Roman" w:cs="Times New Roman"/>
                <w:b/>
                <w:bCs/>
                <w:color w:val="auto"/>
                <w:sz w:val="21"/>
                <w:szCs w:val="21"/>
                <w:highlight w:val="none"/>
              </w:rPr>
            </w:pPr>
            <w:r>
              <w:rPr>
                <w:rFonts w:hint="default" w:ascii="Times New Roman" w:hAnsi="Times New Roman" w:cs="Times New Roman"/>
                <w:color w:val="auto"/>
                <w:kern w:val="0"/>
                <w:sz w:val="21"/>
                <w:szCs w:val="21"/>
                <w:highlight w:val="none"/>
                <w:lang w:bidi="ar"/>
              </w:rPr>
              <w:t>0.166</w:t>
            </w:r>
          </w:p>
        </w:tc>
        <w:tc>
          <w:tcPr>
            <w:tcW w:w="1173" w:type="dxa"/>
            <w:tcBorders>
              <w:top w:val="single" w:color="auto" w:sz="4" w:space="0"/>
              <w:left w:val="nil"/>
              <w:bottom w:val="nil"/>
              <w:right w:val="nil"/>
            </w:tcBorders>
            <w:noWrap w:val="0"/>
            <w:vAlign w:val="center"/>
          </w:tcPr>
          <w:p w14:paraId="6348B666">
            <w:pPr>
              <w:widowControl/>
              <w:spacing w:line="240" w:lineRule="auto"/>
              <w:jc w:val="left"/>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lang w:bidi="ar"/>
              </w:rPr>
              <w:t>0.384</w:t>
            </w:r>
          </w:p>
        </w:tc>
        <w:tc>
          <w:tcPr>
            <w:tcW w:w="1108" w:type="dxa"/>
            <w:tcBorders>
              <w:top w:val="single" w:color="auto" w:sz="4" w:space="0"/>
              <w:left w:val="nil"/>
              <w:bottom w:val="nil"/>
              <w:right w:val="nil"/>
            </w:tcBorders>
            <w:noWrap w:val="0"/>
            <w:vAlign w:val="center"/>
          </w:tcPr>
          <w:p w14:paraId="2FEF732F">
            <w:pPr>
              <w:widowControl/>
              <w:spacing w:line="240" w:lineRule="auto"/>
              <w:jc w:val="left"/>
              <w:textAlignment w:val="center"/>
              <w:rPr>
                <w:rFonts w:hint="default" w:ascii="Times New Roman" w:hAnsi="Times New Roman" w:cs="Times New Roman"/>
                <w:color w:val="auto"/>
                <w:sz w:val="21"/>
                <w:szCs w:val="21"/>
                <w:highlight w:val="none"/>
              </w:rPr>
            </w:pPr>
            <w:r>
              <w:rPr>
                <w:rFonts w:hint="default" w:ascii="Times New Roman" w:hAnsi="Times New Roman" w:cs="Times New Roman"/>
                <w:b/>
                <w:bCs/>
                <w:color w:val="auto"/>
                <w:kern w:val="0"/>
                <w:sz w:val="21"/>
                <w:szCs w:val="21"/>
                <w:highlight w:val="none"/>
                <w:lang w:bidi="ar"/>
              </w:rPr>
              <w:t>0.815</w:t>
            </w:r>
          </w:p>
        </w:tc>
        <w:tc>
          <w:tcPr>
            <w:tcW w:w="1118" w:type="dxa"/>
            <w:tcBorders>
              <w:top w:val="single" w:color="auto" w:sz="4" w:space="0"/>
              <w:left w:val="nil"/>
              <w:bottom w:val="nil"/>
              <w:right w:val="nil"/>
            </w:tcBorders>
            <w:noWrap w:val="0"/>
            <w:vAlign w:val="center"/>
          </w:tcPr>
          <w:p w14:paraId="69FA79EA">
            <w:pPr>
              <w:widowControl/>
              <w:spacing w:line="240" w:lineRule="auto"/>
              <w:jc w:val="left"/>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lang w:bidi="ar"/>
              </w:rPr>
              <w:t>0.071</w:t>
            </w:r>
          </w:p>
        </w:tc>
        <w:tc>
          <w:tcPr>
            <w:tcW w:w="1053" w:type="dxa"/>
            <w:tcBorders>
              <w:top w:val="single" w:color="auto" w:sz="4" w:space="0"/>
              <w:left w:val="nil"/>
              <w:bottom w:val="nil"/>
              <w:right w:val="nil"/>
            </w:tcBorders>
            <w:noWrap w:val="0"/>
            <w:vAlign w:val="center"/>
          </w:tcPr>
          <w:p w14:paraId="7F67B203">
            <w:pPr>
              <w:widowControl/>
              <w:spacing w:line="240" w:lineRule="auto"/>
              <w:jc w:val="left"/>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lang w:bidi="ar"/>
              </w:rPr>
              <w:t>0.257</w:t>
            </w:r>
          </w:p>
        </w:tc>
        <w:tc>
          <w:tcPr>
            <w:tcW w:w="989" w:type="dxa"/>
            <w:tcBorders>
              <w:top w:val="single" w:color="auto" w:sz="4" w:space="0"/>
              <w:left w:val="nil"/>
              <w:bottom w:val="nil"/>
              <w:right w:val="nil"/>
            </w:tcBorders>
            <w:noWrap w:val="0"/>
            <w:vAlign w:val="center"/>
          </w:tcPr>
          <w:p w14:paraId="53DD3B4C">
            <w:pPr>
              <w:widowControl/>
              <w:spacing w:line="240" w:lineRule="auto"/>
              <w:jc w:val="left"/>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lang w:bidi="ar"/>
              </w:rPr>
              <w:t>0.133</w:t>
            </w:r>
          </w:p>
        </w:tc>
        <w:tc>
          <w:tcPr>
            <w:tcW w:w="1411" w:type="dxa"/>
            <w:tcBorders>
              <w:top w:val="single" w:color="auto" w:sz="4" w:space="0"/>
              <w:left w:val="nil"/>
              <w:bottom w:val="nil"/>
              <w:right w:val="nil"/>
            </w:tcBorders>
            <w:noWrap w:val="0"/>
            <w:vAlign w:val="center"/>
          </w:tcPr>
          <w:p w14:paraId="05FF0CE0">
            <w:pPr>
              <w:widowControl/>
              <w:spacing w:line="240" w:lineRule="auto"/>
              <w:jc w:val="left"/>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lang w:bidi="ar"/>
              </w:rPr>
              <w:t>0.934</w:t>
            </w:r>
          </w:p>
        </w:tc>
      </w:tr>
      <w:tr w14:paraId="075097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087" w:type="dxa"/>
            <w:vMerge w:val="continue"/>
            <w:tcBorders>
              <w:top w:val="nil"/>
              <w:left w:val="nil"/>
              <w:bottom w:val="nil"/>
              <w:right w:val="nil"/>
            </w:tcBorders>
            <w:noWrap w:val="0"/>
            <w:vAlign w:val="center"/>
          </w:tcPr>
          <w:p w14:paraId="488B5A1B">
            <w:pPr>
              <w:autoSpaceDE w:val="0"/>
              <w:autoSpaceDN w:val="0"/>
              <w:adjustRightInd w:val="0"/>
              <w:spacing w:line="240" w:lineRule="auto"/>
              <w:jc w:val="center"/>
              <w:rPr>
                <w:rFonts w:hint="default" w:ascii="Times New Roman" w:hAnsi="Times New Roman" w:cs="Times New Roman"/>
                <w:color w:val="auto"/>
                <w:kern w:val="0"/>
                <w:sz w:val="21"/>
                <w:szCs w:val="21"/>
                <w:highlight w:val="none"/>
              </w:rPr>
            </w:pPr>
          </w:p>
        </w:tc>
        <w:tc>
          <w:tcPr>
            <w:tcW w:w="1007" w:type="dxa"/>
            <w:tcBorders>
              <w:top w:val="nil"/>
              <w:left w:val="nil"/>
              <w:bottom w:val="nil"/>
              <w:right w:val="nil"/>
            </w:tcBorders>
            <w:noWrap w:val="0"/>
            <w:vAlign w:val="center"/>
          </w:tcPr>
          <w:p w14:paraId="6A0044FD">
            <w:pPr>
              <w:widowControl/>
              <w:spacing w:line="240" w:lineRule="auto"/>
              <w:jc w:val="left"/>
              <w:textAlignment w:val="center"/>
              <w:rPr>
                <w:rFonts w:hint="default" w:ascii="Times New Roman" w:hAnsi="Times New Roman" w:cs="Times New Roman"/>
                <w:b/>
                <w:bCs/>
                <w:color w:val="auto"/>
                <w:sz w:val="21"/>
                <w:szCs w:val="21"/>
                <w:highlight w:val="none"/>
              </w:rPr>
            </w:pPr>
            <w:r>
              <w:rPr>
                <w:rFonts w:hint="default" w:ascii="Times New Roman" w:hAnsi="Times New Roman" w:cs="Times New Roman"/>
                <w:color w:val="auto"/>
                <w:kern w:val="0"/>
                <w:sz w:val="21"/>
                <w:szCs w:val="21"/>
                <w:highlight w:val="none"/>
                <w:lang w:bidi="ar"/>
              </w:rPr>
              <w:t>0.160</w:t>
            </w:r>
          </w:p>
        </w:tc>
        <w:tc>
          <w:tcPr>
            <w:tcW w:w="1173" w:type="dxa"/>
            <w:tcBorders>
              <w:top w:val="nil"/>
              <w:left w:val="nil"/>
              <w:bottom w:val="nil"/>
              <w:right w:val="nil"/>
            </w:tcBorders>
            <w:noWrap w:val="0"/>
            <w:vAlign w:val="center"/>
          </w:tcPr>
          <w:p w14:paraId="3F28C9B2">
            <w:pPr>
              <w:widowControl/>
              <w:spacing w:line="240" w:lineRule="auto"/>
              <w:jc w:val="left"/>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lang w:bidi="ar"/>
              </w:rPr>
              <w:t>0.380</w:t>
            </w:r>
          </w:p>
        </w:tc>
        <w:tc>
          <w:tcPr>
            <w:tcW w:w="1108" w:type="dxa"/>
            <w:tcBorders>
              <w:top w:val="nil"/>
              <w:left w:val="nil"/>
              <w:bottom w:val="nil"/>
              <w:right w:val="nil"/>
            </w:tcBorders>
            <w:noWrap w:val="0"/>
            <w:vAlign w:val="center"/>
          </w:tcPr>
          <w:p w14:paraId="6C410340">
            <w:pPr>
              <w:widowControl/>
              <w:spacing w:line="240" w:lineRule="auto"/>
              <w:jc w:val="left"/>
              <w:textAlignment w:val="center"/>
              <w:rPr>
                <w:rFonts w:hint="default" w:ascii="Times New Roman" w:hAnsi="Times New Roman" w:cs="Times New Roman"/>
                <w:color w:val="auto"/>
                <w:sz w:val="21"/>
                <w:szCs w:val="21"/>
                <w:highlight w:val="none"/>
              </w:rPr>
            </w:pPr>
            <w:r>
              <w:rPr>
                <w:rFonts w:hint="default" w:ascii="Times New Roman" w:hAnsi="Times New Roman" w:cs="Times New Roman"/>
                <w:b/>
                <w:bCs/>
                <w:color w:val="auto"/>
                <w:kern w:val="0"/>
                <w:sz w:val="21"/>
                <w:szCs w:val="21"/>
                <w:highlight w:val="none"/>
                <w:lang w:bidi="ar"/>
              </w:rPr>
              <w:t>0.819</w:t>
            </w:r>
          </w:p>
        </w:tc>
        <w:tc>
          <w:tcPr>
            <w:tcW w:w="1118" w:type="dxa"/>
            <w:tcBorders>
              <w:top w:val="nil"/>
              <w:left w:val="nil"/>
              <w:bottom w:val="nil"/>
              <w:right w:val="nil"/>
            </w:tcBorders>
            <w:noWrap w:val="0"/>
            <w:vAlign w:val="center"/>
          </w:tcPr>
          <w:p w14:paraId="4C38B22B">
            <w:pPr>
              <w:widowControl/>
              <w:spacing w:line="240" w:lineRule="auto"/>
              <w:jc w:val="left"/>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lang w:bidi="ar"/>
              </w:rPr>
              <w:t>0.065</w:t>
            </w:r>
          </w:p>
        </w:tc>
        <w:tc>
          <w:tcPr>
            <w:tcW w:w="1053" w:type="dxa"/>
            <w:tcBorders>
              <w:top w:val="nil"/>
              <w:left w:val="nil"/>
              <w:bottom w:val="nil"/>
              <w:right w:val="nil"/>
            </w:tcBorders>
            <w:noWrap w:val="0"/>
            <w:vAlign w:val="center"/>
          </w:tcPr>
          <w:p w14:paraId="734175D2">
            <w:pPr>
              <w:widowControl/>
              <w:spacing w:line="240" w:lineRule="auto"/>
              <w:jc w:val="left"/>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lang w:bidi="ar"/>
              </w:rPr>
              <w:t>0.268</w:t>
            </w:r>
          </w:p>
        </w:tc>
        <w:tc>
          <w:tcPr>
            <w:tcW w:w="989" w:type="dxa"/>
            <w:tcBorders>
              <w:top w:val="nil"/>
              <w:left w:val="nil"/>
              <w:bottom w:val="nil"/>
              <w:right w:val="nil"/>
            </w:tcBorders>
            <w:noWrap w:val="0"/>
            <w:vAlign w:val="center"/>
          </w:tcPr>
          <w:p w14:paraId="69313778">
            <w:pPr>
              <w:widowControl/>
              <w:spacing w:line="240" w:lineRule="auto"/>
              <w:jc w:val="left"/>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lang w:bidi="ar"/>
              </w:rPr>
              <w:t>0.146</w:t>
            </w:r>
          </w:p>
        </w:tc>
        <w:tc>
          <w:tcPr>
            <w:tcW w:w="1411" w:type="dxa"/>
            <w:tcBorders>
              <w:top w:val="nil"/>
              <w:left w:val="nil"/>
              <w:bottom w:val="nil"/>
              <w:right w:val="nil"/>
            </w:tcBorders>
            <w:noWrap w:val="0"/>
            <w:vAlign w:val="center"/>
          </w:tcPr>
          <w:p w14:paraId="6E79DE66">
            <w:pPr>
              <w:widowControl/>
              <w:spacing w:line="240" w:lineRule="auto"/>
              <w:jc w:val="left"/>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lang w:bidi="ar"/>
              </w:rPr>
              <w:t>0.945</w:t>
            </w:r>
          </w:p>
        </w:tc>
      </w:tr>
      <w:tr w14:paraId="300BBC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087" w:type="dxa"/>
            <w:vMerge w:val="continue"/>
            <w:tcBorders>
              <w:top w:val="nil"/>
              <w:left w:val="nil"/>
              <w:bottom w:val="nil"/>
              <w:right w:val="nil"/>
            </w:tcBorders>
            <w:noWrap w:val="0"/>
            <w:vAlign w:val="center"/>
          </w:tcPr>
          <w:p w14:paraId="504450AC">
            <w:pPr>
              <w:autoSpaceDE w:val="0"/>
              <w:autoSpaceDN w:val="0"/>
              <w:adjustRightInd w:val="0"/>
              <w:spacing w:line="240" w:lineRule="auto"/>
              <w:jc w:val="center"/>
              <w:rPr>
                <w:rFonts w:hint="default" w:ascii="Times New Roman" w:hAnsi="Times New Roman" w:cs="Times New Roman"/>
                <w:color w:val="auto"/>
                <w:kern w:val="0"/>
                <w:sz w:val="21"/>
                <w:szCs w:val="21"/>
                <w:highlight w:val="none"/>
              </w:rPr>
            </w:pPr>
          </w:p>
        </w:tc>
        <w:tc>
          <w:tcPr>
            <w:tcW w:w="1007" w:type="dxa"/>
            <w:tcBorders>
              <w:top w:val="nil"/>
              <w:left w:val="nil"/>
              <w:bottom w:val="nil"/>
              <w:right w:val="nil"/>
            </w:tcBorders>
            <w:noWrap w:val="0"/>
            <w:vAlign w:val="center"/>
          </w:tcPr>
          <w:p w14:paraId="50FCE70C">
            <w:pPr>
              <w:widowControl/>
              <w:spacing w:line="240" w:lineRule="auto"/>
              <w:jc w:val="left"/>
              <w:textAlignment w:val="center"/>
              <w:rPr>
                <w:rFonts w:hint="default" w:ascii="Times New Roman" w:hAnsi="Times New Roman" w:cs="Times New Roman"/>
                <w:b/>
                <w:bCs/>
                <w:color w:val="auto"/>
                <w:sz w:val="21"/>
                <w:szCs w:val="21"/>
                <w:highlight w:val="none"/>
              </w:rPr>
            </w:pPr>
            <w:r>
              <w:rPr>
                <w:rFonts w:hint="default" w:ascii="Times New Roman" w:hAnsi="Times New Roman" w:cs="Times New Roman"/>
                <w:color w:val="auto"/>
                <w:kern w:val="0"/>
                <w:sz w:val="21"/>
                <w:szCs w:val="21"/>
                <w:highlight w:val="none"/>
                <w:lang w:bidi="ar"/>
              </w:rPr>
              <w:t>0.181</w:t>
            </w:r>
          </w:p>
        </w:tc>
        <w:tc>
          <w:tcPr>
            <w:tcW w:w="1173" w:type="dxa"/>
            <w:tcBorders>
              <w:top w:val="nil"/>
              <w:left w:val="nil"/>
              <w:bottom w:val="nil"/>
              <w:right w:val="nil"/>
            </w:tcBorders>
            <w:noWrap w:val="0"/>
            <w:vAlign w:val="center"/>
          </w:tcPr>
          <w:p w14:paraId="0016ADD1">
            <w:pPr>
              <w:widowControl/>
              <w:spacing w:line="240" w:lineRule="auto"/>
              <w:jc w:val="left"/>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lang w:bidi="ar"/>
              </w:rPr>
              <w:t>0.384</w:t>
            </w:r>
          </w:p>
        </w:tc>
        <w:tc>
          <w:tcPr>
            <w:tcW w:w="1108" w:type="dxa"/>
            <w:tcBorders>
              <w:top w:val="nil"/>
              <w:left w:val="nil"/>
              <w:bottom w:val="nil"/>
              <w:right w:val="nil"/>
            </w:tcBorders>
            <w:noWrap w:val="0"/>
            <w:vAlign w:val="center"/>
          </w:tcPr>
          <w:p w14:paraId="7064A162">
            <w:pPr>
              <w:widowControl/>
              <w:spacing w:line="240" w:lineRule="auto"/>
              <w:jc w:val="left"/>
              <w:textAlignment w:val="center"/>
              <w:rPr>
                <w:rFonts w:hint="default" w:ascii="Times New Roman" w:hAnsi="Times New Roman" w:cs="Times New Roman"/>
                <w:color w:val="auto"/>
                <w:sz w:val="21"/>
                <w:szCs w:val="21"/>
                <w:highlight w:val="none"/>
              </w:rPr>
            </w:pPr>
            <w:r>
              <w:rPr>
                <w:rFonts w:hint="default" w:ascii="Times New Roman" w:hAnsi="Times New Roman" w:cs="Times New Roman"/>
                <w:b/>
                <w:bCs/>
                <w:color w:val="auto"/>
                <w:kern w:val="0"/>
                <w:sz w:val="21"/>
                <w:szCs w:val="21"/>
                <w:highlight w:val="none"/>
                <w:lang w:bidi="ar"/>
              </w:rPr>
              <w:t>0.813</w:t>
            </w:r>
          </w:p>
        </w:tc>
        <w:tc>
          <w:tcPr>
            <w:tcW w:w="1118" w:type="dxa"/>
            <w:tcBorders>
              <w:top w:val="nil"/>
              <w:left w:val="nil"/>
              <w:bottom w:val="nil"/>
              <w:right w:val="nil"/>
            </w:tcBorders>
            <w:noWrap w:val="0"/>
            <w:vAlign w:val="center"/>
          </w:tcPr>
          <w:p w14:paraId="29AD620D">
            <w:pPr>
              <w:widowControl/>
              <w:spacing w:line="240" w:lineRule="auto"/>
              <w:jc w:val="left"/>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lang w:bidi="ar"/>
              </w:rPr>
              <w:t>0.074</w:t>
            </w:r>
          </w:p>
        </w:tc>
        <w:tc>
          <w:tcPr>
            <w:tcW w:w="1053" w:type="dxa"/>
            <w:tcBorders>
              <w:top w:val="nil"/>
              <w:left w:val="nil"/>
              <w:bottom w:val="nil"/>
              <w:right w:val="nil"/>
            </w:tcBorders>
            <w:noWrap w:val="0"/>
            <w:vAlign w:val="center"/>
          </w:tcPr>
          <w:p w14:paraId="429D6DA6">
            <w:pPr>
              <w:widowControl/>
              <w:spacing w:line="240" w:lineRule="auto"/>
              <w:jc w:val="left"/>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lang w:bidi="ar"/>
              </w:rPr>
              <w:t>0.257</w:t>
            </w:r>
          </w:p>
        </w:tc>
        <w:tc>
          <w:tcPr>
            <w:tcW w:w="989" w:type="dxa"/>
            <w:tcBorders>
              <w:top w:val="nil"/>
              <w:left w:val="nil"/>
              <w:bottom w:val="nil"/>
              <w:right w:val="nil"/>
            </w:tcBorders>
            <w:noWrap w:val="0"/>
            <w:vAlign w:val="center"/>
          </w:tcPr>
          <w:p w14:paraId="2328714C">
            <w:pPr>
              <w:widowControl/>
              <w:spacing w:line="240" w:lineRule="auto"/>
              <w:jc w:val="left"/>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lang w:bidi="ar"/>
              </w:rPr>
              <w:t>0.143</w:t>
            </w:r>
          </w:p>
        </w:tc>
        <w:tc>
          <w:tcPr>
            <w:tcW w:w="1411" w:type="dxa"/>
            <w:tcBorders>
              <w:top w:val="nil"/>
              <w:left w:val="nil"/>
              <w:bottom w:val="nil"/>
              <w:right w:val="nil"/>
            </w:tcBorders>
            <w:noWrap w:val="0"/>
            <w:vAlign w:val="center"/>
          </w:tcPr>
          <w:p w14:paraId="6DC55960">
            <w:pPr>
              <w:widowControl/>
              <w:spacing w:line="240" w:lineRule="auto"/>
              <w:jc w:val="left"/>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lang w:bidi="ar"/>
              </w:rPr>
              <w:t>0.939</w:t>
            </w:r>
          </w:p>
        </w:tc>
      </w:tr>
      <w:tr w14:paraId="2F5E99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087" w:type="dxa"/>
            <w:vMerge w:val="continue"/>
            <w:tcBorders>
              <w:top w:val="nil"/>
              <w:left w:val="nil"/>
              <w:bottom w:val="single" w:color="auto" w:sz="4" w:space="0"/>
              <w:right w:val="nil"/>
            </w:tcBorders>
            <w:noWrap w:val="0"/>
            <w:vAlign w:val="center"/>
          </w:tcPr>
          <w:p w14:paraId="0968F9CC">
            <w:pPr>
              <w:autoSpaceDE w:val="0"/>
              <w:autoSpaceDN w:val="0"/>
              <w:adjustRightInd w:val="0"/>
              <w:spacing w:line="240" w:lineRule="auto"/>
              <w:jc w:val="center"/>
              <w:rPr>
                <w:rFonts w:hint="default" w:ascii="Times New Roman" w:hAnsi="Times New Roman" w:cs="Times New Roman"/>
                <w:color w:val="auto"/>
                <w:kern w:val="0"/>
                <w:sz w:val="21"/>
                <w:szCs w:val="21"/>
                <w:highlight w:val="none"/>
              </w:rPr>
            </w:pPr>
          </w:p>
        </w:tc>
        <w:tc>
          <w:tcPr>
            <w:tcW w:w="1007" w:type="dxa"/>
            <w:tcBorders>
              <w:top w:val="nil"/>
              <w:left w:val="nil"/>
              <w:bottom w:val="single" w:color="auto" w:sz="4" w:space="0"/>
              <w:right w:val="nil"/>
            </w:tcBorders>
            <w:noWrap w:val="0"/>
            <w:vAlign w:val="center"/>
          </w:tcPr>
          <w:p w14:paraId="631B17B0">
            <w:pPr>
              <w:widowControl/>
              <w:spacing w:line="240" w:lineRule="auto"/>
              <w:jc w:val="left"/>
              <w:textAlignment w:val="center"/>
              <w:rPr>
                <w:rFonts w:hint="default" w:ascii="Times New Roman" w:hAnsi="Times New Roman" w:cs="Times New Roman"/>
                <w:b/>
                <w:bCs/>
                <w:color w:val="auto"/>
                <w:sz w:val="21"/>
                <w:szCs w:val="21"/>
                <w:highlight w:val="none"/>
              </w:rPr>
            </w:pPr>
            <w:r>
              <w:rPr>
                <w:rFonts w:hint="default" w:ascii="Times New Roman" w:hAnsi="Times New Roman" w:cs="Times New Roman"/>
                <w:color w:val="auto"/>
                <w:kern w:val="0"/>
                <w:sz w:val="21"/>
                <w:szCs w:val="21"/>
                <w:highlight w:val="none"/>
                <w:lang w:bidi="ar"/>
              </w:rPr>
              <w:t>0.035</w:t>
            </w:r>
          </w:p>
        </w:tc>
        <w:tc>
          <w:tcPr>
            <w:tcW w:w="1173" w:type="dxa"/>
            <w:tcBorders>
              <w:top w:val="nil"/>
              <w:left w:val="nil"/>
              <w:bottom w:val="single" w:color="auto" w:sz="4" w:space="0"/>
              <w:right w:val="nil"/>
            </w:tcBorders>
            <w:noWrap w:val="0"/>
            <w:vAlign w:val="center"/>
          </w:tcPr>
          <w:p w14:paraId="79C0EE5E">
            <w:pPr>
              <w:widowControl/>
              <w:spacing w:line="240" w:lineRule="auto"/>
              <w:jc w:val="left"/>
              <w:textAlignment w:val="center"/>
              <w:rPr>
                <w:rFonts w:hint="default" w:ascii="Times New Roman" w:hAnsi="Times New Roman" w:cs="Times New Roman"/>
                <w:color w:val="auto"/>
                <w:sz w:val="21"/>
                <w:szCs w:val="21"/>
                <w:highlight w:val="none"/>
              </w:rPr>
            </w:pPr>
            <w:r>
              <w:rPr>
                <w:rFonts w:hint="default" w:ascii="Times New Roman" w:hAnsi="Times New Roman" w:cs="Times New Roman"/>
                <w:b/>
                <w:bCs/>
                <w:color w:val="auto"/>
                <w:kern w:val="0"/>
                <w:sz w:val="21"/>
                <w:szCs w:val="21"/>
                <w:highlight w:val="none"/>
                <w:lang w:bidi="ar"/>
              </w:rPr>
              <w:t>0.507</w:t>
            </w:r>
          </w:p>
        </w:tc>
        <w:tc>
          <w:tcPr>
            <w:tcW w:w="1108" w:type="dxa"/>
            <w:tcBorders>
              <w:top w:val="nil"/>
              <w:left w:val="nil"/>
              <w:bottom w:val="single" w:color="auto" w:sz="4" w:space="0"/>
              <w:right w:val="nil"/>
            </w:tcBorders>
            <w:noWrap w:val="0"/>
            <w:vAlign w:val="center"/>
          </w:tcPr>
          <w:p w14:paraId="77D44092">
            <w:pPr>
              <w:widowControl/>
              <w:spacing w:line="240" w:lineRule="auto"/>
              <w:jc w:val="left"/>
              <w:textAlignment w:val="center"/>
              <w:rPr>
                <w:rFonts w:hint="default" w:ascii="Times New Roman" w:hAnsi="Times New Roman" w:cs="Times New Roman"/>
                <w:color w:val="auto"/>
                <w:sz w:val="21"/>
                <w:szCs w:val="21"/>
                <w:highlight w:val="none"/>
              </w:rPr>
            </w:pPr>
            <w:r>
              <w:rPr>
                <w:rFonts w:hint="default" w:ascii="Times New Roman" w:hAnsi="Times New Roman" w:cs="Times New Roman"/>
                <w:b/>
                <w:bCs/>
                <w:color w:val="auto"/>
                <w:kern w:val="0"/>
                <w:sz w:val="21"/>
                <w:szCs w:val="21"/>
                <w:highlight w:val="none"/>
                <w:lang w:bidi="ar"/>
              </w:rPr>
              <w:t>0.657</w:t>
            </w:r>
          </w:p>
        </w:tc>
        <w:tc>
          <w:tcPr>
            <w:tcW w:w="1118" w:type="dxa"/>
            <w:tcBorders>
              <w:top w:val="nil"/>
              <w:left w:val="nil"/>
              <w:bottom w:val="single" w:color="auto" w:sz="4" w:space="0"/>
              <w:right w:val="nil"/>
            </w:tcBorders>
            <w:noWrap w:val="0"/>
            <w:vAlign w:val="center"/>
          </w:tcPr>
          <w:p w14:paraId="160BD219">
            <w:pPr>
              <w:widowControl/>
              <w:spacing w:line="240" w:lineRule="auto"/>
              <w:jc w:val="left"/>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lang w:bidi="ar"/>
              </w:rPr>
              <w:t>0.074</w:t>
            </w:r>
          </w:p>
        </w:tc>
        <w:tc>
          <w:tcPr>
            <w:tcW w:w="1053" w:type="dxa"/>
            <w:tcBorders>
              <w:top w:val="nil"/>
              <w:left w:val="nil"/>
              <w:bottom w:val="single" w:color="auto" w:sz="4" w:space="0"/>
              <w:right w:val="nil"/>
            </w:tcBorders>
            <w:noWrap w:val="0"/>
            <w:vAlign w:val="center"/>
          </w:tcPr>
          <w:p w14:paraId="45A55DEA">
            <w:pPr>
              <w:widowControl/>
              <w:spacing w:line="240" w:lineRule="auto"/>
              <w:jc w:val="left"/>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lang w:bidi="ar"/>
              </w:rPr>
              <w:t>0.127</w:t>
            </w:r>
          </w:p>
        </w:tc>
        <w:tc>
          <w:tcPr>
            <w:tcW w:w="989" w:type="dxa"/>
            <w:tcBorders>
              <w:top w:val="nil"/>
              <w:left w:val="nil"/>
              <w:bottom w:val="single" w:color="auto" w:sz="4" w:space="0"/>
              <w:right w:val="nil"/>
            </w:tcBorders>
            <w:noWrap w:val="0"/>
            <w:vAlign w:val="center"/>
          </w:tcPr>
          <w:p w14:paraId="745B0F42">
            <w:pPr>
              <w:widowControl/>
              <w:spacing w:line="240" w:lineRule="auto"/>
              <w:jc w:val="left"/>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lang w:bidi="ar"/>
              </w:rPr>
              <w:t>0.340</w:t>
            </w:r>
          </w:p>
        </w:tc>
        <w:tc>
          <w:tcPr>
            <w:tcW w:w="1411" w:type="dxa"/>
            <w:tcBorders>
              <w:top w:val="nil"/>
              <w:left w:val="nil"/>
              <w:bottom w:val="single" w:color="auto" w:sz="4" w:space="0"/>
              <w:right w:val="nil"/>
            </w:tcBorders>
            <w:noWrap w:val="0"/>
            <w:vAlign w:val="center"/>
          </w:tcPr>
          <w:p w14:paraId="49300850">
            <w:pPr>
              <w:widowControl/>
              <w:spacing w:line="240" w:lineRule="auto"/>
              <w:jc w:val="left"/>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lang w:bidi="ar"/>
              </w:rPr>
              <w:t>0.828</w:t>
            </w:r>
          </w:p>
        </w:tc>
      </w:tr>
      <w:tr w14:paraId="17EA6A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087" w:type="dxa"/>
            <w:vMerge w:val="restart"/>
            <w:tcBorders>
              <w:top w:val="single" w:color="auto" w:sz="4" w:space="0"/>
              <w:left w:val="nil"/>
              <w:bottom w:val="nil"/>
              <w:right w:val="nil"/>
            </w:tcBorders>
            <w:noWrap w:val="0"/>
            <w:vAlign w:val="top"/>
          </w:tcPr>
          <w:p w14:paraId="6D94C9BA">
            <w:pPr>
              <w:autoSpaceDE w:val="0"/>
              <w:autoSpaceDN w:val="0"/>
              <w:adjustRightInd w:val="0"/>
              <w:spacing w:line="240" w:lineRule="auto"/>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Loyalty</w:t>
            </w:r>
          </w:p>
        </w:tc>
        <w:tc>
          <w:tcPr>
            <w:tcW w:w="1007" w:type="dxa"/>
            <w:tcBorders>
              <w:top w:val="single" w:color="auto" w:sz="4" w:space="0"/>
              <w:left w:val="nil"/>
              <w:bottom w:val="nil"/>
              <w:right w:val="nil"/>
            </w:tcBorders>
            <w:noWrap w:val="0"/>
            <w:vAlign w:val="center"/>
          </w:tcPr>
          <w:p w14:paraId="495E5FB3">
            <w:pPr>
              <w:widowControl/>
              <w:spacing w:line="240" w:lineRule="auto"/>
              <w:jc w:val="left"/>
              <w:textAlignment w:val="center"/>
              <w:rPr>
                <w:rFonts w:hint="default" w:ascii="Times New Roman" w:hAnsi="Times New Roman" w:cs="Times New Roman"/>
                <w:color w:val="auto"/>
                <w:kern w:val="0"/>
                <w:sz w:val="21"/>
                <w:szCs w:val="21"/>
                <w:highlight w:val="none"/>
                <w:lang w:bidi="ar"/>
              </w:rPr>
            </w:pPr>
            <w:r>
              <w:rPr>
                <w:rFonts w:hint="default" w:ascii="Times New Roman" w:hAnsi="Times New Roman" w:cs="Times New Roman"/>
                <w:color w:val="auto"/>
                <w:kern w:val="0"/>
                <w:sz w:val="21"/>
                <w:szCs w:val="21"/>
                <w:highlight w:val="none"/>
                <w:lang w:bidi="ar"/>
              </w:rPr>
              <w:t>0.099</w:t>
            </w:r>
          </w:p>
        </w:tc>
        <w:tc>
          <w:tcPr>
            <w:tcW w:w="1173" w:type="dxa"/>
            <w:tcBorders>
              <w:top w:val="single" w:color="auto" w:sz="4" w:space="0"/>
              <w:left w:val="nil"/>
              <w:bottom w:val="nil"/>
              <w:right w:val="nil"/>
            </w:tcBorders>
            <w:noWrap w:val="0"/>
            <w:vAlign w:val="center"/>
          </w:tcPr>
          <w:p w14:paraId="2E256BA7">
            <w:pPr>
              <w:widowControl/>
              <w:spacing w:line="240" w:lineRule="auto"/>
              <w:jc w:val="left"/>
              <w:textAlignment w:val="center"/>
              <w:rPr>
                <w:rFonts w:hint="default" w:ascii="Times New Roman" w:hAnsi="Times New Roman" w:cs="Times New Roman"/>
                <w:b/>
                <w:bCs/>
                <w:color w:val="auto"/>
                <w:kern w:val="0"/>
                <w:sz w:val="21"/>
                <w:szCs w:val="21"/>
                <w:highlight w:val="none"/>
                <w:lang w:bidi="ar"/>
              </w:rPr>
            </w:pPr>
            <w:r>
              <w:rPr>
                <w:rFonts w:hint="default" w:ascii="Times New Roman" w:hAnsi="Times New Roman" w:cs="Times New Roman"/>
                <w:b/>
                <w:bCs/>
                <w:color w:val="auto"/>
                <w:kern w:val="0"/>
                <w:sz w:val="21"/>
                <w:szCs w:val="21"/>
                <w:highlight w:val="none"/>
                <w:lang w:bidi="ar"/>
              </w:rPr>
              <w:t>0.837</w:t>
            </w:r>
          </w:p>
        </w:tc>
        <w:tc>
          <w:tcPr>
            <w:tcW w:w="1108" w:type="dxa"/>
            <w:tcBorders>
              <w:top w:val="single" w:color="auto" w:sz="4" w:space="0"/>
              <w:left w:val="nil"/>
              <w:bottom w:val="nil"/>
              <w:right w:val="nil"/>
            </w:tcBorders>
            <w:noWrap w:val="0"/>
            <w:vAlign w:val="center"/>
          </w:tcPr>
          <w:p w14:paraId="2F780617">
            <w:pPr>
              <w:widowControl/>
              <w:spacing w:line="240" w:lineRule="auto"/>
              <w:jc w:val="left"/>
              <w:textAlignment w:val="center"/>
              <w:rPr>
                <w:rFonts w:hint="default" w:ascii="Times New Roman" w:hAnsi="Times New Roman" w:cs="Times New Roman"/>
                <w:b/>
                <w:bCs/>
                <w:color w:val="auto"/>
                <w:kern w:val="0"/>
                <w:sz w:val="21"/>
                <w:szCs w:val="21"/>
                <w:highlight w:val="none"/>
                <w:lang w:bidi="ar"/>
              </w:rPr>
            </w:pPr>
            <w:r>
              <w:rPr>
                <w:rFonts w:hint="default" w:ascii="Times New Roman" w:hAnsi="Times New Roman" w:cs="Times New Roman"/>
                <w:color w:val="auto"/>
                <w:kern w:val="0"/>
                <w:sz w:val="21"/>
                <w:szCs w:val="21"/>
                <w:highlight w:val="none"/>
                <w:lang w:bidi="ar"/>
              </w:rPr>
              <w:t>0.312</w:t>
            </w:r>
          </w:p>
        </w:tc>
        <w:tc>
          <w:tcPr>
            <w:tcW w:w="1118" w:type="dxa"/>
            <w:tcBorders>
              <w:top w:val="single" w:color="auto" w:sz="4" w:space="0"/>
              <w:left w:val="nil"/>
              <w:bottom w:val="nil"/>
              <w:right w:val="nil"/>
            </w:tcBorders>
            <w:noWrap w:val="0"/>
            <w:vAlign w:val="center"/>
          </w:tcPr>
          <w:p w14:paraId="60095925">
            <w:pPr>
              <w:widowControl/>
              <w:spacing w:line="240" w:lineRule="auto"/>
              <w:jc w:val="left"/>
              <w:textAlignment w:val="center"/>
              <w:rPr>
                <w:rFonts w:hint="default" w:ascii="Times New Roman" w:hAnsi="Times New Roman" w:cs="Times New Roman"/>
                <w:color w:val="auto"/>
                <w:kern w:val="0"/>
                <w:sz w:val="21"/>
                <w:szCs w:val="21"/>
                <w:highlight w:val="none"/>
                <w:lang w:bidi="ar"/>
              </w:rPr>
            </w:pPr>
            <w:r>
              <w:rPr>
                <w:rFonts w:hint="default" w:ascii="Times New Roman" w:hAnsi="Times New Roman" w:cs="Times New Roman"/>
                <w:color w:val="auto"/>
                <w:kern w:val="0"/>
                <w:sz w:val="21"/>
                <w:szCs w:val="21"/>
                <w:highlight w:val="none"/>
                <w:lang w:bidi="ar"/>
              </w:rPr>
              <w:t>0.002</w:t>
            </w:r>
          </w:p>
        </w:tc>
        <w:tc>
          <w:tcPr>
            <w:tcW w:w="1053" w:type="dxa"/>
            <w:tcBorders>
              <w:top w:val="single" w:color="auto" w:sz="4" w:space="0"/>
              <w:left w:val="nil"/>
              <w:bottom w:val="nil"/>
              <w:right w:val="nil"/>
            </w:tcBorders>
            <w:noWrap w:val="0"/>
            <w:vAlign w:val="center"/>
          </w:tcPr>
          <w:p w14:paraId="3069EED0">
            <w:pPr>
              <w:widowControl/>
              <w:spacing w:line="240" w:lineRule="auto"/>
              <w:jc w:val="left"/>
              <w:textAlignment w:val="center"/>
              <w:rPr>
                <w:rFonts w:hint="default" w:ascii="Times New Roman" w:hAnsi="Times New Roman" w:cs="Times New Roman"/>
                <w:color w:val="auto"/>
                <w:kern w:val="0"/>
                <w:sz w:val="21"/>
                <w:szCs w:val="21"/>
                <w:highlight w:val="none"/>
                <w:lang w:bidi="ar"/>
              </w:rPr>
            </w:pPr>
            <w:r>
              <w:rPr>
                <w:rStyle w:val="9"/>
                <w:rFonts w:hint="default" w:ascii="Times New Roman" w:hAnsi="Times New Roman" w:cs="Times New Roman"/>
                <w:color w:val="auto"/>
                <w:sz w:val="21"/>
                <w:szCs w:val="21"/>
                <w:highlight w:val="none"/>
                <w:lang w:bidi="ar"/>
              </w:rPr>
              <w:t>0</w:t>
            </w:r>
            <w:r>
              <w:rPr>
                <w:rStyle w:val="9"/>
                <w:rFonts w:hint="default" w:ascii="Times New Roman" w:hAnsi="Times New Roman" w:cs="Times New Roman"/>
                <w:color w:val="auto"/>
                <w:sz w:val="21"/>
                <w:szCs w:val="21"/>
                <w:highlight w:val="none"/>
                <w:lang w:val="en-US" w:eastAsia="zh-CN" w:bidi="ar"/>
              </w:rPr>
              <w:t>.</w:t>
            </w:r>
            <w:r>
              <w:rPr>
                <w:rStyle w:val="9"/>
                <w:rFonts w:hint="default" w:ascii="Times New Roman" w:hAnsi="Times New Roman" w:cs="Times New Roman"/>
                <w:color w:val="auto"/>
                <w:sz w:val="21"/>
                <w:szCs w:val="21"/>
                <w:highlight w:val="none"/>
                <w:lang w:bidi="ar"/>
              </w:rPr>
              <w:t>268</w:t>
            </w:r>
          </w:p>
        </w:tc>
        <w:tc>
          <w:tcPr>
            <w:tcW w:w="989" w:type="dxa"/>
            <w:tcBorders>
              <w:top w:val="single" w:color="auto" w:sz="4" w:space="0"/>
              <w:left w:val="nil"/>
              <w:bottom w:val="nil"/>
              <w:right w:val="nil"/>
            </w:tcBorders>
            <w:noWrap w:val="0"/>
            <w:vAlign w:val="center"/>
          </w:tcPr>
          <w:p w14:paraId="18B7D96D">
            <w:pPr>
              <w:widowControl/>
              <w:spacing w:line="240" w:lineRule="auto"/>
              <w:jc w:val="left"/>
              <w:textAlignment w:val="center"/>
              <w:rPr>
                <w:rFonts w:hint="default" w:ascii="Times New Roman" w:hAnsi="Times New Roman" w:cs="Times New Roman"/>
                <w:color w:val="auto"/>
                <w:kern w:val="0"/>
                <w:sz w:val="21"/>
                <w:szCs w:val="21"/>
                <w:highlight w:val="none"/>
                <w:lang w:bidi="ar"/>
              </w:rPr>
            </w:pPr>
            <w:r>
              <w:rPr>
                <w:rFonts w:hint="default" w:ascii="Times New Roman" w:hAnsi="Times New Roman" w:cs="Times New Roman"/>
                <w:color w:val="auto"/>
                <w:kern w:val="0"/>
                <w:sz w:val="21"/>
                <w:szCs w:val="21"/>
                <w:highlight w:val="none"/>
                <w:lang w:bidi="ar"/>
              </w:rPr>
              <w:t>0.086</w:t>
            </w:r>
          </w:p>
        </w:tc>
        <w:tc>
          <w:tcPr>
            <w:tcW w:w="1411" w:type="dxa"/>
            <w:tcBorders>
              <w:top w:val="single" w:color="auto" w:sz="4" w:space="0"/>
              <w:left w:val="nil"/>
              <w:bottom w:val="nil"/>
              <w:right w:val="nil"/>
            </w:tcBorders>
            <w:noWrap w:val="0"/>
            <w:vAlign w:val="center"/>
          </w:tcPr>
          <w:p w14:paraId="41430776">
            <w:pPr>
              <w:widowControl/>
              <w:spacing w:line="240" w:lineRule="auto"/>
              <w:jc w:val="left"/>
              <w:textAlignment w:val="center"/>
              <w:rPr>
                <w:rFonts w:hint="default" w:ascii="Times New Roman" w:hAnsi="Times New Roman" w:cs="Times New Roman"/>
                <w:color w:val="auto"/>
                <w:kern w:val="0"/>
                <w:sz w:val="21"/>
                <w:szCs w:val="21"/>
                <w:highlight w:val="none"/>
                <w:lang w:bidi="ar"/>
              </w:rPr>
            </w:pPr>
            <w:r>
              <w:rPr>
                <w:rFonts w:hint="default" w:ascii="Times New Roman" w:hAnsi="Times New Roman" w:cs="Times New Roman"/>
                <w:color w:val="auto"/>
                <w:kern w:val="0"/>
                <w:sz w:val="21"/>
                <w:szCs w:val="21"/>
                <w:highlight w:val="none"/>
                <w:lang w:bidi="ar"/>
              </w:rPr>
              <w:t>0.887</w:t>
            </w:r>
          </w:p>
        </w:tc>
      </w:tr>
      <w:tr w14:paraId="3575F4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087" w:type="dxa"/>
            <w:vMerge w:val="continue"/>
            <w:tcBorders>
              <w:top w:val="nil"/>
              <w:left w:val="nil"/>
              <w:bottom w:val="nil"/>
              <w:right w:val="nil"/>
            </w:tcBorders>
            <w:noWrap w:val="0"/>
            <w:vAlign w:val="center"/>
          </w:tcPr>
          <w:p w14:paraId="319F2A1B">
            <w:pPr>
              <w:autoSpaceDE w:val="0"/>
              <w:autoSpaceDN w:val="0"/>
              <w:adjustRightInd w:val="0"/>
              <w:spacing w:line="240" w:lineRule="auto"/>
              <w:jc w:val="center"/>
              <w:rPr>
                <w:rFonts w:hint="default" w:ascii="Times New Roman" w:hAnsi="Times New Roman" w:cs="Times New Roman"/>
                <w:color w:val="auto"/>
                <w:kern w:val="0"/>
                <w:sz w:val="21"/>
                <w:szCs w:val="21"/>
                <w:highlight w:val="none"/>
              </w:rPr>
            </w:pPr>
          </w:p>
        </w:tc>
        <w:tc>
          <w:tcPr>
            <w:tcW w:w="1007" w:type="dxa"/>
            <w:tcBorders>
              <w:top w:val="nil"/>
              <w:left w:val="nil"/>
              <w:bottom w:val="nil"/>
              <w:right w:val="nil"/>
            </w:tcBorders>
            <w:noWrap w:val="0"/>
            <w:vAlign w:val="center"/>
          </w:tcPr>
          <w:p w14:paraId="3ACFE524">
            <w:pPr>
              <w:widowControl/>
              <w:spacing w:line="240" w:lineRule="auto"/>
              <w:jc w:val="left"/>
              <w:textAlignment w:val="center"/>
              <w:rPr>
                <w:rFonts w:hint="default" w:ascii="Times New Roman" w:hAnsi="Times New Roman" w:cs="Times New Roman"/>
                <w:color w:val="auto"/>
                <w:kern w:val="0"/>
                <w:sz w:val="21"/>
                <w:szCs w:val="21"/>
                <w:highlight w:val="none"/>
                <w:lang w:bidi="ar"/>
              </w:rPr>
            </w:pPr>
            <w:r>
              <w:rPr>
                <w:rFonts w:hint="default" w:ascii="Times New Roman" w:hAnsi="Times New Roman" w:cs="Times New Roman"/>
                <w:color w:val="auto"/>
                <w:kern w:val="0"/>
                <w:sz w:val="21"/>
                <w:szCs w:val="21"/>
                <w:highlight w:val="none"/>
                <w:lang w:bidi="ar"/>
              </w:rPr>
              <w:t>0.099</w:t>
            </w:r>
          </w:p>
        </w:tc>
        <w:tc>
          <w:tcPr>
            <w:tcW w:w="1173" w:type="dxa"/>
            <w:tcBorders>
              <w:top w:val="nil"/>
              <w:left w:val="nil"/>
              <w:bottom w:val="nil"/>
              <w:right w:val="nil"/>
            </w:tcBorders>
            <w:noWrap w:val="0"/>
            <w:vAlign w:val="center"/>
          </w:tcPr>
          <w:p w14:paraId="76860C47">
            <w:pPr>
              <w:widowControl/>
              <w:spacing w:line="240" w:lineRule="auto"/>
              <w:jc w:val="left"/>
              <w:textAlignment w:val="center"/>
              <w:rPr>
                <w:rFonts w:hint="default" w:ascii="Times New Roman" w:hAnsi="Times New Roman" w:cs="Times New Roman"/>
                <w:b/>
                <w:bCs/>
                <w:color w:val="auto"/>
                <w:kern w:val="0"/>
                <w:sz w:val="21"/>
                <w:szCs w:val="21"/>
                <w:highlight w:val="none"/>
                <w:lang w:bidi="ar"/>
              </w:rPr>
            </w:pPr>
            <w:r>
              <w:rPr>
                <w:rFonts w:hint="default" w:ascii="Times New Roman" w:hAnsi="Times New Roman" w:cs="Times New Roman"/>
                <w:b/>
                <w:bCs/>
                <w:color w:val="auto"/>
                <w:kern w:val="0"/>
                <w:sz w:val="21"/>
                <w:szCs w:val="21"/>
                <w:highlight w:val="none"/>
                <w:lang w:bidi="ar"/>
              </w:rPr>
              <w:t>0.865</w:t>
            </w:r>
          </w:p>
        </w:tc>
        <w:tc>
          <w:tcPr>
            <w:tcW w:w="1108" w:type="dxa"/>
            <w:tcBorders>
              <w:top w:val="nil"/>
              <w:left w:val="nil"/>
              <w:bottom w:val="nil"/>
              <w:right w:val="nil"/>
            </w:tcBorders>
            <w:noWrap w:val="0"/>
            <w:vAlign w:val="center"/>
          </w:tcPr>
          <w:p w14:paraId="2E9B5A3E">
            <w:pPr>
              <w:widowControl/>
              <w:spacing w:line="240" w:lineRule="auto"/>
              <w:jc w:val="left"/>
              <w:textAlignment w:val="center"/>
              <w:rPr>
                <w:rFonts w:hint="default" w:ascii="Times New Roman" w:hAnsi="Times New Roman" w:cs="Times New Roman"/>
                <w:b/>
                <w:bCs/>
                <w:color w:val="auto"/>
                <w:kern w:val="0"/>
                <w:sz w:val="21"/>
                <w:szCs w:val="21"/>
                <w:highlight w:val="none"/>
                <w:lang w:bidi="ar"/>
              </w:rPr>
            </w:pPr>
            <w:r>
              <w:rPr>
                <w:rFonts w:hint="default" w:ascii="Times New Roman" w:hAnsi="Times New Roman" w:cs="Times New Roman"/>
                <w:color w:val="auto"/>
                <w:kern w:val="0"/>
                <w:sz w:val="21"/>
                <w:szCs w:val="21"/>
                <w:highlight w:val="none"/>
                <w:lang w:bidi="ar"/>
              </w:rPr>
              <w:t>0.288</w:t>
            </w:r>
          </w:p>
        </w:tc>
        <w:tc>
          <w:tcPr>
            <w:tcW w:w="1118" w:type="dxa"/>
            <w:tcBorders>
              <w:top w:val="nil"/>
              <w:left w:val="nil"/>
              <w:bottom w:val="nil"/>
              <w:right w:val="nil"/>
            </w:tcBorders>
            <w:noWrap w:val="0"/>
            <w:vAlign w:val="center"/>
          </w:tcPr>
          <w:p w14:paraId="04967DAB">
            <w:pPr>
              <w:widowControl/>
              <w:spacing w:line="240" w:lineRule="auto"/>
              <w:jc w:val="left"/>
              <w:textAlignment w:val="center"/>
              <w:rPr>
                <w:rFonts w:hint="default" w:ascii="Times New Roman" w:hAnsi="Times New Roman" w:cs="Times New Roman"/>
                <w:color w:val="auto"/>
                <w:kern w:val="0"/>
                <w:sz w:val="21"/>
                <w:szCs w:val="21"/>
                <w:highlight w:val="none"/>
                <w:lang w:bidi="ar"/>
              </w:rPr>
            </w:pPr>
            <w:r>
              <w:rPr>
                <w:rFonts w:hint="default" w:ascii="Times New Roman" w:hAnsi="Times New Roman" w:cs="Times New Roman"/>
                <w:color w:val="auto"/>
                <w:kern w:val="0"/>
                <w:sz w:val="21"/>
                <w:szCs w:val="21"/>
                <w:highlight w:val="none"/>
                <w:lang w:bidi="ar"/>
              </w:rPr>
              <w:t>-0.048</w:t>
            </w:r>
          </w:p>
        </w:tc>
        <w:tc>
          <w:tcPr>
            <w:tcW w:w="1053" w:type="dxa"/>
            <w:tcBorders>
              <w:top w:val="nil"/>
              <w:left w:val="nil"/>
              <w:bottom w:val="nil"/>
              <w:right w:val="nil"/>
            </w:tcBorders>
            <w:noWrap w:val="0"/>
            <w:vAlign w:val="center"/>
          </w:tcPr>
          <w:p w14:paraId="70FE8527">
            <w:pPr>
              <w:widowControl/>
              <w:spacing w:line="240" w:lineRule="auto"/>
              <w:jc w:val="left"/>
              <w:textAlignment w:val="center"/>
              <w:rPr>
                <w:rFonts w:hint="default" w:ascii="Times New Roman" w:hAnsi="Times New Roman" w:cs="Times New Roman"/>
                <w:color w:val="auto"/>
                <w:kern w:val="0"/>
                <w:sz w:val="21"/>
                <w:szCs w:val="21"/>
                <w:highlight w:val="none"/>
                <w:lang w:bidi="ar"/>
              </w:rPr>
            </w:pPr>
            <w:r>
              <w:rPr>
                <w:rFonts w:hint="default" w:ascii="Times New Roman" w:hAnsi="Times New Roman" w:cs="Times New Roman"/>
                <w:color w:val="auto"/>
                <w:kern w:val="0"/>
                <w:sz w:val="21"/>
                <w:szCs w:val="21"/>
                <w:highlight w:val="none"/>
                <w:lang w:bidi="ar"/>
              </w:rPr>
              <w:t>0.255</w:t>
            </w:r>
          </w:p>
        </w:tc>
        <w:tc>
          <w:tcPr>
            <w:tcW w:w="989" w:type="dxa"/>
            <w:tcBorders>
              <w:top w:val="nil"/>
              <w:left w:val="nil"/>
              <w:bottom w:val="nil"/>
              <w:right w:val="nil"/>
            </w:tcBorders>
            <w:noWrap w:val="0"/>
            <w:vAlign w:val="center"/>
          </w:tcPr>
          <w:p w14:paraId="5C030A45">
            <w:pPr>
              <w:widowControl/>
              <w:spacing w:line="240" w:lineRule="auto"/>
              <w:jc w:val="left"/>
              <w:textAlignment w:val="center"/>
              <w:rPr>
                <w:rFonts w:hint="default" w:ascii="Times New Roman" w:hAnsi="Times New Roman" w:cs="Times New Roman"/>
                <w:color w:val="auto"/>
                <w:kern w:val="0"/>
                <w:sz w:val="21"/>
                <w:szCs w:val="21"/>
                <w:highlight w:val="none"/>
                <w:lang w:bidi="ar"/>
              </w:rPr>
            </w:pPr>
            <w:r>
              <w:rPr>
                <w:rFonts w:hint="default" w:ascii="Times New Roman" w:hAnsi="Times New Roman" w:cs="Times New Roman"/>
                <w:color w:val="auto"/>
                <w:kern w:val="0"/>
                <w:sz w:val="21"/>
                <w:szCs w:val="21"/>
                <w:highlight w:val="none"/>
                <w:lang w:bidi="ar"/>
              </w:rPr>
              <w:t>0.116</w:t>
            </w:r>
          </w:p>
        </w:tc>
        <w:tc>
          <w:tcPr>
            <w:tcW w:w="1411" w:type="dxa"/>
            <w:tcBorders>
              <w:top w:val="nil"/>
              <w:left w:val="nil"/>
              <w:bottom w:val="nil"/>
              <w:right w:val="nil"/>
            </w:tcBorders>
            <w:noWrap w:val="0"/>
            <w:vAlign w:val="center"/>
          </w:tcPr>
          <w:p w14:paraId="6034339E">
            <w:pPr>
              <w:widowControl/>
              <w:spacing w:line="240" w:lineRule="auto"/>
              <w:jc w:val="left"/>
              <w:textAlignment w:val="center"/>
              <w:rPr>
                <w:rFonts w:hint="default" w:ascii="Times New Roman" w:hAnsi="Times New Roman" w:cs="Times New Roman"/>
                <w:color w:val="auto"/>
                <w:kern w:val="0"/>
                <w:sz w:val="21"/>
                <w:szCs w:val="21"/>
                <w:highlight w:val="none"/>
                <w:lang w:bidi="ar"/>
              </w:rPr>
            </w:pPr>
            <w:r>
              <w:rPr>
                <w:rFonts w:hint="default" w:ascii="Times New Roman" w:hAnsi="Times New Roman" w:cs="Times New Roman"/>
                <w:color w:val="auto"/>
                <w:kern w:val="0"/>
                <w:sz w:val="21"/>
                <w:szCs w:val="21"/>
                <w:highlight w:val="none"/>
                <w:lang w:bidi="ar"/>
              </w:rPr>
              <w:t>0.92</w:t>
            </w:r>
          </w:p>
        </w:tc>
      </w:tr>
      <w:tr w14:paraId="4ED31B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087" w:type="dxa"/>
            <w:vMerge w:val="continue"/>
            <w:tcBorders>
              <w:top w:val="nil"/>
              <w:left w:val="nil"/>
              <w:bottom w:val="nil"/>
              <w:right w:val="nil"/>
            </w:tcBorders>
            <w:noWrap w:val="0"/>
            <w:vAlign w:val="center"/>
          </w:tcPr>
          <w:p w14:paraId="382095D8">
            <w:pPr>
              <w:autoSpaceDE w:val="0"/>
              <w:autoSpaceDN w:val="0"/>
              <w:adjustRightInd w:val="0"/>
              <w:spacing w:line="240" w:lineRule="auto"/>
              <w:jc w:val="center"/>
              <w:rPr>
                <w:rFonts w:hint="default" w:ascii="Times New Roman" w:hAnsi="Times New Roman" w:cs="Times New Roman"/>
                <w:color w:val="auto"/>
                <w:kern w:val="0"/>
                <w:sz w:val="21"/>
                <w:szCs w:val="21"/>
                <w:highlight w:val="none"/>
              </w:rPr>
            </w:pPr>
          </w:p>
        </w:tc>
        <w:tc>
          <w:tcPr>
            <w:tcW w:w="1007" w:type="dxa"/>
            <w:tcBorders>
              <w:top w:val="nil"/>
              <w:left w:val="nil"/>
              <w:bottom w:val="nil"/>
              <w:right w:val="nil"/>
            </w:tcBorders>
            <w:noWrap w:val="0"/>
            <w:vAlign w:val="center"/>
          </w:tcPr>
          <w:p w14:paraId="26D6093D">
            <w:pPr>
              <w:widowControl/>
              <w:spacing w:line="240" w:lineRule="auto"/>
              <w:jc w:val="left"/>
              <w:textAlignment w:val="center"/>
              <w:rPr>
                <w:rFonts w:hint="default" w:ascii="Times New Roman" w:hAnsi="Times New Roman" w:cs="Times New Roman"/>
                <w:color w:val="auto"/>
                <w:kern w:val="0"/>
                <w:sz w:val="21"/>
                <w:szCs w:val="21"/>
                <w:highlight w:val="none"/>
                <w:lang w:bidi="ar"/>
              </w:rPr>
            </w:pPr>
            <w:r>
              <w:rPr>
                <w:rFonts w:hint="default" w:ascii="Times New Roman" w:hAnsi="Times New Roman" w:cs="Times New Roman"/>
                <w:color w:val="auto"/>
                <w:kern w:val="0"/>
                <w:sz w:val="21"/>
                <w:szCs w:val="21"/>
                <w:highlight w:val="none"/>
                <w:lang w:bidi="ar"/>
              </w:rPr>
              <w:t>0.02</w:t>
            </w:r>
          </w:p>
        </w:tc>
        <w:tc>
          <w:tcPr>
            <w:tcW w:w="1173" w:type="dxa"/>
            <w:tcBorders>
              <w:top w:val="nil"/>
              <w:left w:val="nil"/>
              <w:bottom w:val="nil"/>
              <w:right w:val="nil"/>
            </w:tcBorders>
            <w:noWrap w:val="0"/>
            <w:vAlign w:val="center"/>
          </w:tcPr>
          <w:p w14:paraId="209A3DC3">
            <w:pPr>
              <w:widowControl/>
              <w:spacing w:line="240" w:lineRule="auto"/>
              <w:jc w:val="left"/>
              <w:textAlignment w:val="center"/>
              <w:rPr>
                <w:rFonts w:hint="default" w:ascii="Times New Roman" w:hAnsi="Times New Roman" w:cs="Times New Roman"/>
                <w:b/>
                <w:bCs/>
                <w:color w:val="auto"/>
                <w:kern w:val="0"/>
                <w:sz w:val="21"/>
                <w:szCs w:val="21"/>
                <w:highlight w:val="none"/>
                <w:lang w:bidi="ar"/>
              </w:rPr>
            </w:pPr>
            <w:r>
              <w:rPr>
                <w:rFonts w:hint="default" w:ascii="Times New Roman" w:hAnsi="Times New Roman" w:cs="Times New Roman"/>
                <w:b/>
                <w:bCs/>
                <w:color w:val="auto"/>
                <w:kern w:val="0"/>
                <w:sz w:val="21"/>
                <w:szCs w:val="21"/>
                <w:highlight w:val="none"/>
                <w:lang w:bidi="ar"/>
              </w:rPr>
              <w:t>0.878</w:t>
            </w:r>
          </w:p>
        </w:tc>
        <w:tc>
          <w:tcPr>
            <w:tcW w:w="1108" w:type="dxa"/>
            <w:tcBorders>
              <w:top w:val="nil"/>
              <w:left w:val="nil"/>
              <w:bottom w:val="nil"/>
              <w:right w:val="nil"/>
            </w:tcBorders>
            <w:noWrap w:val="0"/>
            <w:vAlign w:val="center"/>
          </w:tcPr>
          <w:p w14:paraId="44213833">
            <w:pPr>
              <w:widowControl/>
              <w:spacing w:line="240" w:lineRule="auto"/>
              <w:jc w:val="left"/>
              <w:textAlignment w:val="center"/>
              <w:rPr>
                <w:rFonts w:hint="default" w:ascii="Times New Roman" w:hAnsi="Times New Roman" w:cs="Times New Roman"/>
                <w:b/>
                <w:bCs/>
                <w:color w:val="auto"/>
                <w:kern w:val="0"/>
                <w:sz w:val="21"/>
                <w:szCs w:val="21"/>
                <w:highlight w:val="none"/>
                <w:lang w:bidi="ar"/>
              </w:rPr>
            </w:pPr>
            <w:r>
              <w:rPr>
                <w:rFonts w:hint="default" w:ascii="Times New Roman" w:hAnsi="Times New Roman" w:cs="Times New Roman"/>
                <w:color w:val="auto"/>
                <w:kern w:val="0"/>
                <w:sz w:val="21"/>
                <w:szCs w:val="21"/>
                <w:highlight w:val="none"/>
                <w:lang w:bidi="ar"/>
              </w:rPr>
              <w:t>0.241</w:t>
            </w:r>
          </w:p>
        </w:tc>
        <w:tc>
          <w:tcPr>
            <w:tcW w:w="1118" w:type="dxa"/>
            <w:tcBorders>
              <w:top w:val="nil"/>
              <w:left w:val="nil"/>
              <w:bottom w:val="nil"/>
              <w:right w:val="nil"/>
            </w:tcBorders>
            <w:noWrap w:val="0"/>
            <w:vAlign w:val="center"/>
          </w:tcPr>
          <w:p w14:paraId="23BD112A">
            <w:pPr>
              <w:widowControl/>
              <w:spacing w:line="240" w:lineRule="auto"/>
              <w:jc w:val="left"/>
              <w:textAlignment w:val="center"/>
              <w:rPr>
                <w:rFonts w:hint="default" w:ascii="Times New Roman" w:hAnsi="Times New Roman" w:cs="Times New Roman"/>
                <w:color w:val="auto"/>
                <w:kern w:val="0"/>
                <w:sz w:val="21"/>
                <w:szCs w:val="21"/>
                <w:highlight w:val="none"/>
                <w:lang w:bidi="ar"/>
              </w:rPr>
            </w:pPr>
            <w:r>
              <w:rPr>
                <w:rFonts w:hint="default" w:ascii="Times New Roman" w:hAnsi="Times New Roman" w:cs="Times New Roman"/>
                <w:color w:val="auto"/>
                <w:kern w:val="0"/>
                <w:sz w:val="21"/>
                <w:szCs w:val="21"/>
                <w:highlight w:val="none"/>
                <w:lang w:bidi="ar"/>
              </w:rPr>
              <w:t>0.057</w:t>
            </w:r>
          </w:p>
        </w:tc>
        <w:tc>
          <w:tcPr>
            <w:tcW w:w="1053" w:type="dxa"/>
            <w:tcBorders>
              <w:top w:val="nil"/>
              <w:left w:val="nil"/>
              <w:bottom w:val="nil"/>
              <w:right w:val="nil"/>
            </w:tcBorders>
            <w:noWrap w:val="0"/>
            <w:vAlign w:val="center"/>
          </w:tcPr>
          <w:p w14:paraId="5A167EAA">
            <w:pPr>
              <w:widowControl/>
              <w:spacing w:line="240" w:lineRule="auto"/>
              <w:jc w:val="left"/>
              <w:textAlignment w:val="center"/>
              <w:rPr>
                <w:rFonts w:hint="default" w:ascii="Times New Roman" w:hAnsi="Times New Roman" w:cs="Times New Roman"/>
                <w:color w:val="auto"/>
                <w:kern w:val="0"/>
                <w:sz w:val="21"/>
                <w:szCs w:val="21"/>
                <w:highlight w:val="none"/>
                <w:lang w:bidi="ar"/>
              </w:rPr>
            </w:pPr>
            <w:r>
              <w:rPr>
                <w:rFonts w:hint="default" w:ascii="Times New Roman" w:hAnsi="Times New Roman" w:cs="Times New Roman"/>
                <w:color w:val="auto"/>
                <w:kern w:val="0"/>
                <w:sz w:val="21"/>
                <w:szCs w:val="21"/>
                <w:highlight w:val="none"/>
                <w:lang w:bidi="ar"/>
              </w:rPr>
              <w:t>0.140</w:t>
            </w:r>
          </w:p>
        </w:tc>
        <w:tc>
          <w:tcPr>
            <w:tcW w:w="989" w:type="dxa"/>
            <w:tcBorders>
              <w:top w:val="nil"/>
              <w:left w:val="nil"/>
              <w:bottom w:val="nil"/>
              <w:right w:val="nil"/>
            </w:tcBorders>
            <w:noWrap w:val="0"/>
            <w:vAlign w:val="center"/>
          </w:tcPr>
          <w:p w14:paraId="1CAA52D6">
            <w:pPr>
              <w:widowControl/>
              <w:spacing w:line="240" w:lineRule="auto"/>
              <w:jc w:val="left"/>
              <w:textAlignment w:val="center"/>
              <w:rPr>
                <w:rFonts w:hint="default" w:ascii="Times New Roman" w:hAnsi="Times New Roman" w:cs="Times New Roman"/>
                <w:color w:val="auto"/>
                <w:kern w:val="0"/>
                <w:sz w:val="21"/>
                <w:szCs w:val="21"/>
                <w:highlight w:val="none"/>
                <w:lang w:bidi="ar"/>
              </w:rPr>
            </w:pPr>
            <w:r>
              <w:rPr>
                <w:rFonts w:hint="default" w:ascii="Times New Roman" w:hAnsi="Times New Roman" w:cs="Times New Roman"/>
                <w:color w:val="auto"/>
                <w:kern w:val="0"/>
                <w:sz w:val="21"/>
                <w:szCs w:val="21"/>
                <w:highlight w:val="none"/>
                <w:lang w:bidi="ar"/>
              </w:rPr>
              <w:t>0.248</w:t>
            </w:r>
          </w:p>
        </w:tc>
        <w:tc>
          <w:tcPr>
            <w:tcW w:w="1411" w:type="dxa"/>
            <w:tcBorders>
              <w:top w:val="nil"/>
              <w:left w:val="nil"/>
              <w:bottom w:val="nil"/>
              <w:right w:val="nil"/>
            </w:tcBorders>
            <w:noWrap w:val="0"/>
            <w:vAlign w:val="center"/>
          </w:tcPr>
          <w:p w14:paraId="07DE7E97">
            <w:pPr>
              <w:widowControl/>
              <w:spacing w:line="240" w:lineRule="auto"/>
              <w:jc w:val="left"/>
              <w:textAlignment w:val="center"/>
              <w:rPr>
                <w:rFonts w:hint="default" w:ascii="Times New Roman" w:hAnsi="Times New Roman" w:cs="Times New Roman"/>
                <w:color w:val="auto"/>
                <w:kern w:val="0"/>
                <w:sz w:val="21"/>
                <w:szCs w:val="21"/>
                <w:highlight w:val="none"/>
                <w:lang w:bidi="ar"/>
              </w:rPr>
            </w:pPr>
            <w:r>
              <w:rPr>
                <w:rFonts w:hint="default" w:ascii="Times New Roman" w:hAnsi="Times New Roman" w:cs="Times New Roman"/>
                <w:color w:val="auto"/>
                <w:kern w:val="0"/>
                <w:sz w:val="21"/>
                <w:szCs w:val="21"/>
                <w:highlight w:val="none"/>
                <w:lang w:bidi="ar"/>
              </w:rPr>
              <w:t>0.912</w:t>
            </w:r>
          </w:p>
        </w:tc>
      </w:tr>
      <w:tr w14:paraId="554776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087" w:type="dxa"/>
            <w:vMerge w:val="continue"/>
            <w:tcBorders>
              <w:top w:val="nil"/>
              <w:left w:val="nil"/>
              <w:bottom w:val="single" w:color="auto" w:sz="4" w:space="0"/>
              <w:right w:val="nil"/>
            </w:tcBorders>
            <w:noWrap w:val="0"/>
            <w:vAlign w:val="center"/>
          </w:tcPr>
          <w:p w14:paraId="4B2E0BD3">
            <w:pPr>
              <w:autoSpaceDE w:val="0"/>
              <w:autoSpaceDN w:val="0"/>
              <w:adjustRightInd w:val="0"/>
              <w:spacing w:line="240" w:lineRule="auto"/>
              <w:jc w:val="center"/>
              <w:rPr>
                <w:rFonts w:hint="default" w:ascii="Times New Roman" w:hAnsi="Times New Roman" w:cs="Times New Roman"/>
                <w:color w:val="auto"/>
                <w:kern w:val="0"/>
                <w:sz w:val="21"/>
                <w:szCs w:val="21"/>
                <w:highlight w:val="none"/>
              </w:rPr>
            </w:pPr>
          </w:p>
        </w:tc>
        <w:tc>
          <w:tcPr>
            <w:tcW w:w="1007" w:type="dxa"/>
            <w:tcBorders>
              <w:top w:val="nil"/>
              <w:left w:val="nil"/>
              <w:bottom w:val="single" w:color="auto" w:sz="4" w:space="0"/>
              <w:right w:val="nil"/>
            </w:tcBorders>
            <w:noWrap w:val="0"/>
            <w:vAlign w:val="center"/>
          </w:tcPr>
          <w:p w14:paraId="615EDF20">
            <w:pPr>
              <w:widowControl/>
              <w:spacing w:line="240" w:lineRule="auto"/>
              <w:jc w:val="left"/>
              <w:textAlignment w:val="center"/>
              <w:rPr>
                <w:rFonts w:hint="default" w:ascii="Times New Roman" w:hAnsi="Times New Roman" w:cs="Times New Roman"/>
                <w:color w:val="auto"/>
                <w:kern w:val="0"/>
                <w:sz w:val="21"/>
                <w:szCs w:val="21"/>
                <w:highlight w:val="none"/>
                <w:lang w:bidi="ar"/>
              </w:rPr>
            </w:pPr>
            <w:r>
              <w:rPr>
                <w:rFonts w:hint="default" w:ascii="Times New Roman" w:hAnsi="Times New Roman" w:cs="Times New Roman"/>
                <w:color w:val="auto"/>
                <w:kern w:val="0"/>
                <w:sz w:val="21"/>
                <w:szCs w:val="21"/>
                <w:highlight w:val="none"/>
                <w:lang w:bidi="ar"/>
              </w:rPr>
              <w:t>0.06</w:t>
            </w:r>
          </w:p>
        </w:tc>
        <w:tc>
          <w:tcPr>
            <w:tcW w:w="1173" w:type="dxa"/>
            <w:tcBorders>
              <w:top w:val="nil"/>
              <w:left w:val="nil"/>
              <w:bottom w:val="single" w:color="auto" w:sz="4" w:space="0"/>
              <w:right w:val="nil"/>
            </w:tcBorders>
            <w:noWrap w:val="0"/>
            <w:vAlign w:val="center"/>
          </w:tcPr>
          <w:p w14:paraId="0D967391">
            <w:pPr>
              <w:widowControl/>
              <w:spacing w:line="240" w:lineRule="auto"/>
              <w:jc w:val="left"/>
              <w:textAlignment w:val="center"/>
              <w:rPr>
                <w:rFonts w:hint="default" w:ascii="Times New Roman" w:hAnsi="Times New Roman" w:cs="Times New Roman"/>
                <w:b/>
                <w:bCs/>
                <w:color w:val="auto"/>
                <w:kern w:val="0"/>
                <w:sz w:val="21"/>
                <w:szCs w:val="21"/>
                <w:highlight w:val="none"/>
                <w:lang w:bidi="ar"/>
              </w:rPr>
            </w:pPr>
            <w:r>
              <w:rPr>
                <w:rFonts w:hint="default" w:ascii="Times New Roman" w:hAnsi="Times New Roman" w:cs="Times New Roman"/>
                <w:b/>
                <w:bCs/>
                <w:color w:val="auto"/>
                <w:kern w:val="0"/>
                <w:sz w:val="21"/>
                <w:szCs w:val="21"/>
                <w:highlight w:val="none"/>
                <w:lang w:bidi="ar"/>
              </w:rPr>
              <w:t>0.839</w:t>
            </w:r>
          </w:p>
        </w:tc>
        <w:tc>
          <w:tcPr>
            <w:tcW w:w="1108" w:type="dxa"/>
            <w:tcBorders>
              <w:top w:val="nil"/>
              <w:left w:val="nil"/>
              <w:bottom w:val="single" w:color="auto" w:sz="4" w:space="0"/>
              <w:right w:val="nil"/>
            </w:tcBorders>
            <w:noWrap w:val="0"/>
            <w:vAlign w:val="center"/>
          </w:tcPr>
          <w:p w14:paraId="759DA0FE">
            <w:pPr>
              <w:widowControl/>
              <w:spacing w:line="240" w:lineRule="auto"/>
              <w:jc w:val="left"/>
              <w:textAlignment w:val="center"/>
              <w:rPr>
                <w:rFonts w:hint="default" w:ascii="Times New Roman" w:hAnsi="Times New Roman" w:cs="Times New Roman"/>
                <w:b/>
                <w:bCs/>
                <w:color w:val="auto"/>
                <w:kern w:val="0"/>
                <w:sz w:val="21"/>
                <w:szCs w:val="21"/>
                <w:highlight w:val="none"/>
                <w:lang w:bidi="ar"/>
              </w:rPr>
            </w:pPr>
            <w:r>
              <w:rPr>
                <w:rFonts w:hint="default" w:ascii="Times New Roman" w:hAnsi="Times New Roman" w:cs="Times New Roman"/>
                <w:color w:val="auto"/>
                <w:kern w:val="0"/>
                <w:sz w:val="21"/>
                <w:szCs w:val="21"/>
                <w:highlight w:val="none"/>
                <w:lang w:bidi="ar"/>
              </w:rPr>
              <w:t>0.327</w:t>
            </w:r>
          </w:p>
        </w:tc>
        <w:tc>
          <w:tcPr>
            <w:tcW w:w="1118" w:type="dxa"/>
            <w:tcBorders>
              <w:top w:val="nil"/>
              <w:left w:val="nil"/>
              <w:bottom w:val="single" w:color="auto" w:sz="4" w:space="0"/>
              <w:right w:val="nil"/>
            </w:tcBorders>
            <w:noWrap w:val="0"/>
            <w:vAlign w:val="center"/>
          </w:tcPr>
          <w:p w14:paraId="13425C1C">
            <w:pPr>
              <w:widowControl/>
              <w:spacing w:line="240" w:lineRule="auto"/>
              <w:jc w:val="left"/>
              <w:textAlignment w:val="center"/>
              <w:rPr>
                <w:rFonts w:hint="default" w:ascii="Times New Roman" w:hAnsi="Times New Roman" w:cs="Times New Roman"/>
                <w:color w:val="auto"/>
                <w:kern w:val="0"/>
                <w:sz w:val="21"/>
                <w:szCs w:val="21"/>
                <w:highlight w:val="none"/>
                <w:lang w:bidi="ar"/>
              </w:rPr>
            </w:pPr>
            <w:r>
              <w:rPr>
                <w:rFonts w:hint="default" w:ascii="Times New Roman" w:hAnsi="Times New Roman" w:cs="Times New Roman"/>
                <w:color w:val="auto"/>
                <w:kern w:val="0"/>
                <w:sz w:val="21"/>
                <w:szCs w:val="21"/>
                <w:highlight w:val="none"/>
                <w:lang w:bidi="ar"/>
              </w:rPr>
              <w:t>0.083</w:t>
            </w:r>
          </w:p>
        </w:tc>
        <w:tc>
          <w:tcPr>
            <w:tcW w:w="1053" w:type="dxa"/>
            <w:tcBorders>
              <w:top w:val="nil"/>
              <w:left w:val="nil"/>
              <w:bottom w:val="single" w:color="auto" w:sz="4" w:space="0"/>
              <w:right w:val="nil"/>
            </w:tcBorders>
            <w:noWrap w:val="0"/>
            <w:vAlign w:val="center"/>
          </w:tcPr>
          <w:p w14:paraId="66E5C4E0">
            <w:pPr>
              <w:widowControl/>
              <w:spacing w:line="240" w:lineRule="auto"/>
              <w:jc w:val="left"/>
              <w:textAlignment w:val="center"/>
              <w:rPr>
                <w:rFonts w:hint="default" w:ascii="Times New Roman" w:hAnsi="Times New Roman" w:cs="Times New Roman"/>
                <w:color w:val="auto"/>
                <w:kern w:val="0"/>
                <w:sz w:val="21"/>
                <w:szCs w:val="21"/>
                <w:highlight w:val="none"/>
                <w:lang w:bidi="ar"/>
              </w:rPr>
            </w:pPr>
            <w:r>
              <w:rPr>
                <w:rFonts w:hint="default" w:ascii="Times New Roman" w:hAnsi="Times New Roman" w:cs="Times New Roman"/>
                <w:color w:val="auto"/>
                <w:kern w:val="0"/>
                <w:sz w:val="21"/>
                <w:szCs w:val="21"/>
                <w:highlight w:val="none"/>
                <w:lang w:bidi="ar"/>
              </w:rPr>
              <w:t>0.100</w:t>
            </w:r>
          </w:p>
        </w:tc>
        <w:tc>
          <w:tcPr>
            <w:tcW w:w="989" w:type="dxa"/>
            <w:tcBorders>
              <w:top w:val="nil"/>
              <w:left w:val="nil"/>
              <w:bottom w:val="single" w:color="auto" w:sz="4" w:space="0"/>
              <w:right w:val="nil"/>
            </w:tcBorders>
            <w:noWrap w:val="0"/>
            <w:vAlign w:val="center"/>
          </w:tcPr>
          <w:p w14:paraId="540FEC8B">
            <w:pPr>
              <w:widowControl/>
              <w:spacing w:line="240" w:lineRule="auto"/>
              <w:jc w:val="left"/>
              <w:textAlignment w:val="center"/>
              <w:rPr>
                <w:rFonts w:hint="default" w:ascii="Times New Roman" w:hAnsi="Times New Roman" w:cs="Times New Roman"/>
                <w:color w:val="auto"/>
                <w:kern w:val="0"/>
                <w:sz w:val="21"/>
                <w:szCs w:val="21"/>
                <w:highlight w:val="none"/>
                <w:lang w:bidi="ar"/>
              </w:rPr>
            </w:pPr>
            <w:r>
              <w:rPr>
                <w:rFonts w:hint="default" w:ascii="Times New Roman" w:hAnsi="Times New Roman" w:cs="Times New Roman"/>
                <w:color w:val="auto"/>
                <w:kern w:val="0"/>
                <w:sz w:val="21"/>
                <w:szCs w:val="21"/>
                <w:highlight w:val="none"/>
                <w:lang w:bidi="ar"/>
              </w:rPr>
              <w:t>0.159</w:t>
            </w:r>
          </w:p>
        </w:tc>
        <w:tc>
          <w:tcPr>
            <w:tcW w:w="1411" w:type="dxa"/>
            <w:tcBorders>
              <w:top w:val="nil"/>
              <w:left w:val="nil"/>
              <w:bottom w:val="single" w:color="auto" w:sz="4" w:space="0"/>
              <w:right w:val="nil"/>
            </w:tcBorders>
            <w:noWrap w:val="0"/>
            <w:vAlign w:val="center"/>
          </w:tcPr>
          <w:p w14:paraId="666D237C">
            <w:pPr>
              <w:widowControl/>
              <w:spacing w:line="240" w:lineRule="auto"/>
              <w:jc w:val="left"/>
              <w:textAlignment w:val="center"/>
              <w:rPr>
                <w:rFonts w:hint="default" w:ascii="Times New Roman" w:hAnsi="Times New Roman" w:cs="Times New Roman"/>
                <w:color w:val="auto"/>
                <w:kern w:val="0"/>
                <w:sz w:val="21"/>
                <w:szCs w:val="21"/>
                <w:highlight w:val="none"/>
                <w:lang w:bidi="ar"/>
              </w:rPr>
            </w:pPr>
            <w:r>
              <w:rPr>
                <w:rFonts w:hint="default" w:ascii="Times New Roman" w:hAnsi="Times New Roman" w:cs="Times New Roman"/>
                <w:color w:val="auto"/>
                <w:kern w:val="0"/>
                <w:sz w:val="21"/>
                <w:szCs w:val="21"/>
                <w:highlight w:val="none"/>
                <w:lang w:bidi="ar"/>
              </w:rPr>
              <w:t>0.856</w:t>
            </w:r>
          </w:p>
        </w:tc>
      </w:tr>
      <w:tr w14:paraId="03299F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087" w:type="dxa"/>
            <w:vMerge w:val="restart"/>
            <w:tcBorders>
              <w:top w:val="single" w:color="auto" w:sz="4" w:space="0"/>
              <w:left w:val="nil"/>
              <w:bottom w:val="nil"/>
              <w:right w:val="nil"/>
            </w:tcBorders>
            <w:noWrap w:val="0"/>
            <w:vAlign w:val="top"/>
          </w:tcPr>
          <w:p w14:paraId="08237A0F">
            <w:pPr>
              <w:autoSpaceDE w:val="0"/>
              <w:autoSpaceDN w:val="0"/>
              <w:adjustRightInd w:val="0"/>
              <w:spacing w:line="240" w:lineRule="auto"/>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Neglect</w:t>
            </w:r>
          </w:p>
        </w:tc>
        <w:tc>
          <w:tcPr>
            <w:tcW w:w="1007" w:type="dxa"/>
            <w:tcBorders>
              <w:top w:val="single" w:color="auto" w:sz="4" w:space="0"/>
              <w:left w:val="nil"/>
              <w:bottom w:val="nil"/>
              <w:right w:val="nil"/>
            </w:tcBorders>
            <w:noWrap w:val="0"/>
            <w:vAlign w:val="center"/>
          </w:tcPr>
          <w:p w14:paraId="2A12FF16">
            <w:pPr>
              <w:widowControl/>
              <w:spacing w:line="240" w:lineRule="auto"/>
              <w:jc w:val="left"/>
              <w:textAlignment w:val="center"/>
              <w:rPr>
                <w:rFonts w:hint="default" w:ascii="Times New Roman" w:hAnsi="Times New Roman" w:cs="Times New Roman"/>
                <w:color w:val="auto"/>
                <w:kern w:val="0"/>
                <w:sz w:val="21"/>
                <w:szCs w:val="21"/>
                <w:highlight w:val="none"/>
              </w:rPr>
            </w:pPr>
            <w:r>
              <w:rPr>
                <w:rFonts w:hint="default" w:ascii="Times New Roman" w:hAnsi="Times New Roman" w:cs="Times New Roman"/>
                <w:b/>
                <w:bCs/>
                <w:color w:val="auto"/>
                <w:kern w:val="0"/>
                <w:sz w:val="21"/>
                <w:szCs w:val="21"/>
                <w:highlight w:val="none"/>
                <w:lang w:bidi="ar"/>
              </w:rPr>
              <w:t>0.91</w:t>
            </w:r>
          </w:p>
        </w:tc>
        <w:tc>
          <w:tcPr>
            <w:tcW w:w="1173" w:type="dxa"/>
            <w:tcBorders>
              <w:top w:val="single" w:color="auto" w:sz="4" w:space="0"/>
              <w:left w:val="nil"/>
              <w:bottom w:val="nil"/>
              <w:right w:val="nil"/>
            </w:tcBorders>
            <w:noWrap w:val="0"/>
            <w:vAlign w:val="center"/>
          </w:tcPr>
          <w:p w14:paraId="7D4250B6">
            <w:pPr>
              <w:widowControl/>
              <w:spacing w:line="240" w:lineRule="auto"/>
              <w:jc w:val="left"/>
              <w:textAlignment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lang w:bidi="ar"/>
              </w:rPr>
              <w:t>0.084</w:t>
            </w:r>
          </w:p>
        </w:tc>
        <w:tc>
          <w:tcPr>
            <w:tcW w:w="1108" w:type="dxa"/>
            <w:tcBorders>
              <w:top w:val="single" w:color="auto" w:sz="4" w:space="0"/>
              <w:left w:val="nil"/>
              <w:bottom w:val="nil"/>
              <w:right w:val="nil"/>
            </w:tcBorders>
            <w:noWrap w:val="0"/>
            <w:vAlign w:val="center"/>
          </w:tcPr>
          <w:p w14:paraId="5EC764D8">
            <w:pPr>
              <w:widowControl/>
              <w:spacing w:line="240" w:lineRule="auto"/>
              <w:jc w:val="left"/>
              <w:textAlignment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lang w:bidi="ar"/>
              </w:rPr>
              <w:t>0.116</w:t>
            </w:r>
          </w:p>
        </w:tc>
        <w:tc>
          <w:tcPr>
            <w:tcW w:w="1118" w:type="dxa"/>
            <w:tcBorders>
              <w:top w:val="single" w:color="auto" w:sz="4" w:space="0"/>
              <w:left w:val="nil"/>
              <w:bottom w:val="nil"/>
              <w:right w:val="nil"/>
            </w:tcBorders>
            <w:noWrap w:val="0"/>
            <w:vAlign w:val="center"/>
          </w:tcPr>
          <w:p w14:paraId="6DC08459">
            <w:pPr>
              <w:widowControl/>
              <w:spacing w:line="240" w:lineRule="auto"/>
              <w:jc w:val="left"/>
              <w:textAlignment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lang w:bidi="ar"/>
              </w:rPr>
              <w:t>0.225</w:t>
            </w:r>
          </w:p>
        </w:tc>
        <w:tc>
          <w:tcPr>
            <w:tcW w:w="1053" w:type="dxa"/>
            <w:tcBorders>
              <w:top w:val="single" w:color="auto" w:sz="4" w:space="0"/>
              <w:left w:val="nil"/>
              <w:bottom w:val="nil"/>
              <w:right w:val="nil"/>
            </w:tcBorders>
            <w:noWrap w:val="0"/>
            <w:vAlign w:val="center"/>
          </w:tcPr>
          <w:p w14:paraId="46ABDA06">
            <w:pPr>
              <w:widowControl/>
              <w:spacing w:line="240" w:lineRule="auto"/>
              <w:jc w:val="left"/>
              <w:textAlignment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lang w:bidi="ar"/>
              </w:rPr>
              <w:t>0.089</w:t>
            </w:r>
          </w:p>
        </w:tc>
        <w:tc>
          <w:tcPr>
            <w:tcW w:w="989" w:type="dxa"/>
            <w:tcBorders>
              <w:top w:val="single" w:color="auto" w:sz="4" w:space="0"/>
              <w:left w:val="nil"/>
              <w:bottom w:val="nil"/>
              <w:right w:val="nil"/>
            </w:tcBorders>
            <w:noWrap w:val="0"/>
            <w:vAlign w:val="center"/>
          </w:tcPr>
          <w:p w14:paraId="09C91E2D">
            <w:pPr>
              <w:widowControl/>
              <w:spacing w:line="240" w:lineRule="auto"/>
              <w:jc w:val="left"/>
              <w:textAlignment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lang w:bidi="ar"/>
              </w:rPr>
              <w:t>-0.011</w:t>
            </w:r>
          </w:p>
        </w:tc>
        <w:tc>
          <w:tcPr>
            <w:tcW w:w="1411" w:type="dxa"/>
            <w:tcBorders>
              <w:top w:val="single" w:color="auto" w:sz="4" w:space="0"/>
              <w:left w:val="nil"/>
              <w:bottom w:val="nil"/>
              <w:right w:val="nil"/>
            </w:tcBorders>
            <w:noWrap w:val="0"/>
            <w:vAlign w:val="center"/>
          </w:tcPr>
          <w:p w14:paraId="21BAAFE9">
            <w:pPr>
              <w:widowControl/>
              <w:spacing w:line="240" w:lineRule="auto"/>
              <w:jc w:val="left"/>
              <w:textAlignment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lang w:bidi="ar"/>
              </w:rPr>
              <w:t>0.91</w:t>
            </w:r>
          </w:p>
        </w:tc>
      </w:tr>
      <w:tr w14:paraId="07269A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087" w:type="dxa"/>
            <w:vMerge w:val="continue"/>
            <w:tcBorders>
              <w:top w:val="nil"/>
              <w:left w:val="nil"/>
              <w:bottom w:val="nil"/>
              <w:right w:val="nil"/>
            </w:tcBorders>
            <w:noWrap w:val="0"/>
            <w:vAlign w:val="center"/>
          </w:tcPr>
          <w:p w14:paraId="42883BF3">
            <w:pPr>
              <w:autoSpaceDE w:val="0"/>
              <w:autoSpaceDN w:val="0"/>
              <w:adjustRightInd w:val="0"/>
              <w:spacing w:line="240" w:lineRule="auto"/>
              <w:jc w:val="center"/>
              <w:rPr>
                <w:rFonts w:hint="default" w:ascii="Times New Roman" w:hAnsi="Times New Roman" w:cs="Times New Roman"/>
                <w:color w:val="auto"/>
                <w:kern w:val="0"/>
                <w:sz w:val="21"/>
                <w:szCs w:val="21"/>
                <w:highlight w:val="none"/>
              </w:rPr>
            </w:pPr>
          </w:p>
        </w:tc>
        <w:tc>
          <w:tcPr>
            <w:tcW w:w="1007" w:type="dxa"/>
            <w:tcBorders>
              <w:top w:val="nil"/>
              <w:left w:val="nil"/>
              <w:bottom w:val="nil"/>
              <w:right w:val="nil"/>
            </w:tcBorders>
            <w:noWrap w:val="0"/>
            <w:vAlign w:val="center"/>
          </w:tcPr>
          <w:p w14:paraId="251E7679">
            <w:pPr>
              <w:widowControl/>
              <w:spacing w:line="240" w:lineRule="auto"/>
              <w:jc w:val="left"/>
              <w:textAlignment w:val="center"/>
              <w:rPr>
                <w:rFonts w:hint="default" w:ascii="Times New Roman" w:hAnsi="Times New Roman" w:cs="Times New Roman"/>
                <w:color w:val="auto"/>
                <w:kern w:val="0"/>
                <w:sz w:val="21"/>
                <w:szCs w:val="21"/>
                <w:highlight w:val="none"/>
              </w:rPr>
            </w:pPr>
            <w:r>
              <w:rPr>
                <w:rFonts w:hint="default" w:ascii="Times New Roman" w:hAnsi="Times New Roman" w:cs="Times New Roman"/>
                <w:b/>
                <w:bCs/>
                <w:color w:val="auto"/>
                <w:kern w:val="0"/>
                <w:sz w:val="21"/>
                <w:szCs w:val="21"/>
                <w:highlight w:val="none"/>
                <w:lang w:bidi="ar"/>
              </w:rPr>
              <w:t>0.912</w:t>
            </w:r>
          </w:p>
        </w:tc>
        <w:tc>
          <w:tcPr>
            <w:tcW w:w="1173" w:type="dxa"/>
            <w:tcBorders>
              <w:top w:val="nil"/>
              <w:left w:val="nil"/>
              <w:bottom w:val="nil"/>
              <w:right w:val="nil"/>
            </w:tcBorders>
            <w:noWrap w:val="0"/>
            <w:vAlign w:val="center"/>
          </w:tcPr>
          <w:p w14:paraId="6CCD2F87">
            <w:pPr>
              <w:widowControl/>
              <w:spacing w:line="240" w:lineRule="auto"/>
              <w:jc w:val="left"/>
              <w:textAlignment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lang w:bidi="ar"/>
              </w:rPr>
              <w:t>0.075</w:t>
            </w:r>
          </w:p>
        </w:tc>
        <w:tc>
          <w:tcPr>
            <w:tcW w:w="1108" w:type="dxa"/>
            <w:tcBorders>
              <w:top w:val="nil"/>
              <w:left w:val="nil"/>
              <w:bottom w:val="nil"/>
              <w:right w:val="nil"/>
            </w:tcBorders>
            <w:noWrap w:val="0"/>
            <w:vAlign w:val="center"/>
          </w:tcPr>
          <w:p w14:paraId="036F370B">
            <w:pPr>
              <w:widowControl/>
              <w:spacing w:line="240" w:lineRule="auto"/>
              <w:jc w:val="left"/>
              <w:textAlignment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lang w:bidi="ar"/>
              </w:rPr>
              <w:t>0.128</w:t>
            </w:r>
          </w:p>
        </w:tc>
        <w:tc>
          <w:tcPr>
            <w:tcW w:w="1118" w:type="dxa"/>
            <w:tcBorders>
              <w:top w:val="nil"/>
              <w:left w:val="nil"/>
              <w:bottom w:val="nil"/>
              <w:right w:val="nil"/>
            </w:tcBorders>
            <w:noWrap w:val="0"/>
            <w:vAlign w:val="center"/>
          </w:tcPr>
          <w:p w14:paraId="451FD790">
            <w:pPr>
              <w:widowControl/>
              <w:spacing w:line="240" w:lineRule="auto"/>
              <w:jc w:val="left"/>
              <w:textAlignment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lang w:bidi="ar"/>
              </w:rPr>
              <w:t>0.238</w:t>
            </w:r>
          </w:p>
        </w:tc>
        <w:tc>
          <w:tcPr>
            <w:tcW w:w="1053" w:type="dxa"/>
            <w:tcBorders>
              <w:top w:val="nil"/>
              <w:left w:val="nil"/>
              <w:bottom w:val="nil"/>
              <w:right w:val="nil"/>
            </w:tcBorders>
            <w:noWrap w:val="0"/>
            <w:vAlign w:val="center"/>
          </w:tcPr>
          <w:p w14:paraId="38AD43B2">
            <w:pPr>
              <w:widowControl/>
              <w:spacing w:line="240" w:lineRule="auto"/>
              <w:jc w:val="left"/>
              <w:textAlignment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lang w:bidi="ar"/>
              </w:rPr>
              <w:t>0.081</w:t>
            </w:r>
          </w:p>
        </w:tc>
        <w:tc>
          <w:tcPr>
            <w:tcW w:w="989" w:type="dxa"/>
            <w:tcBorders>
              <w:top w:val="nil"/>
              <w:left w:val="nil"/>
              <w:bottom w:val="nil"/>
              <w:right w:val="nil"/>
            </w:tcBorders>
            <w:noWrap w:val="0"/>
            <w:vAlign w:val="center"/>
          </w:tcPr>
          <w:p w14:paraId="45E247A1">
            <w:pPr>
              <w:widowControl/>
              <w:spacing w:line="240" w:lineRule="auto"/>
              <w:jc w:val="left"/>
              <w:textAlignment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lang w:bidi="ar"/>
              </w:rPr>
              <w:t>-0.027</w:t>
            </w:r>
          </w:p>
        </w:tc>
        <w:tc>
          <w:tcPr>
            <w:tcW w:w="1411" w:type="dxa"/>
            <w:tcBorders>
              <w:top w:val="nil"/>
              <w:left w:val="nil"/>
              <w:bottom w:val="nil"/>
              <w:right w:val="nil"/>
            </w:tcBorders>
            <w:noWrap w:val="0"/>
            <w:vAlign w:val="center"/>
          </w:tcPr>
          <w:p w14:paraId="373A70BA">
            <w:pPr>
              <w:widowControl/>
              <w:spacing w:line="240" w:lineRule="auto"/>
              <w:jc w:val="left"/>
              <w:textAlignment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lang w:bidi="ar"/>
              </w:rPr>
              <w:t>0.922</w:t>
            </w:r>
          </w:p>
        </w:tc>
      </w:tr>
      <w:tr w14:paraId="4F2181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087" w:type="dxa"/>
            <w:vMerge w:val="continue"/>
            <w:tcBorders>
              <w:top w:val="nil"/>
              <w:left w:val="nil"/>
              <w:bottom w:val="nil"/>
              <w:right w:val="nil"/>
            </w:tcBorders>
            <w:noWrap w:val="0"/>
            <w:vAlign w:val="center"/>
          </w:tcPr>
          <w:p w14:paraId="6207C717">
            <w:pPr>
              <w:autoSpaceDE w:val="0"/>
              <w:autoSpaceDN w:val="0"/>
              <w:adjustRightInd w:val="0"/>
              <w:spacing w:line="240" w:lineRule="auto"/>
              <w:jc w:val="center"/>
              <w:rPr>
                <w:rFonts w:hint="default" w:ascii="Times New Roman" w:hAnsi="Times New Roman" w:cs="Times New Roman"/>
                <w:color w:val="auto"/>
                <w:kern w:val="0"/>
                <w:sz w:val="21"/>
                <w:szCs w:val="21"/>
                <w:highlight w:val="none"/>
              </w:rPr>
            </w:pPr>
          </w:p>
        </w:tc>
        <w:tc>
          <w:tcPr>
            <w:tcW w:w="1007" w:type="dxa"/>
            <w:tcBorders>
              <w:top w:val="nil"/>
              <w:left w:val="nil"/>
              <w:bottom w:val="nil"/>
              <w:right w:val="nil"/>
            </w:tcBorders>
            <w:noWrap w:val="0"/>
            <w:vAlign w:val="center"/>
          </w:tcPr>
          <w:p w14:paraId="7721F4CC">
            <w:pPr>
              <w:widowControl/>
              <w:spacing w:line="240" w:lineRule="auto"/>
              <w:jc w:val="left"/>
              <w:textAlignment w:val="center"/>
              <w:rPr>
                <w:rFonts w:hint="default" w:ascii="Times New Roman" w:hAnsi="Times New Roman" w:cs="Times New Roman"/>
                <w:color w:val="auto"/>
                <w:kern w:val="0"/>
                <w:sz w:val="21"/>
                <w:szCs w:val="21"/>
                <w:highlight w:val="none"/>
              </w:rPr>
            </w:pPr>
            <w:r>
              <w:rPr>
                <w:rFonts w:hint="default" w:ascii="Times New Roman" w:hAnsi="Times New Roman" w:cs="Times New Roman"/>
                <w:b/>
                <w:bCs/>
                <w:color w:val="auto"/>
                <w:kern w:val="0"/>
                <w:sz w:val="21"/>
                <w:szCs w:val="21"/>
                <w:highlight w:val="none"/>
                <w:lang w:bidi="ar"/>
              </w:rPr>
              <w:t>0.912</w:t>
            </w:r>
          </w:p>
        </w:tc>
        <w:tc>
          <w:tcPr>
            <w:tcW w:w="1173" w:type="dxa"/>
            <w:tcBorders>
              <w:top w:val="nil"/>
              <w:left w:val="nil"/>
              <w:bottom w:val="nil"/>
              <w:right w:val="nil"/>
            </w:tcBorders>
            <w:noWrap w:val="0"/>
            <w:vAlign w:val="center"/>
          </w:tcPr>
          <w:p w14:paraId="59F3C8AE">
            <w:pPr>
              <w:widowControl/>
              <w:spacing w:line="240" w:lineRule="auto"/>
              <w:jc w:val="left"/>
              <w:textAlignment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lang w:bidi="ar"/>
              </w:rPr>
              <w:t>0.069</w:t>
            </w:r>
          </w:p>
        </w:tc>
        <w:tc>
          <w:tcPr>
            <w:tcW w:w="1108" w:type="dxa"/>
            <w:tcBorders>
              <w:top w:val="nil"/>
              <w:left w:val="nil"/>
              <w:bottom w:val="nil"/>
              <w:right w:val="nil"/>
            </w:tcBorders>
            <w:noWrap w:val="0"/>
            <w:vAlign w:val="center"/>
          </w:tcPr>
          <w:p w14:paraId="454B65AC">
            <w:pPr>
              <w:widowControl/>
              <w:spacing w:line="240" w:lineRule="auto"/>
              <w:jc w:val="left"/>
              <w:textAlignment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lang w:bidi="ar"/>
              </w:rPr>
              <w:t>0.068</w:t>
            </w:r>
          </w:p>
        </w:tc>
        <w:tc>
          <w:tcPr>
            <w:tcW w:w="1118" w:type="dxa"/>
            <w:tcBorders>
              <w:top w:val="nil"/>
              <w:left w:val="nil"/>
              <w:bottom w:val="nil"/>
              <w:right w:val="nil"/>
            </w:tcBorders>
            <w:noWrap w:val="0"/>
            <w:vAlign w:val="center"/>
          </w:tcPr>
          <w:p w14:paraId="249D1E10">
            <w:pPr>
              <w:widowControl/>
              <w:spacing w:line="240" w:lineRule="auto"/>
              <w:jc w:val="left"/>
              <w:textAlignment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lang w:bidi="ar"/>
              </w:rPr>
              <w:t>0.229</w:t>
            </w:r>
          </w:p>
        </w:tc>
        <w:tc>
          <w:tcPr>
            <w:tcW w:w="1053" w:type="dxa"/>
            <w:tcBorders>
              <w:top w:val="nil"/>
              <w:left w:val="nil"/>
              <w:bottom w:val="nil"/>
              <w:right w:val="nil"/>
            </w:tcBorders>
            <w:noWrap w:val="0"/>
            <w:vAlign w:val="center"/>
          </w:tcPr>
          <w:p w14:paraId="24FC52B1">
            <w:pPr>
              <w:widowControl/>
              <w:spacing w:line="240" w:lineRule="auto"/>
              <w:jc w:val="left"/>
              <w:textAlignment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lang w:bidi="ar"/>
              </w:rPr>
              <w:t>0.025</w:t>
            </w:r>
          </w:p>
        </w:tc>
        <w:tc>
          <w:tcPr>
            <w:tcW w:w="989" w:type="dxa"/>
            <w:tcBorders>
              <w:top w:val="nil"/>
              <w:left w:val="nil"/>
              <w:bottom w:val="nil"/>
              <w:right w:val="nil"/>
            </w:tcBorders>
            <w:noWrap w:val="0"/>
            <w:vAlign w:val="center"/>
          </w:tcPr>
          <w:p w14:paraId="41A520B9">
            <w:pPr>
              <w:widowControl/>
              <w:spacing w:line="240" w:lineRule="auto"/>
              <w:jc w:val="left"/>
              <w:textAlignment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lang w:bidi="ar"/>
              </w:rPr>
              <w:t>0.032</w:t>
            </w:r>
          </w:p>
        </w:tc>
        <w:tc>
          <w:tcPr>
            <w:tcW w:w="1411" w:type="dxa"/>
            <w:tcBorders>
              <w:top w:val="nil"/>
              <w:left w:val="nil"/>
              <w:bottom w:val="nil"/>
              <w:right w:val="nil"/>
            </w:tcBorders>
            <w:noWrap w:val="0"/>
            <w:vAlign w:val="center"/>
          </w:tcPr>
          <w:p w14:paraId="7255AF49">
            <w:pPr>
              <w:widowControl/>
              <w:spacing w:line="240" w:lineRule="auto"/>
              <w:jc w:val="left"/>
              <w:textAlignment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lang w:bidi="ar"/>
              </w:rPr>
              <w:t>0.899</w:t>
            </w:r>
          </w:p>
        </w:tc>
      </w:tr>
      <w:tr w14:paraId="45EB1A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087" w:type="dxa"/>
            <w:vMerge w:val="continue"/>
            <w:tcBorders>
              <w:top w:val="nil"/>
              <w:left w:val="nil"/>
              <w:bottom w:val="nil"/>
              <w:right w:val="nil"/>
            </w:tcBorders>
            <w:noWrap w:val="0"/>
            <w:vAlign w:val="center"/>
          </w:tcPr>
          <w:p w14:paraId="763DE9B7">
            <w:pPr>
              <w:autoSpaceDE w:val="0"/>
              <w:autoSpaceDN w:val="0"/>
              <w:adjustRightInd w:val="0"/>
              <w:spacing w:line="240" w:lineRule="auto"/>
              <w:jc w:val="center"/>
              <w:rPr>
                <w:rFonts w:hint="default" w:ascii="Times New Roman" w:hAnsi="Times New Roman" w:cs="Times New Roman"/>
                <w:color w:val="auto"/>
                <w:kern w:val="0"/>
                <w:sz w:val="21"/>
                <w:szCs w:val="21"/>
                <w:highlight w:val="none"/>
              </w:rPr>
            </w:pPr>
          </w:p>
        </w:tc>
        <w:tc>
          <w:tcPr>
            <w:tcW w:w="1007" w:type="dxa"/>
            <w:tcBorders>
              <w:top w:val="nil"/>
              <w:left w:val="nil"/>
              <w:bottom w:val="nil"/>
              <w:right w:val="nil"/>
            </w:tcBorders>
            <w:noWrap w:val="0"/>
            <w:vAlign w:val="center"/>
          </w:tcPr>
          <w:p w14:paraId="4C8D95FE">
            <w:pPr>
              <w:widowControl/>
              <w:spacing w:line="240" w:lineRule="auto"/>
              <w:jc w:val="left"/>
              <w:textAlignment w:val="center"/>
              <w:rPr>
                <w:rFonts w:hint="default" w:ascii="Times New Roman" w:hAnsi="Times New Roman" w:cs="Times New Roman"/>
                <w:color w:val="auto"/>
                <w:kern w:val="0"/>
                <w:sz w:val="21"/>
                <w:szCs w:val="21"/>
                <w:highlight w:val="none"/>
              </w:rPr>
            </w:pPr>
            <w:r>
              <w:rPr>
                <w:rFonts w:hint="default" w:ascii="Times New Roman" w:hAnsi="Times New Roman" w:cs="Times New Roman"/>
                <w:b/>
                <w:bCs/>
                <w:color w:val="auto"/>
                <w:kern w:val="0"/>
                <w:sz w:val="21"/>
                <w:szCs w:val="21"/>
                <w:highlight w:val="none"/>
                <w:lang w:bidi="ar"/>
              </w:rPr>
              <w:t>0.923</w:t>
            </w:r>
          </w:p>
        </w:tc>
        <w:tc>
          <w:tcPr>
            <w:tcW w:w="1173" w:type="dxa"/>
            <w:tcBorders>
              <w:top w:val="nil"/>
              <w:left w:val="nil"/>
              <w:bottom w:val="nil"/>
              <w:right w:val="nil"/>
            </w:tcBorders>
            <w:noWrap w:val="0"/>
            <w:vAlign w:val="center"/>
          </w:tcPr>
          <w:p w14:paraId="7C8E5428">
            <w:pPr>
              <w:widowControl/>
              <w:spacing w:line="240" w:lineRule="auto"/>
              <w:jc w:val="left"/>
              <w:textAlignment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lang w:bidi="ar"/>
              </w:rPr>
              <w:t>0.052</w:t>
            </w:r>
          </w:p>
        </w:tc>
        <w:tc>
          <w:tcPr>
            <w:tcW w:w="1108" w:type="dxa"/>
            <w:tcBorders>
              <w:top w:val="nil"/>
              <w:left w:val="nil"/>
              <w:bottom w:val="nil"/>
              <w:right w:val="nil"/>
            </w:tcBorders>
            <w:noWrap w:val="0"/>
            <w:vAlign w:val="center"/>
          </w:tcPr>
          <w:p w14:paraId="5DE98AEF">
            <w:pPr>
              <w:widowControl/>
              <w:spacing w:line="240" w:lineRule="auto"/>
              <w:jc w:val="left"/>
              <w:textAlignment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lang w:bidi="ar"/>
              </w:rPr>
              <w:t>0.109</w:t>
            </w:r>
          </w:p>
        </w:tc>
        <w:tc>
          <w:tcPr>
            <w:tcW w:w="1118" w:type="dxa"/>
            <w:tcBorders>
              <w:top w:val="nil"/>
              <w:left w:val="nil"/>
              <w:bottom w:val="nil"/>
              <w:right w:val="nil"/>
            </w:tcBorders>
            <w:noWrap w:val="0"/>
            <w:vAlign w:val="center"/>
          </w:tcPr>
          <w:p w14:paraId="5EA1BC68">
            <w:pPr>
              <w:widowControl/>
              <w:spacing w:line="240" w:lineRule="auto"/>
              <w:jc w:val="left"/>
              <w:textAlignment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lang w:bidi="ar"/>
              </w:rPr>
              <w:t>0.233</w:t>
            </w:r>
          </w:p>
        </w:tc>
        <w:tc>
          <w:tcPr>
            <w:tcW w:w="1053" w:type="dxa"/>
            <w:tcBorders>
              <w:top w:val="nil"/>
              <w:left w:val="nil"/>
              <w:bottom w:val="nil"/>
              <w:right w:val="nil"/>
            </w:tcBorders>
            <w:noWrap w:val="0"/>
            <w:vAlign w:val="center"/>
          </w:tcPr>
          <w:p w14:paraId="20FBC087">
            <w:pPr>
              <w:widowControl/>
              <w:spacing w:line="240" w:lineRule="auto"/>
              <w:jc w:val="left"/>
              <w:textAlignment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lang w:bidi="ar"/>
              </w:rPr>
              <w:t>0.104</w:t>
            </w:r>
          </w:p>
        </w:tc>
        <w:tc>
          <w:tcPr>
            <w:tcW w:w="989" w:type="dxa"/>
            <w:tcBorders>
              <w:top w:val="nil"/>
              <w:left w:val="nil"/>
              <w:bottom w:val="nil"/>
              <w:right w:val="nil"/>
            </w:tcBorders>
            <w:noWrap w:val="0"/>
            <w:vAlign w:val="center"/>
          </w:tcPr>
          <w:p w14:paraId="3E0BBED4">
            <w:pPr>
              <w:widowControl/>
              <w:spacing w:line="240" w:lineRule="auto"/>
              <w:jc w:val="left"/>
              <w:textAlignment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lang w:bidi="ar"/>
              </w:rPr>
              <w:t>0.002</w:t>
            </w:r>
          </w:p>
        </w:tc>
        <w:tc>
          <w:tcPr>
            <w:tcW w:w="1411" w:type="dxa"/>
            <w:tcBorders>
              <w:top w:val="nil"/>
              <w:left w:val="nil"/>
              <w:bottom w:val="nil"/>
              <w:right w:val="nil"/>
            </w:tcBorders>
            <w:noWrap w:val="0"/>
            <w:vAlign w:val="center"/>
          </w:tcPr>
          <w:p w14:paraId="08500485">
            <w:pPr>
              <w:widowControl/>
              <w:spacing w:line="240" w:lineRule="auto"/>
              <w:jc w:val="left"/>
              <w:textAlignment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lang w:bidi="ar"/>
              </w:rPr>
              <w:t>0.935</w:t>
            </w:r>
          </w:p>
        </w:tc>
      </w:tr>
      <w:tr w14:paraId="65F1B4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087" w:type="dxa"/>
            <w:vMerge w:val="continue"/>
            <w:tcBorders>
              <w:top w:val="nil"/>
              <w:left w:val="nil"/>
              <w:bottom w:val="single" w:color="auto" w:sz="4" w:space="0"/>
              <w:right w:val="nil"/>
            </w:tcBorders>
            <w:noWrap w:val="0"/>
            <w:vAlign w:val="center"/>
          </w:tcPr>
          <w:p w14:paraId="2DDD5F33">
            <w:pPr>
              <w:autoSpaceDE w:val="0"/>
              <w:autoSpaceDN w:val="0"/>
              <w:adjustRightInd w:val="0"/>
              <w:spacing w:line="240" w:lineRule="auto"/>
              <w:jc w:val="center"/>
              <w:rPr>
                <w:rFonts w:hint="default" w:ascii="Times New Roman" w:hAnsi="Times New Roman" w:cs="Times New Roman"/>
                <w:color w:val="auto"/>
                <w:kern w:val="0"/>
                <w:sz w:val="21"/>
                <w:szCs w:val="21"/>
                <w:highlight w:val="none"/>
              </w:rPr>
            </w:pPr>
          </w:p>
        </w:tc>
        <w:tc>
          <w:tcPr>
            <w:tcW w:w="1007" w:type="dxa"/>
            <w:tcBorders>
              <w:top w:val="nil"/>
              <w:left w:val="nil"/>
              <w:bottom w:val="single" w:color="auto" w:sz="4" w:space="0"/>
              <w:right w:val="nil"/>
            </w:tcBorders>
            <w:noWrap w:val="0"/>
            <w:vAlign w:val="center"/>
          </w:tcPr>
          <w:p w14:paraId="57BCC8FC">
            <w:pPr>
              <w:widowControl/>
              <w:spacing w:line="240" w:lineRule="auto"/>
              <w:jc w:val="left"/>
              <w:textAlignment w:val="center"/>
              <w:rPr>
                <w:rFonts w:hint="default" w:ascii="Times New Roman" w:hAnsi="Times New Roman" w:cs="Times New Roman"/>
                <w:color w:val="auto"/>
                <w:kern w:val="0"/>
                <w:sz w:val="21"/>
                <w:szCs w:val="21"/>
                <w:highlight w:val="none"/>
              </w:rPr>
            </w:pPr>
            <w:r>
              <w:rPr>
                <w:rFonts w:hint="default" w:ascii="Times New Roman" w:hAnsi="Times New Roman" w:cs="Times New Roman"/>
                <w:b/>
                <w:bCs/>
                <w:color w:val="auto"/>
                <w:kern w:val="0"/>
                <w:sz w:val="21"/>
                <w:szCs w:val="21"/>
                <w:highlight w:val="none"/>
                <w:lang w:bidi="ar"/>
              </w:rPr>
              <w:t>0.865</w:t>
            </w:r>
          </w:p>
        </w:tc>
        <w:tc>
          <w:tcPr>
            <w:tcW w:w="1173" w:type="dxa"/>
            <w:tcBorders>
              <w:top w:val="nil"/>
              <w:left w:val="nil"/>
              <w:bottom w:val="single" w:color="auto" w:sz="4" w:space="0"/>
              <w:right w:val="nil"/>
            </w:tcBorders>
            <w:noWrap w:val="0"/>
            <w:vAlign w:val="center"/>
          </w:tcPr>
          <w:p w14:paraId="73BCBC24">
            <w:pPr>
              <w:widowControl/>
              <w:spacing w:line="240" w:lineRule="auto"/>
              <w:jc w:val="left"/>
              <w:textAlignment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lang w:bidi="ar"/>
              </w:rPr>
              <w:t>0.046</w:t>
            </w:r>
          </w:p>
        </w:tc>
        <w:tc>
          <w:tcPr>
            <w:tcW w:w="1108" w:type="dxa"/>
            <w:tcBorders>
              <w:top w:val="nil"/>
              <w:left w:val="nil"/>
              <w:bottom w:val="single" w:color="auto" w:sz="4" w:space="0"/>
              <w:right w:val="nil"/>
            </w:tcBorders>
            <w:noWrap w:val="0"/>
            <w:vAlign w:val="center"/>
          </w:tcPr>
          <w:p w14:paraId="0DE07373">
            <w:pPr>
              <w:widowControl/>
              <w:spacing w:line="240" w:lineRule="auto"/>
              <w:jc w:val="left"/>
              <w:textAlignment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lang w:bidi="ar"/>
              </w:rPr>
              <w:t>0.067</w:t>
            </w:r>
          </w:p>
        </w:tc>
        <w:tc>
          <w:tcPr>
            <w:tcW w:w="1118" w:type="dxa"/>
            <w:tcBorders>
              <w:top w:val="nil"/>
              <w:left w:val="nil"/>
              <w:bottom w:val="single" w:color="auto" w:sz="4" w:space="0"/>
              <w:right w:val="nil"/>
            </w:tcBorders>
            <w:noWrap w:val="0"/>
            <w:vAlign w:val="center"/>
          </w:tcPr>
          <w:p w14:paraId="588BBBCD">
            <w:pPr>
              <w:widowControl/>
              <w:spacing w:line="240" w:lineRule="auto"/>
              <w:jc w:val="left"/>
              <w:textAlignment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lang w:bidi="ar"/>
              </w:rPr>
              <w:t>0.338</w:t>
            </w:r>
          </w:p>
        </w:tc>
        <w:tc>
          <w:tcPr>
            <w:tcW w:w="1053" w:type="dxa"/>
            <w:tcBorders>
              <w:top w:val="nil"/>
              <w:left w:val="nil"/>
              <w:bottom w:val="single" w:color="auto" w:sz="4" w:space="0"/>
              <w:right w:val="nil"/>
            </w:tcBorders>
            <w:noWrap w:val="0"/>
            <w:vAlign w:val="center"/>
          </w:tcPr>
          <w:p w14:paraId="06332FCA">
            <w:pPr>
              <w:widowControl/>
              <w:spacing w:line="240" w:lineRule="auto"/>
              <w:jc w:val="left"/>
              <w:textAlignment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lang w:bidi="ar"/>
              </w:rPr>
              <w:t>0.040</w:t>
            </w:r>
          </w:p>
        </w:tc>
        <w:tc>
          <w:tcPr>
            <w:tcW w:w="989" w:type="dxa"/>
            <w:tcBorders>
              <w:top w:val="nil"/>
              <w:left w:val="nil"/>
              <w:bottom w:val="single" w:color="auto" w:sz="4" w:space="0"/>
              <w:right w:val="nil"/>
            </w:tcBorders>
            <w:noWrap w:val="0"/>
            <w:vAlign w:val="center"/>
          </w:tcPr>
          <w:p w14:paraId="49F22430">
            <w:pPr>
              <w:widowControl/>
              <w:spacing w:line="240" w:lineRule="auto"/>
              <w:jc w:val="left"/>
              <w:textAlignment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lang w:bidi="ar"/>
              </w:rPr>
              <w:t>0.059</w:t>
            </w:r>
          </w:p>
        </w:tc>
        <w:tc>
          <w:tcPr>
            <w:tcW w:w="1411" w:type="dxa"/>
            <w:tcBorders>
              <w:top w:val="nil"/>
              <w:left w:val="nil"/>
              <w:bottom w:val="single" w:color="auto" w:sz="4" w:space="0"/>
              <w:right w:val="nil"/>
            </w:tcBorders>
            <w:noWrap w:val="0"/>
            <w:vAlign w:val="center"/>
          </w:tcPr>
          <w:p w14:paraId="556595CC">
            <w:pPr>
              <w:widowControl/>
              <w:spacing w:line="240" w:lineRule="auto"/>
              <w:jc w:val="left"/>
              <w:textAlignment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lang w:bidi="ar"/>
              </w:rPr>
              <w:t>0.879</w:t>
            </w:r>
          </w:p>
        </w:tc>
      </w:tr>
      <w:tr w14:paraId="75AF03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087" w:type="dxa"/>
            <w:vMerge w:val="restart"/>
            <w:tcBorders>
              <w:top w:val="single" w:color="auto" w:sz="4" w:space="0"/>
              <w:left w:val="nil"/>
              <w:bottom w:val="nil"/>
              <w:right w:val="nil"/>
            </w:tcBorders>
            <w:noWrap w:val="0"/>
            <w:vAlign w:val="top"/>
          </w:tcPr>
          <w:p w14:paraId="24670CD8">
            <w:pPr>
              <w:autoSpaceDE w:val="0"/>
              <w:autoSpaceDN w:val="0"/>
              <w:adjustRightInd w:val="0"/>
              <w:spacing w:line="240" w:lineRule="auto"/>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lang w:val="en-US" w:eastAsia="zh-CN"/>
              </w:rPr>
              <w:t>INJD</w:t>
            </w:r>
          </w:p>
        </w:tc>
        <w:tc>
          <w:tcPr>
            <w:tcW w:w="1007" w:type="dxa"/>
            <w:tcBorders>
              <w:top w:val="single" w:color="auto" w:sz="4" w:space="0"/>
              <w:left w:val="nil"/>
              <w:bottom w:val="nil"/>
              <w:right w:val="nil"/>
            </w:tcBorders>
            <w:noWrap w:val="0"/>
            <w:vAlign w:val="center"/>
          </w:tcPr>
          <w:p w14:paraId="244FEC70">
            <w:pPr>
              <w:widowControl/>
              <w:spacing w:line="240" w:lineRule="auto"/>
              <w:jc w:val="left"/>
              <w:textAlignment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lang w:bidi="ar"/>
              </w:rPr>
              <w:t>0.138</w:t>
            </w:r>
          </w:p>
        </w:tc>
        <w:tc>
          <w:tcPr>
            <w:tcW w:w="1173" w:type="dxa"/>
            <w:tcBorders>
              <w:top w:val="single" w:color="auto" w:sz="4" w:space="0"/>
              <w:left w:val="nil"/>
              <w:bottom w:val="nil"/>
              <w:right w:val="nil"/>
            </w:tcBorders>
            <w:noWrap w:val="0"/>
            <w:vAlign w:val="center"/>
          </w:tcPr>
          <w:p w14:paraId="79D959A1">
            <w:pPr>
              <w:widowControl/>
              <w:spacing w:line="240" w:lineRule="auto"/>
              <w:jc w:val="left"/>
              <w:textAlignment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lang w:bidi="ar"/>
              </w:rPr>
              <w:t>0.301</w:t>
            </w:r>
          </w:p>
        </w:tc>
        <w:tc>
          <w:tcPr>
            <w:tcW w:w="1108" w:type="dxa"/>
            <w:tcBorders>
              <w:top w:val="single" w:color="auto" w:sz="4" w:space="0"/>
              <w:left w:val="nil"/>
              <w:bottom w:val="nil"/>
              <w:right w:val="nil"/>
            </w:tcBorders>
            <w:noWrap w:val="0"/>
            <w:vAlign w:val="center"/>
          </w:tcPr>
          <w:p w14:paraId="29FE108A">
            <w:pPr>
              <w:widowControl/>
              <w:spacing w:line="240" w:lineRule="auto"/>
              <w:jc w:val="left"/>
              <w:textAlignment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lang w:bidi="ar"/>
              </w:rPr>
              <w:t>0.331</w:t>
            </w:r>
          </w:p>
        </w:tc>
        <w:tc>
          <w:tcPr>
            <w:tcW w:w="1118" w:type="dxa"/>
            <w:tcBorders>
              <w:top w:val="single" w:color="auto" w:sz="4" w:space="0"/>
              <w:left w:val="nil"/>
              <w:bottom w:val="nil"/>
              <w:right w:val="nil"/>
            </w:tcBorders>
            <w:noWrap w:val="0"/>
            <w:vAlign w:val="center"/>
          </w:tcPr>
          <w:p w14:paraId="644A2706">
            <w:pPr>
              <w:widowControl/>
              <w:spacing w:line="240" w:lineRule="auto"/>
              <w:jc w:val="left"/>
              <w:textAlignment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lang w:bidi="ar"/>
              </w:rPr>
              <w:t>-0.009</w:t>
            </w:r>
          </w:p>
        </w:tc>
        <w:tc>
          <w:tcPr>
            <w:tcW w:w="1053" w:type="dxa"/>
            <w:tcBorders>
              <w:top w:val="single" w:color="auto" w:sz="4" w:space="0"/>
              <w:left w:val="nil"/>
              <w:bottom w:val="nil"/>
              <w:right w:val="nil"/>
            </w:tcBorders>
            <w:noWrap w:val="0"/>
            <w:vAlign w:val="center"/>
          </w:tcPr>
          <w:p w14:paraId="1974C016">
            <w:pPr>
              <w:widowControl/>
              <w:spacing w:line="240" w:lineRule="auto"/>
              <w:jc w:val="left"/>
              <w:textAlignment w:val="center"/>
              <w:rPr>
                <w:rFonts w:hint="default" w:ascii="Times New Roman" w:hAnsi="Times New Roman" w:cs="Times New Roman"/>
                <w:color w:val="auto"/>
                <w:kern w:val="0"/>
                <w:sz w:val="21"/>
                <w:szCs w:val="21"/>
                <w:highlight w:val="none"/>
              </w:rPr>
            </w:pPr>
            <w:r>
              <w:rPr>
                <w:rFonts w:hint="default" w:ascii="Times New Roman" w:hAnsi="Times New Roman" w:cs="Times New Roman"/>
                <w:b/>
                <w:bCs/>
                <w:color w:val="auto"/>
                <w:kern w:val="0"/>
                <w:sz w:val="21"/>
                <w:szCs w:val="21"/>
                <w:highlight w:val="none"/>
                <w:lang w:bidi="ar"/>
              </w:rPr>
              <w:t>0.696</w:t>
            </w:r>
          </w:p>
        </w:tc>
        <w:tc>
          <w:tcPr>
            <w:tcW w:w="989" w:type="dxa"/>
            <w:tcBorders>
              <w:top w:val="single" w:color="auto" w:sz="4" w:space="0"/>
              <w:left w:val="nil"/>
              <w:bottom w:val="nil"/>
              <w:right w:val="nil"/>
            </w:tcBorders>
            <w:noWrap w:val="0"/>
            <w:vAlign w:val="center"/>
          </w:tcPr>
          <w:p w14:paraId="18B8BAFE">
            <w:pPr>
              <w:widowControl/>
              <w:spacing w:line="240" w:lineRule="auto"/>
              <w:jc w:val="left"/>
              <w:textAlignment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lang w:bidi="ar"/>
              </w:rPr>
              <w:t>0.254</w:t>
            </w:r>
          </w:p>
        </w:tc>
        <w:tc>
          <w:tcPr>
            <w:tcW w:w="1411" w:type="dxa"/>
            <w:tcBorders>
              <w:top w:val="single" w:color="auto" w:sz="4" w:space="0"/>
              <w:left w:val="nil"/>
              <w:bottom w:val="nil"/>
              <w:right w:val="nil"/>
            </w:tcBorders>
            <w:noWrap w:val="0"/>
            <w:vAlign w:val="center"/>
          </w:tcPr>
          <w:p w14:paraId="0136DB05">
            <w:pPr>
              <w:widowControl/>
              <w:spacing w:line="240" w:lineRule="auto"/>
              <w:jc w:val="left"/>
              <w:textAlignment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lang w:bidi="ar"/>
              </w:rPr>
              <w:t>0.915</w:t>
            </w:r>
          </w:p>
        </w:tc>
      </w:tr>
      <w:tr w14:paraId="625651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087" w:type="dxa"/>
            <w:vMerge w:val="continue"/>
            <w:tcBorders>
              <w:top w:val="nil"/>
              <w:left w:val="nil"/>
              <w:bottom w:val="nil"/>
              <w:right w:val="nil"/>
            </w:tcBorders>
            <w:noWrap w:val="0"/>
            <w:vAlign w:val="center"/>
          </w:tcPr>
          <w:p w14:paraId="67469EA4">
            <w:pPr>
              <w:autoSpaceDE w:val="0"/>
              <w:autoSpaceDN w:val="0"/>
              <w:adjustRightInd w:val="0"/>
              <w:spacing w:line="240" w:lineRule="auto"/>
              <w:jc w:val="center"/>
              <w:rPr>
                <w:rFonts w:hint="default" w:ascii="Times New Roman" w:hAnsi="Times New Roman" w:cs="Times New Roman"/>
                <w:color w:val="auto"/>
                <w:kern w:val="0"/>
                <w:sz w:val="21"/>
                <w:szCs w:val="21"/>
                <w:highlight w:val="none"/>
              </w:rPr>
            </w:pPr>
          </w:p>
        </w:tc>
        <w:tc>
          <w:tcPr>
            <w:tcW w:w="1007" w:type="dxa"/>
            <w:tcBorders>
              <w:top w:val="nil"/>
              <w:left w:val="nil"/>
              <w:bottom w:val="nil"/>
              <w:right w:val="nil"/>
            </w:tcBorders>
            <w:noWrap w:val="0"/>
            <w:vAlign w:val="center"/>
          </w:tcPr>
          <w:p w14:paraId="4330969B">
            <w:pPr>
              <w:widowControl/>
              <w:spacing w:line="240" w:lineRule="auto"/>
              <w:jc w:val="left"/>
              <w:textAlignment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lang w:bidi="ar"/>
              </w:rPr>
              <w:t>0.117</w:t>
            </w:r>
          </w:p>
        </w:tc>
        <w:tc>
          <w:tcPr>
            <w:tcW w:w="1173" w:type="dxa"/>
            <w:tcBorders>
              <w:top w:val="nil"/>
              <w:left w:val="nil"/>
              <w:bottom w:val="nil"/>
              <w:right w:val="nil"/>
            </w:tcBorders>
            <w:noWrap w:val="0"/>
            <w:vAlign w:val="center"/>
          </w:tcPr>
          <w:p w14:paraId="563608B6">
            <w:pPr>
              <w:widowControl/>
              <w:spacing w:line="240" w:lineRule="auto"/>
              <w:jc w:val="left"/>
              <w:textAlignment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lang w:bidi="ar"/>
              </w:rPr>
              <w:t>0.395</w:t>
            </w:r>
          </w:p>
        </w:tc>
        <w:tc>
          <w:tcPr>
            <w:tcW w:w="1108" w:type="dxa"/>
            <w:tcBorders>
              <w:top w:val="nil"/>
              <w:left w:val="nil"/>
              <w:bottom w:val="nil"/>
              <w:right w:val="nil"/>
            </w:tcBorders>
            <w:noWrap w:val="0"/>
            <w:vAlign w:val="center"/>
          </w:tcPr>
          <w:p w14:paraId="539C5793">
            <w:pPr>
              <w:widowControl/>
              <w:spacing w:line="240" w:lineRule="auto"/>
              <w:jc w:val="left"/>
              <w:textAlignment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lang w:bidi="ar"/>
              </w:rPr>
              <w:t>0.363</w:t>
            </w:r>
          </w:p>
        </w:tc>
        <w:tc>
          <w:tcPr>
            <w:tcW w:w="1118" w:type="dxa"/>
            <w:tcBorders>
              <w:top w:val="nil"/>
              <w:left w:val="nil"/>
              <w:bottom w:val="nil"/>
              <w:right w:val="nil"/>
            </w:tcBorders>
            <w:noWrap w:val="0"/>
            <w:vAlign w:val="center"/>
          </w:tcPr>
          <w:p w14:paraId="61E31AD5">
            <w:pPr>
              <w:widowControl/>
              <w:spacing w:line="240" w:lineRule="auto"/>
              <w:jc w:val="left"/>
              <w:textAlignment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lang w:bidi="ar"/>
              </w:rPr>
              <w:t>0.019</w:t>
            </w:r>
          </w:p>
        </w:tc>
        <w:tc>
          <w:tcPr>
            <w:tcW w:w="1053" w:type="dxa"/>
            <w:tcBorders>
              <w:top w:val="nil"/>
              <w:left w:val="nil"/>
              <w:bottom w:val="nil"/>
              <w:right w:val="nil"/>
            </w:tcBorders>
            <w:noWrap w:val="0"/>
            <w:vAlign w:val="center"/>
          </w:tcPr>
          <w:p w14:paraId="6594FD34">
            <w:pPr>
              <w:widowControl/>
              <w:spacing w:line="240" w:lineRule="auto"/>
              <w:jc w:val="left"/>
              <w:textAlignment w:val="center"/>
              <w:rPr>
                <w:rFonts w:hint="default" w:ascii="Times New Roman" w:hAnsi="Times New Roman" w:cs="Times New Roman"/>
                <w:color w:val="auto"/>
                <w:kern w:val="0"/>
                <w:sz w:val="21"/>
                <w:szCs w:val="21"/>
                <w:highlight w:val="none"/>
              </w:rPr>
            </w:pPr>
            <w:r>
              <w:rPr>
                <w:rFonts w:hint="default" w:ascii="Times New Roman" w:hAnsi="Times New Roman" w:cs="Times New Roman"/>
                <w:b/>
                <w:bCs/>
                <w:color w:val="auto"/>
                <w:kern w:val="0"/>
                <w:sz w:val="21"/>
                <w:szCs w:val="21"/>
                <w:highlight w:val="none"/>
                <w:lang w:bidi="ar"/>
              </w:rPr>
              <w:t>0.675</w:t>
            </w:r>
          </w:p>
        </w:tc>
        <w:tc>
          <w:tcPr>
            <w:tcW w:w="989" w:type="dxa"/>
            <w:tcBorders>
              <w:top w:val="nil"/>
              <w:left w:val="nil"/>
              <w:bottom w:val="nil"/>
              <w:right w:val="nil"/>
            </w:tcBorders>
            <w:noWrap w:val="0"/>
            <w:vAlign w:val="center"/>
          </w:tcPr>
          <w:p w14:paraId="390CC6ED">
            <w:pPr>
              <w:widowControl/>
              <w:spacing w:line="240" w:lineRule="auto"/>
              <w:jc w:val="left"/>
              <w:textAlignment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lang w:bidi="ar"/>
              </w:rPr>
              <w:t>0.300</w:t>
            </w:r>
          </w:p>
        </w:tc>
        <w:tc>
          <w:tcPr>
            <w:tcW w:w="1411" w:type="dxa"/>
            <w:tcBorders>
              <w:top w:val="nil"/>
              <w:left w:val="nil"/>
              <w:bottom w:val="nil"/>
              <w:right w:val="nil"/>
            </w:tcBorders>
            <w:noWrap w:val="0"/>
            <w:vAlign w:val="center"/>
          </w:tcPr>
          <w:p w14:paraId="32AB8417">
            <w:pPr>
              <w:widowControl/>
              <w:spacing w:line="240" w:lineRule="auto"/>
              <w:jc w:val="left"/>
              <w:textAlignment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lang w:bidi="ar"/>
              </w:rPr>
              <w:t>0.931</w:t>
            </w:r>
          </w:p>
        </w:tc>
      </w:tr>
      <w:tr w14:paraId="0C6816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087" w:type="dxa"/>
            <w:vMerge w:val="continue"/>
            <w:tcBorders>
              <w:top w:val="nil"/>
              <w:left w:val="nil"/>
              <w:bottom w:val="single" w:color="auto" w:sz="4" w:space="0"/>
              <w:right w:val="nil"/>
            </w:tcBorders>
            <w:noWrap w:val="0"/>
            <w:vAlign w:val="center"/>
          </w:tcPr>
          <w:p w14:paraId="495D5F27">
            <w:pPr>
              <w:autoSpaceDE w:val="0"/>
              <w:autoSpaceDN w:val="0"/>
              <w:adjustRightInd w:val="0"/>
              <w:spacing w:line="240" w:lineRule="auto"/>
              <w:jc w:val="center"/>
              <w:rPr>
                <w:rFonts w:hint="default" w:ascii="Times New Roman" w:hAnsi="Times New Roman" w:cs="Times New Roman"/>
                <w:color w:val="auto"/>
                <w:kern w:val="0"/>
                <w:sz w:val="21"/>
                <w:szCs w:val="21"/>
                <w:highlight w:val="none"/>
              </w:rPr>
            </w:pPr>
          </w:p>
        </w:tc>
        <w:tc>
          <w:tcPr>
            <w:tcW w:w="1007" w:type="dxa"/>
            <w:tcBorders>
              <w:top w:val="nil"/>
              <w:left w:val="nil"/>
              <w:bottom w:val="single" w:color="auto" w:sz="4" w:space="0"/>
              <w:right w:val="nil"/>
            </w:tcBorders>
            <w:noWrap w:val="0"/>
            <w:vAlign w:val="center"/>
          </w:tcPr>
          <w:p w14:paraId="20BD39FD">
            <w:pPr>
              <w:widowControl/>
              <w:spacing w:line="240" w:lineRule="auto"/>
              <w:jc w:val="left"/>
              <w:textAlignment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lang w:bidi="ar"/>
              </w:rPr>
              <w:t>0.140</w:t>
            </w:r>
          </w:p>
        </w:tc>
        <w:tc>
          <w:tcPr>
            <w:tcW w:w="1173" w:type="dxa"/>
            <w:tcBorders>
              <w:top w:val="nil"/>
              <w:left w:val="nil"/>
              <w:bottom w:val="single" w:color="auto" w:sz="4" w:space="0"/>
              <w:right w:val="nil"/>
            </w:tcBorders>
            <w:noWrap w:val="0"/>
            <w:vAlign w:val="center"/>
          </w:tcPr>
          <w:p w14:paraId="40DC8BBF">
            <w:pPr>
              <w:widowControl/>
              <w:spacing w:line="240" w:lineRule="auto"/>
              <w:jc w:val="left"/>
              <w:textAlignment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lang w:bidi="ar"/>
              </w:rPr>
              <w:t>0.390</w:t>
            </w:r>
          </w:p>
        </w:tc>
        <w:tc>
          <w:tcPr>
            <w:tcW w:w="1108" w:type="dxa"/>
            <w:tcBorders>
              <w:top w:val="nil"/>
              <w:left w:val="nil"/>
              <w:bottom w:val="single" w:color="auto" w:sz="4" w:space="0"/>
              <w:right w:val="nil"/>
            </w:tcBorders>
            <w:noWrap w:val="0"/>
            <w:vAlign w:val="center"/>
          </w:tcPr>
          <w:p w14:paraId="7EB11158">
            <w:pPr>
              <w:widowControl/>
              <w:spacing w:line="240" w:lineRule="auto"/>
              <w:jc w:val="left"/>
              <w:textAlignment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lang w:bidi="ar"/>
              </w:rPr>
              <w:t>0.399</w:t>
            </w:r>
          </w:p>
        </w:tc>
        <w:tc>
          <w:tcPr>
            <w:tcW w:w="1118" w:type="dxa"/>
            <w:tcBorders>
              <w:top w:val="nil"/>
              <w:left w:val="nil"/>
              <w:bottom w:val="single" w:color="auto" w:sz="4" w:space="0"/>
              <w:right w:val="nil"/>
            </w:tcBorders>
            <w:noWrap w:val="0"/>
            <w:vAlign w:val="center"/>
          </w:tcPr>
          <w:p w14:paraId="134D4DF6">
            <w:pPr>
              <w:widowControl/>
              <w:spacing w:line="240" w:lineRule="auto"/>
              <w:jc w:val="left"/>
              <w:textAlignment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lang w:bidi="ar"/>
              </w:rPr>
              <w:t>0.020</w:t>
            </w:r>
          </w:p>
        </w:tc>
        <w:tc>
          <w:tcPr>
            <w:tcW w:w="1053" w:type="dxa"/>
            <w:tcBorders>
              <w:top w:val="nil"/>
              <w:left w:val="nil"/>
              <w:bottom w:val="single" w:color="auto" w:sz="4" w:space="0"/>
              <w:right w:val="nil"/>
            </w:tcBorders>
            <w:noWrap w:val="0"/>
            <w:vAlign w:val="center"/>
          </w:tcPr>
          <w:p w14:paraId="5523B267">
            <w:pPr>
              <w:widowControl/>
              <w:spacing w:line="240" w:lineRule="auto"/>
              <w:jc w:val="left"/>
              <w:textAlignment w:val="center"/>
              <w:rPr>
                <w:rFonts w:hint="default" w:ascii="Times New Roman" w:hAnsi="Times New Roman" w:cs="Times New Roman"/>
                <w:color w:val="auto"/>
                <w:kern w:val="0"/>
                <w:sz w:val="21"/>
                <w:szCs w:val="21"/>
                <w:highlight w:val="none"/>
              </w:rPr>
            </w:pPr>
            <w:r>
              <w:rPr>
                <w:rFonts w:hint="default" w:ascii="Times New Roman" w:hAnsi="Times New Roman" w:cs="Times New Roman"/>
                <w:b/>
                <w:bCs/>
                <w:color w:val="auto"/>
                <w:kern w:val="0"/>
                <w:sz w:val="21"/>
                <w:szCs w:val="21"/>
                <w:highlight w:val="none"/>
                <w:lang w:bidi="ar"/>
              </w:rPr>
              <w:t>0.729</w:t>
            </w:r>
          </w:p>
        </w:tc>
        <w:tc>
          <w:tcPr>
            <w:tcW w:w="989" w:type="dxa"/>
            <w:tcBorders>
              <w:top w:val="nil"/>
              <w:left w:val="nil"/>
              <w:bottom w:val="single" w:color="auto" w:sz="4" w:space="0"/>
              <w:right w:val="nil"/>
            </w:tcBorders>
            <w:noWrap w:val="0"/>
            <w:vAlign w:val="center"/>
          </w:tcPr>
          <w:p w14:paraId="37188C0D">
            <w:pPr>
              <w:widowControl/>
              <w:spacing w:line="240" w:lineRule="auto"/>
              <w:jc w:val="left"/>
              <w:textAlignment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lang w:bidi="ar"/>
              </w:rPr>
              <w:t>0.209</w:t>
            </w:r>
          </w:p>
        </w:tc>
        <w:tc>
          <w:tcPr>
            <w:tcW w:w="1411" w:type="dxa"/>
            <w:tcBorders>
              <w:top w:val="nil"/>
              <w:left w:val="nil"/>
              <w:bottom w:val="single" w:color="auto" w:sz="4" w:space="0"/>
              <w:right w:val="nil"/>
            </w:tcBorders>
            <w:noWrap w:val="0"/>
            <w:vAlign w:val="center"/>
          </w:tcPr>
          <w:p w14:paraId="23FF6FCA">
            <w:pPr>
              <w:widowControl/>
              <w:spacing w:line="240" w:lineRule="auto"/>
              <w:jc w:val="left"/>
              <w:textAlignment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lang w:bidi="ar"/>
              </w:rPr>
              <w:t>0.906</w:t>
            </w:r>
          </w:p>
        </w:tc>
      </w:tr>
      <w:tr w14:paraId="5DB932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087" w:type="dxa"/>
            <w:vMerge w:val="restart"/>
            <w:tcBorders>
              <w:top w:val="single" w:color="auto" w:sz="4" w:space="0"/>
              <w:left w:val="nil"/>
              <w:bottom w:val="nil"/>
              <w:right w:val="nil"/>
            </w:tcBorders>
            <w:noWrap w:val="0"/>
            <w:vAlign w:val="top"/>
          </w:tcPr>
          <w:p w14:paraId="3F0FCB12">
            <w:pPr>
              <w:autoSpaceDE w:val="0"/>
              <w:autoSpaceDN w:val="0"/>
              <w:adjustRightInd w:val="0"/>
              <w:spacing w:line="240" w:lineRule="auto"/>
              <w:jc w:val="left"/>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ENJD</w:t>
            </w:r>
          </w:p>
        </w:tc>
        <w:tc>
          <w:tcPr>
            <w:tcW w:w="1007" w:type="dxa"/>
            <w:tcBorders>
              <w:top w:val="single" w:color="auto" w:sz="4" w:space="0"/>
              <w:left w:val="nil"/>
              <w:bottom w:val="nil"/>
              <w:right w:val="nil"/>
            </w:tcBorders>
            <w:noWrap w:val="0"/>
            <w:vAlign w:val="center"/>
          </w:tcPr>
          <w:p w14:paraId="5535A574">
            <w:pPr>
              <w:widowControl/>
              <w:spacing w:line="240" w:lineRule="auto"/>
              <w:jc w:val="left"/>
              <w:textAlignment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lang w:bidi="ar"/>
              </w:rPr>
              <w:t>0.000</w:t>
            </w:r>
          </w:p>
        </w:tc>
        <w:tc>
          <w:tcPr>
            <w:tcW w:w="1173" w:type="dxa"/>
            <w:tcBorders>
              <w:top w:val="single" w:color="auto" w:sz="4" w:space="0"/>
              <w:left w:val="nil"/>
              <w:bottom w:val="nil"/>
              <w:right w:val="nil"/>
            </w:tcBorders>
            <w:noWrap w:val="0"/>
            <w:vAlign w:val="center"/>
          </w:tcPr>
          <w:p w14:paraId="29390A59">
            <w:pPr>
              <w:widowControl/>
              <w:spacing w:line="240" w:lineRule="auto"/>
              <w:jc w:val="left"/>
              <w:textAlignment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lang w:bidi="ar"/>
              </w:rPr>
              <w:t>0.392</w:t>
            </w:r>
          </w:p>
        </w:tc>
        <w:tc>
          <w:tcPr>
            <w:tcW w:w="1108" w:type="dxa"/>
            <w:tcBorders>
              <w:top w:val="single" w:color="auto" w:sz="4" w:space="0"/>
              <w:left w:val="nil"/>
              <w:bottom w:val="nil"/>
              <w:right w:val="nil"/>
            </w:tcBorders>
            <w:noWrap w:val="0"/>
            <w:vAlign w:val="center"/>
          </w:tcPr>
          <w:p w14:paraId="5246C96C">
            <w:pPr>
              <w:widowControl/>
              <w:spacing w:line="240" w:lineRule="auto"/>
              <w:jc w:val="left"/>
              <w:textAlignment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lang w:bidi="ar"/>
              </w:rPr>
              <w:t>0.338</w:t>
            </w:r>
          </w:p>
        </w:tc>
        <w:tc>
          <w:tcPr>
            <w:tcW w:w="1118" w:type="dxa"/>
            <w:tcBorders>
              <w:top w:val="single" w:color="auto" w:sz="4" w:space="0"/>
              <w:left w:val="nil"/>
              <w:bottom w:val="nil"/>
              <w:right w:val="nil"/>
            </w:tcBorders>
            <w:noWrap w:val="0"/>
            <w:vAlign w:val="center"/>
          </w:tcPr>
          <w:p w14:paraId="28172E76">
            <w:pPr>
              <w:widowControl/>
              <w:spacing w:line="240" w:lineRule="auto"/>
              <w:jc w:val="left"/>
              <w:textAlignment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lang w:bidi="ar"/>
              </w:rPr>
              <w:t>0.023</w:t>
            </w:r>
          </w:p>
        </w:tc>
        <w:tc>
          <w:tcPr>
            <w:tcW w:w="1053" w:type="dxa"/>
            <w:tcBorders>
              <w:top w:val="single" w:color="auto" w:sz="4" w:space="0"/>
              <w:left w:val="nil"/>
              <w:bottom w:val="nil"/>
              <w:right w:val="nil"/>
            </w:tcBorders>
            <w:noWrap w:val="0"/>
            <w:vAlign w:val="center"/>
          </w:tcPr>
          <w:p w14:paraId="793FB98A">
            <w:pPr>
              <w:widowControl/>
              <w:spacing w:line="240" w:lineRule="auto"/>
              <w:jc w:val="left"/>
              <w:textAlignment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lang w:bidi="ar"/>
              </w:rPr>
              <w:t>0.381</w:t>
            </w:r>
          </w:p>
        </w:tc>
        <w:tc>
          <w:tcPr>
            <w:tcW w:w="989" w:type="dxa"/>
            <w:tcBorders>
              <w:top w:val="single" w:color="auto" w:sz="4" w:space="0"/>
              <w:left w:val="nil"/>
              <w:bottom w:val="nil"/>
              <w:right w:val="nil"/>
            </w:tcBorders>
            <w:noWrap w:val="0"/>
            <w:vAlign w:val="center"/>
          </w:tcPr>
          <w:p w14:paraId="7671B140">
            <w:pPr>
              <w:widowControl/>
              <w:spacing w:line="240" w:lineRule="auto"/>
              <w:jc w:val="left"/>
              <w:textAlignment w:val="center"/>
              <w:rPr>
                <w:rFonts w:hint="default" w:ascii="Times New Roman" w:hAnsi="Times New Roman" w:cs="Times New Roman"/>
                <w:color w:val="auto"/>
                <w:kern w:val="0"/>
                <w:sz w:val="21"/>
                <w:szCs w:val="21"/>
                <w:highlight w:val="none"/>
              </w:rPr>
            </w:pPr>
            <w:r>
              <w:rPr>
                <w:rFonts w:hint="default" w:ascii="Times New Roman" w:hAnsi="Times New Roman" w:cs="Times New Roman"/>
                <w:b/>
                <w:bCs/>
                <w:color w:val="auto"/>
                <w:kern w:val="0"/>
                <w:sz w:val="21"/>
                <w:szCs w:val="21"/>
                <w:highlight w:val="none"/>
                <w:lang w:bidi="ar"/>
              </w:rPr>
              <w:t>0.700</w:t>
            </w:r>
          </w:p>
        </w:tc>
        <w:tc>
          <w:tcPr>
            <w:tcW w:w="1411" w:type="dxa"/>
            <w:tcBorders>
              <w:top w:val="single" w:color="auto" w:sz="4" w:space="0"/>
              <w:left w:val="nil"/>
              <w:bottom w:val="nil"/>
              <w:right w:val="nil"/>
            </w:tcBorders>
            <w:noWrap w:val="0"/>
            <w:vAlign w:val="center"/>
          </w:tcPr>
          <w:p w14:paraId="3D354A2E">
            <w:pPr>
              <w:widowControl/>
              <w:spacing w:line="240" w:lineRule="auto"/>
              <w:jc w:val="left"/>
              <w:textAlignment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lang w:bidi="ar"/>
              </w:rPr>
              <w:t>0.903</w:t>
            </w:r>
          </w:p>
        </w:tc>
      </w:tr>
      <w:tr w14:paraId="73F6EE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087" w:type="dxa"/>
            <w:vMerge w:val="continue"/>
            <w:tcBorders>
              <w:top w:val="nil"/>
              <w:left w:val="nil"/>
              <w:bottom w:val="single" w:color="auto" w:sz="4" w:space="0"/>
              <w:right w:val="nil"/>
            </w:tcBorders>
            <w:noWrap w:val="0"/>
            <w:vAlign w:val="top"/>
          </w:tcPr>
          <w:p w14:paraId="05E87BF4">
            <w:pPr>
              <w:autoSpaceDE w:val="0"/>
              <w:autoSpaceDN w:val="0"/>
              <w:adjustRightInd w:val="0"/>
              <w:spacing w:line="240" w:lineRule="auto"/>
              <w:rPr>
                <w:rFonts w:hint="default" w:ascii="Times New Roman" w:hAnsi="Times New Roman" w:cs="Times New Roman"/>
                <w:color w:val="auto"/>
                <w:kern w:val="0"/>
                <w:sz w:val="21"/>
                <w:szCs w:val="21"/>
                <w:highlight w:val="none"/>
              </w:rPr>
            </w:pPr>
          </w:p>
        </w:tc>
        <w:tc>
          <w:tcPr>
            <w:tcW w:w="1007" w:type="dxa"/>
            <w:tcBorders>
              <w:top w:val="nil"/>
              <w:left w:val="nil"/>
              <w:bottom w:val="single" w:color="auto" w:sz="4" w:space="0"/>
              <w:right w:val="nil"/>
            </w:tcBorders>
            <w:noWrap w:val="0"/>
            <w:vAlign w:val="center"/>
          </w:tcPr>
          <w:p w14:paraId="0CB164C3">
            <w:pPr>
              <w:widowControl/>
              <w:spacing w:line="240" w:lineRule="auto"/>
              <w:jc w:val="left"/>
              <w:textAlignment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lang w:bidi="ar"/>
              </w:rPr>
              <w:t>-0.017</w:t>
            </w:r>
          </w:p>
        </w:tc>
        <w:tc>
          <w:tcPr>
            <w:tcW w:w="1173" w:type="dxa"/>
            <w:tcBorders>
              <w:top w:val="nil"/>
              <w:left w:val="nil"/>
              <w:bottom w:val="single" w:color="auto" w:sz="4" w:space="0"/>
              <w:right w:val="nil"/>
            </w:tcBorders>
            <w:noWrap w:val="0"/>
            <w:vAlign w:val="center"/>
          </w:tcPr>
          <w:p w14:paraId="5D6D68F7">
            <w:pPr>
              <w:widowControl/>
              <w:spacing w:line="240" w:lineRule="auto"/>
              <w:jc w:val="left"/>
              <w:textAlignment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lang w:bidi="ar"/>
              </w:rPr>
              <w:t>0.328</w:t>
            </w:r>
          </w:p>
        </w:tc>
        <w:tc>
          <w:tcPr>
            <w:tcW w:w="1108" w:type="dxa"/>
            <w:tcBorders>
              <w:top w:val="nil"/>
              <w:left w:val="nil"/>
              <w:bottom w:val="single" w:color="auto" w:sz="4" w:space="0"/>
              <w:right w:val="nil"/>
            </w:tcBorders>
            <w:noWrap w:val="0"/>
            <w:vAlign w:val="center"/>
          </w:tcPr>
          <w:p w14:paraId="702F75C2">
            <w:pPr>
              <w:widowControl/>
              <w:spacing w:line="240" w:lineRule="auto"/>
              <w:jc w:val="left"/>
              <w:textAlignment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lang w:bidi="ar"/>
              </w:rPr>
              <w:t>0.320</w:t>
            </w:r>
          </w:p>
        </w:tc>
        <w:tc>
          <w:tcPr>
            <w:tcW w:w="1118" w:type="dxa"/>
            <w:tcBorders>
              <w:top w:val="nil"/>
              <w:left w:val="nil"/>
              <w:bottom w:val="single" w:color="auto" w:sz="4" w:space="0"/>
              <w:right w:val="nil"/>
            </w:tcBorders>
            <w:noWrap w:val="0"/>
            <w:vAlign w:val="center"/>
          </w:tcPr>
          <w:p w14:paraId="188BE62E">
            <w:pPr>
              <w:widowControl/>
              <w:spacing w:line="240" w:lineRule="auto"/>
              <w:jc w:val="left"/>
              <w:textAlignment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lang w:bidi="ar"/>
              </w:rPr>
              <w:t>0.068</w:t>
            </w:r>
          </w:p>
        </w:tc>
        <w:tc>
          <w:tcPr>
            <w:tcW w:w="1053" w:type="dxa"/>
            <w:tcBorders>
              <w:top w:val="nil"/>
              <w:left w:val="nil"/>
              <w:bottom w:val="single" w:color="auto" w:sz="4" w:space="0"/>
              <w:right w:val="nil"/>
            </w:tcBorders>
            <w:noWrap w:val="0"/>
            <w:vAlign w:val="center"/>
          </w:tcPr>
          <w:p w14:paraId="348F410E">
            <w:pPr>
              <w:widowControl/>
              <w:spacing w:line="240" w:lineRule="auto"/>
              <w:jc w:val="left"/>
              <w:textAlignment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lang w:bidi="ar"/>
              </w:rPr>
              <w:t>0.260</w:t>
            </w:r>
          </w:p>
        </w:tc>
        <w:tc>
          <w:tcPr>
            <w:tcW w:w="989" w:type="dxa"/>
            <w:tcBorders>
              <w:top w:val="nil"/>
              <w:left w:val="nil"/>
              <w:bottom w:val="single" w:color="auto" w:sz="4" w:space="0"/>
              <w:right w:val="nil"/>
            </w:tcBorders>
            <w:noWrap w:val="0"/>
            <w:vAlign w:val="center"/>
          </w:tcPr>
          <w:p w14:paraId="148A288B">
            <w:pPr>
              <w:widowControl/>
              <w:spacing w:line="240" w:lineRule="auto"/>
              <w:jc w:val="left"/>
              <w:textAlignment w:val="center"/>
              <w:rPr>
                <w:rFonts w:hint="default" w:ascii="Times New Roman" w:hAnsi="Times New Roman" w:cs="Times New Roman"/>
                <w:color w:val="auto"/>
                <w:kern w:val="0"/>
                <w:sz w:val="21"/>
                <w:szCs w:val="21"/>
                <w:highlight w:val="none"/>
              </w:rPr>
            </w:pPr>
            <w:r>
              <w:rPr>
                <w:rFonts w:hint="default" w:ascii="Times New Roman" w:hAnsi="Times New Roman" w:cs="Times New Roman"/>
                <w:b/>
                <w:bCs/>
                <w:color w:val="auto"/>
                <w:kern w:val="0"/>
                <w:sz w:val="21"/>
                <w:szCs w:val="21"/>
                <w:highlight w:val="none"/>
                <w:lang w:bidi="ar"/>
              </w:rPr>
              <w:t>0.764</w:t>
            </w:r>
          </w:p>
        </w:tc>
        <w:tc>
          <w:tcPr>
            <w:tcW w:w="1411" w:type="dxa"/>
            <w:tcBorders>
              <w:top w:val="nil"/>
              <w:left w:val="nil"/>
              <w:bottom w:val="single" w:color="auto" w:sz="4" w:space="0"/>
              <w:right w:val="nil"/>
            </w:tcBorders>
            <w:noWrap w:val="0"/>
            <w:vAlign w:val="center"/>
          </w:tcPr>
          <w:p w14:paraId="1A8E5CF3">
            <w:pPr>
              <w:widowControl/>
              <w:spacing w:line="240" w:lineRule="auto"/>
              <w:jc w:val="left"/>
              <w:textAlignment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lang w:bidi="ar"/>
              </w:rPr>
              <w:t>0.942</w:t>
            </w:r>
          </w:p>
        </w:tc>
      </w:tr>
      <w:tr w14:paraId="01A2A4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087" w:type="dxa"/>
            <w:tcBorders>
              <w:top w:val="single" w:color="auto" w:sz="4" w:space="0"/>
              <w:left w:val="nil"/>
              <w:bottom w:val="single" w:color="000000" w:sz="4" w:space="0"/>
              <w:right w:val="nil"/>
            </w:tcBorders>
            <w:noWrap w:val="0"/>
            <w:vAlign w:val="center"/>
          </w:tcPr>
          <w:p w14:paraId="647E8DDD">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Eigenvalues</w:t>
            </w:r>
          </w:p>
        </w:tc>
        <w:tc>
          <w:tcPr>
            <w:tcW w:w="1007" w:type="dxa"/>
            <w:tcBorders>
              <w:top w:val="single" w:color="auto" w:sz="4" w:space="0"/>
              <w:left w:val="nil"/>
              <w:bottom w:val="single" w:color="000000" w:sz="4" w:space="0"/>
              <w:right w:val="nil"/>
            </w:tcBorders>
            <w:noWrap w:val="0"/>
            <w:vAlign w:val="top"/>
          </w:tcPr>
          <w:p w14:paraId="31AFD9D2">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5.498</w:t>
            </w:r>
          </w:p>
        </w:tc>
        <w:tc>
          <w:tcPr>
            <w:tcW w:w="1173" w:type="dxa"/>
            <w:tcBorders>
              <w:top w:val="single" w:color="auto" w:sz="4" w:space="0"/>
              <w:left w:val="nil"/>
              <w:bottom w:val="single" w:color="000000" w:sz="4" w:space="0"/>
              <w:right w:val="nil"/>
            </w:tcBorders>
            <w:noWrap w:val="0"/>
            <w:vAlign w:val="top"/>
          </w:tcPr>
          <w:p w14:paraId="1557AD5A">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4.445</w:t>
            </w:r>
          </w:p>
        </w:tc>
        <w:tc>
          <w:tcPr>
            <w:tcW w:w="1108" w:type="dxa"/>
            <w:tcBorders>
              <w:top w:val="single" w:color="auto" w:sz="4" w:space="0"/>
              <w:left w:val="nil"/>
              <w:bottom w:val="single" w:color="000000" w:sz="4" w:space="0"/>
              <w:right w:val="nil"/>
            </w:tcBorders>
            <w:noWrap w:val="0"/>
            <w:vAlign w:val="top"/>
          </w:tcPr>
          <w:p w14:paraId="4C082C8A">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3.642</w:t>
            </w:r>
          </w:p>
        </w:tc>
        <w:tc>
          <w:tcPr>
            <w:tcW w:w="1118" w:type="dxa"/>
            <w:tcBorders>
              <w:top w:val="single" w:color="auto" w:sz="4" w:space="0"/>
              <w:left w:val="nil"/>
              <w:bottom w:val="single" w:color="000000" w:sz="4" w:space="0"/>
              <w:right w:val="nil"/>
            </w:tcBorders>
            <w:noWrap w:val="0"/>
            <w:vAlign w:val="top"/>
          </w:tcPr>
          <w:p w14:paraId="060FBAC1">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2.831</w:t>
            </w:r>
          </w:p>
        </w:tc>
        <w:tc>
          <w:tcPr>
            <w:tcW w:w="1053" w:type="dxa"/>
            <w:tcBorders>
              <w:top w:val="single" w:color="auto" w:sz="4" w:space="0"/>
              <w:left w:val="nil"/>
              <w:bottom w:val="single" w:color="000000" w:sz="4" w:space="0"/>
              <w:right w:val="nil"/>
            </w:tcBorders>
            <w:noWrap w:val="0"/>
            <w:vAlign w:val="top"/>
          </w:tcPr>
          <w:p w14:paraId="149F6247">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2.104</w:t>
            </w:r>
          </w:p>
        </w:tc>
        <w:tc>
          <w:tcPr>
            <w:tcW w:w="989" w:type="dxa"/>
            <w:tcBorders>
              <w:top w:val="single" w:color="auto" w:sz="4" w:space="0"/>
              <w:left w:val="nil"/>
              <w:bottom w:val="single" w:color="000000" w:sz="4" w:space="0"/>
              <w:right w:val="nil"/>
            </w:tcBorders>
            <w:noWrap w:val="0"/>
            <w:vAlign w:val="top"/>
          </w:tcPr>
          <w:p w14:paraId="669801D3">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1.565</w:t>
            </w:r>
          </w:p>
        </w:tc>
        <w:tc>
          <w:tcPr>
            <w:tcW w:w="1411" w:type="dxa"/>
            <w:tcBorders>
              <w:top w:val="single" w:color="auto" w:sz="4" w:space="0"/>
              <w:left w:val="nil"/>
              <w:bottom w:val="single" w:color="000000" w:sz="4" w:space="0"/>
              <w:right w:val="nil"/>
            </w:tcBorders>
            <w:noWrap w:val="0"/>
            <w:vAlign w:val="top"/>
          </w:tcPr>
          <w:p w14:paraId="58B7B49A">
            <w:pPr>
              <w:autoSpaceDE w:val="0"/>
              <w:autoSpaceDN w:val="0"/>
              <w:adjustRightInd w:val="0"/>
              <w:spacing w:line="240" w:lineRule="auto"/>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w:t>
            </w:r>
          </w:p>
        </w:tc>
      </w:tr>
    </w:tbl>
    <w:p w14:paraId="2F377CEF">
      <w:pPr>
        <w:autoSpaceDE w:val="0"/>
        <w:autoSpaceDN w:val="0"/>
        <w:adjustRightInd w:val="0"/>
        <w:spacing w:line="240" w:lineRule="auto"/>
        <w:rPr>
          <w:rFonts w:hint="default" w:ascii="Times New Roman" w:hAnsi="Times New Roman" w:cs="Times New Roman"/>
          <w:b/>
          <w:color w:val="auto"/>
          <w:kern w:val="0"/>
          <w:sz w:val="21"/>
          <w:szCs w:val="21"/>
          <w:highlight w:val="none"/>
        </w:rPr>
      </w:pPr>
      <w:r>
        <w:rPr>
          <w:rFonts w:hint="default" w:ascii="Times New Roman" w:hAnsi="Times New Roman" w:cs="Times New Roman"/>
          <w:i/>
          <w:color w:val="auto"/>
          <w:kern w:val="0"/>
          <w:sz w:val="21"/>
          <w:szCs w:val="21"/>
          <w:highlight w:val="none"/>
        </w:rPr>
        <w:t xml:space="preserve">Note: </w:t>
      </w:r>
      <w:r>
        <w:rPr>
          <w:rFonts w:hint="default" w:ascii="Times New Roman" w:hAnsi="Times New Roman" w:cs="Times New Roman"/>
          <w:color w:val="auto"/>
          <w:kern w:val="0"/>
          <w:sz w:val="21"/>
          <w:szCs w:val="21"/>
          <w:highlight w:val="none"/>
        </w:rPr>
        <w:t>Bold data indicates that the loading level of the question on the factor reached above 0.4</w:t>
      </w:r>
    </w:p>
    <w:p w14:paraId="7B1AF13B">
      <w:pPr>
        <w:autoSpaceDE w:val="0"/>
        <w:autoSpaceDN w:val="0"/>
        <w:adjustRightInd w:val="0"/>
        <w:spacing w:line="240" w:lineRule="auto"/>
        <w:jc w:val="left"/>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cs="Times New Roman"/>
          <w:i/>
          <w:iCs/>
          <w:color w:val="auto"/>
          <w:kern w:val="0"/>
          <w:sz w:val="21"/>
          <w:szCs w:val="21"/>
          <w:highlight w:val="none"/>
        </w:rPr>
        <w:t>Abbreviation:</w:t>
      </w:r>
      <w:r>
        <w:rPr>
          <w:rFonts w:hint="default" w:ascii="Times New Roman" w:hAnsi="Times New Roman" w:cs="Times New Roman"/>
          <w:i/>
          <w:iCs/>
          <w:color w:val="auto"/>
          <w:kern w:val="0"/>
          <w:sz w:val="21"/>
          <w:szCs w:val="21"/>
          <w:highlight w:val="none"/>
          <w:lang w:val="en-US" w:eastAsia="zh-CN"/>
        </w:rPr>
        <w:t xml:space="preserve"> </w:t>
      </w:r>
      <w:r>
        <w:rPr>
          <w:rFonts w:hint="default" w:ascii="Times New Roman" w:hAnsi="Times New Roman" w:cs="Times New Roman"/>
          <w:color w:val="auto"/>
          <w:kern w:val="0"/>
          <w:sz w:val="21"/>
          <w:szCs w:val="21"/>
          <w:highlight w:val="none"/>
          <w:lang w:val="en-US" w:eastAsia="zh-CN"/>
        </w:rPr>
        <w:t xml:space="preserve">Exit: </w:t>
      </w:r>
      <w:r>
        <w:rPr>
          <w:rFonts w:hint="default" w:ascii="Times New Roman" w:hAnsi="Times New Roman" w:cs="Times New Roman"/>
          <w:color w:val="auto"/>
          <w:kern w:val="0"/>
          <w:sz w:val="21"/>
          <w:szCs w:val="21"/>
          <w:highlight w:val="none"/>
        </w:rPr>
        <w:t>Exit behavior</w:t>
      </w:r>
      <w:r>
        <w:rPr>
          <w:rFonts w:hint="default" w:ascii="Times New Roman" w:hAnsi="Times New Roman" w:cs="Times New Roman"/>
          <w:color w:val="auto"/>
          <w:kern w:val="0"/>
          <w:sz w:val="21"/>
          <w:szCs w:val="21"/>
          <w:highlight w:val="none"/>
          <w:lang w:val="en-US" w:eastAsia="zh-CN"/>
        </w:rPr>
        <w:t xml:space="preserve">; Voice: </w:t>
      </w:r>
      <w:r>
        <w:rPr>
          <w:rFonts w:hint="default" w:ascii="Times New Roman" w:hAnsi="Times New Roman" w:cs="Times New Roman"/>
          <w:color w:val="auto"/>
          <w:kern w:val="0"/>
          <w:sz w:val="21"/>
          <w:szCs w:val="21"/>
          <w:highlight w:val="none"/>
        </w:rPr>
        <w:t>Voice behavior</w:t>
      </w:r>
      <w:r>
        <w:rPr>
          <w:rFonts w:hint="default" w:ascii="Times New Roman" w:hAnsi="Times New Roman" w:cs="Times New Roman"/>
          <w:color w:val="auto"/>
          <w:kern w:val="0"/>
          <w:sz w:val="21"/>
          <w:szCs w:val="21"/>
          <w:highlight w:val="none"/>
          <w:lang w:val="en-US" w:eastAsia="zh-CN"/>
        </w:rPr>
        <w:t xml:space="preserve">; Loyalty: </w:t>
      </w:r>
      <w:r>
        <w:rPr>
          <w:rFonts w:hint="default" w:ascii="Times New Roman" w:hAnsi="Times New Roman" w:cs="Times New Roman"/>
          <w:color w:val="auto"/>
          <w:kern w:val="0"/>
          <w:sz w:val="21"/>
          <w:szCs w:val="21"/>
          <w:highlight w:val="none"/>
        </w:rPr>
        <w:t>Loyalty behavior</w:t>
      </w:r>
      <w:r>
        <w:rPr>
          <w:rFonts w:hint="default" w:ascii="Times New Roman" w:hAnsi="Times New Roman" w:cs="Times New Roman"/>
          <w:color w:val="auto"/>
          <w:kern w:val="0"/>
          <w:sz w:val="21"/>
          <w:szCs w:val="21"/>
          <w:highlight w:val="none"/>
          <w:lang w:val="en-US" w:eastAsia="zh-CN"/>
        </w:rPr>
        <w:t xml:space="preserve">; Neglect: </w:t>
      </w:r>
      <w:r>
        <w:rPr>
          <w:rFonts w:hint="default" w:ascii="Times New Roman" w:hAnsi="Times New Roman" w:cs="Times New Roman"/>
          <w:color w:val="auto"/>
          <w:kern w:val="0"/>
          <w:sz w:val="21"/>
          <w:szCs w:val="21"/>
          <w:highlight w:val="none"/>
        </w:rPr>
        <w:t>Neglect behavior</w:t>
      </w:r>
      <w:r>
        <w:rPr>
          <w:rFonts w:hint="default" w:ascii="Times New Roman" w:hAnsi="Times New Roman" w:cs="Times New Roman"/>
          <w:color w:val="auto"/>
          <w:kern w:val="0"/>
          <w:sz w:val="21"/>
          <w:szCs w:val="21"/>
          <w:highlight w:val="none"/>
          <w:lang w:val="en-US" w:eastAsia="zh-CN"/>
        </w:rPr>
        <w:t xml:space="preserve">; INJD: </w:t>
      </w:r>
      <w:r>
        <w:rPr>
          <w:rFonts w:hint="default" w:ascii="Times New Roman" w:hAnsi="Times New Roman" w:cs="Times New Roman"/>
          <w:color w:val="auto"/>
          <w:kern w:val="0"/>
          <w:sz w:val="21"/>
          <w:szCs w:val="21"/>
          <w:highlight w:val="none"/>
        </w:rPr>
        <w:t>Internal nurses’ job disstisfaction</w:t>
      </w:r>
      <w:r>
        <w:rPr>
          <w:rFonts w:hint="default" w:ascii="Times New Roman" w:hAnsi="Times New Roman" w:cs="Times New Roman"/>
          <w:color w:val="auto"/>
          <w:kern w:val="0"/>
          <w:sz w:val="21"/>
          <w:szCs w:val="21"/>
          <w:highlight w:val="none"/>
          <w:lang w:val="en-US" w:eastAsia="zh-CN"/>
        </w:rPr>
        <w:t xml:space="preserve">; ENJD: </w:t>
      </w:r>
      <w:r>
        <w:rPr>
          <w:rFonts w:hint="default" w:ascii="Times New Roman" w:hAnsi="Times New Roman" w:cs="Times New Roman"/>
          <w:color w:val="auto"/>
          <w:kern w:val="0"/>
          <w:sz w:val="21"/>
          <w:szCs w:val="21"/>
          <w:highlight w:val="none"/>
        </w:rPr>
        <w:t>External nurses’ job dissatisfaction</w:t>
      </w:r>
      <w:r>
        <w:rPr>
          <w:rFonts w:hint="default" w:ascii="Times New Roman" w:hAnsi="Times New Roman" w:cs="Times New Roman"/>
          <w:color w:val="auto"/>
          <w:kern w:val="0"/>
          <w:sz w:val="21"/>
          <w:szCs w:val="21"/>
          <w:highlight w:val="none"/>
          <w:lang w:val="en-US" w:eastAsia="zh-CN"/>
        </w:rPr>
        <w:t>.</w:t>
      </w:r>
    </w:p>
    <w:p w14:paraId="2A22C3AE">
      <w:pPr>
        <w:rPr>
          <w:rFonts w:hint="default" w:ascii="Times New Roman" w:hAnsi="Times New Roman" w:cs="Times New Roman"/>
          <w:color w:val="auto"/>
          <w:sz w:val="21"/>
          <w:szCs w:val="21"/>
          <w:highlight w:val="none"/>
          <w:lang w:val="en-US" w:eastAsia="zh-CN"/>
        </w:rPr>
      </w:pPr>
    </w:p>
    <w:p w14:paraId="75FBE55B">
      <w:pPr>
        <w:keepNext w:val="0"/>
        <w:keepLines w:val="0"/>
        <w:pageBreakBefore w:val="0"/>
        <w:widowControl w:val="0"/>
        <w:kinsoku/>
        <w:wordWrap/>
        <w:overflowPunct/>
        <w:topLinePunct w:val="0"/>
        <w:autoSpaceDE w:val="0"/>
        <w:autoSpaceDN w:val="0"/>
        <w:bidi w:val="0"/>
        <w:adjustRightInd w:val="0"/>
        <w:snapToGrid/>
        <w:spacing w:line="240" w:lineRule="auto"/>
        <w:textAlignment w:val="auto"/>
        <w:rPr>
          <w:rFonts w:hint="default" w:ascii="Times New Roman" w:hAnsi="Times New Roman" w:cs="Times New Roman"/>
          <w:color w:val="auto"/>
          <w:kern w:val="0"/>
          <w:sz w:val="21"/>
          <w:szCs w:val="21"/>
          <w:highlight w:val="none"/>
        </w:rPr>
      </w:pPr>
      <w:r>
        <w:rPr>
          <w:rFonts w:hint="default" w:ascii="Times New Roman" w:hAnsi="Times New Roman" w:cs="Times New Roman"/>
          <w:b/>
          <w:color w:val="auto"/>
          <w:kern w:val="0"/>
          <w:sz w:val="21"/>
          <w:szCs w:val="21"/>
          <w:highlight w:val="none"/>
          <w:lang w:val="en-US" w:eastAsia="zh-CN"/>
        </w:rPr>
        <w:t>Appendix</w:t>
      </w:r>
      <w:r>
        <w:rPr>
          <w:rFonts w:hint="default" w:ascii="Times New Roman" w:hAnsi="Times New Roman" w:cs="Times New Roman"/>
          <w:b/>
          <w:color w:val="auto"/>
          <w:kern w:val="0"/>
          <w:sz w:val="21"/>
          <w:szCs w:val="21"/>
          <w:highlight w:val="none"/>
        </w:rPr>
        <w:t xml:space="preserve"> </w:t>
      </w:r>
      <w:r>
        <w:rPr>
          <w:rFonts w:hint="eastAsia" w:ascii="Times New Roman" w:hAnsi="Times New Roman" w:cs="Times New Roman"/>
          <w:b/>
          <w:color w:val="auto"/>
          <w:kern w:val="0"/>
          <w:sz w:val="21"/>
          <w:szCs w:val="21"/>
          <w:highlight w:val="none"/>
          <w:lang w:val="en-US" w:eastAsia="zh-CN"/>
        </w:rPr>
        <w:t>9</w:t>
      </w:r>
      <w:r>
        <w:rPr>
          <w:rFonts w:hint="default" w:ascii="Times New Roman" w:hAnsi="Times New Roman" w:cs="Times New Roman"/>
          <w:b/>
          <w:color w:val="auto"/>
          <w:kern w:val="0"/>
          <w:sz w:val="21"/>
          <w:szCs w:val="21"/>
          <w:highlight w:val="none"/>
        </w:rPr>
        <w:t xml:space="preserve"> </w:t>
      </w:r>
      <w:r>
        <w:rPr>
          <w:rFonts w:hint="default" w:ascii="Times New Roman" w:hAnsi="Times New Roman" w:cs="Times New Roman"/>
          <w:bCs/>
          <w:color w:val="auto"/>
          <w:kern w:val="0"/>
          <w:sz w:val="21"/>
          <w:szCs w:val="21"/>
          <w:highlight w:val="none"/>
        </w:rPr>
        <w:t>Robustness Checks(Replace variables method)</w:t>
      </w:r>
    </w:p>
    <w:tbl>
      <w:tblPr>
        <w:tblStyle w:val="5"/>
        <w:tblW w:w="5000" w:type="pct"/>
        <w:jc w:val="center"/>
        <w:tblBorders>
          <w:top w:val="single" w:color="000000" w:sz="0" w:space="0"/>
          <w:left w:val="none" w:color="000000" w:sz="0" w:space="0"/>
          <w:bottom w:val="single" w:color="000000" w:sz="0" w:space="0"/>
          <w:right w:val="none" w:color="000000" w:sz="0" w:space="0"/>
          <w:insideH w:val="none" w:color="000000" w:sz="0" w:space="0"/>
          <w:insideV w:val="none" w:color="000000" w:sz="0" w:space="0"/>
        </w:tblBorders>
        <w:tblLayout w:type="autofit"/>
        <w:tblCellMar>
          <w:top w:w="0" w:type="dxa"/>
          <w:left w:w="108" w:type="dxa"/>
          <w:bottom w:w="0" w:type="dxa"/>
          <w:right w:w="108" w:type="dxa"/>
        </w:tblCellMar>
      </w:tblPr>
      <w:tblGrid>
        <w:gridCol w:w="1670"/>
        <w:gridCol w:w="1711"/>
        <w:gridCol w:w="1713"/>
        <w:gridCol w:w="1713"/>
        <w:gridCol w:w="1715"/>
      </w:tblGrid>
      <w:tr w14:paraId="242D65BF">
        <w:tblPrEx>
          <w:tblBorders>
            <w:top w:val="single" w:color="000000" w:sz="0" w:space="0"/>
            <w:left w:val="none" w:color="000000" w:sz="0" w:space="0"/>
            <w:bottom w:val="singl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jc w:val="center"/>
        </w:trPr>
        <w:tc>
          <w:tcPr>
            <w:tcW w:w="980" w:type="pct"/>
            <w:noWrap w:val="0"/>
            <w:vAlign w:val="top"/>
          </w:tcPr>
          <w:p w14:paraId="4E1FF49E">
            <w:pPr>
              <w:spacing w:line="240" w:lineRule="auto"/>
              <w:jc w:val="left"/>
              <w:rPr>
                <w:rFonts w:hint="default" w:ascii="Times New Roman" w:hAnsi="Times New Roman" w:cs="Times New Roman"/>
                <w:color w:val="auto"/>
                <w:sz w:val="21"/>
                <w:szCs w:val="21"/>
                <w:highlight w:val="none"/>
              </w:rPr>
            </w:pPr>
          </w:p>
        </w:tc>
        <w:tc>
          <w:tcPr>
            <w:tcW w:w="1004" w:type="pct"/>
            <w:noWrap w:val="0"/>
            <w:vAlign w:val="top"/>
          </w:tcPr>
          <w:p w14:paraId="6B9E98DF">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w:t>
            </w:r>
          </w:p>
        </w:tc>
        <w:tc>
          <w:tcPr>
            <w:tcW w:w="1005" w:type="pct"/>
            <w:noWrap w:val="0"/>
            <w:vAlign w:val="top"/>
          </w:tcPr>
          <w:p w14:paraId="3A5BEB1E">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w:t>
            </w:r>
          </w:p>
        </w:tc>
        <w:tc>
          <w:tcPr>
            <w:tcW w:w="1005" w:type="pct"/>
            <w:noWrap w:val="0"/>
            <w:vAlign w:val="top"/>
          </w:tcPr>
          <w:p w14:paraId="23E313CD">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w:t>
            </w:r>
          </w:p>
        </w:tc>
        <w:tc>
          <w:tcPr>
            <w:tcW w:w="1006" w:type="pct"/>
            <w:noWrap w:val="0"/>
            <w:vAlign w:val="top"/>
          </w:tcPr>
          <w:p w14:paraId="1C3EBF8E">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(4)</w:t>
            </w:r>
          </w:p>
        </w:tc>
      </w:tr>
      <w:tr w14:paraId="24E35D3D">
        <w:tblPrEx>
          <w:tblBorders>
            <w:top w:val="single" w:color="000000" w:sz="0" w:space="0"/>
            <w:left w:val="none" w:color="000000" w:sz="0" w:space="0"/>
            <w:bottom w:val="singl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jc w:val="center"/>
        </w:trPr>
        <w:tc>
          <w:tcPr>
            <w:tcW w:w="980" w:type="pct"/>
            <w:tcBorders>
              <w:bottom w:val="single" w:color="000000" w:sz="0" w:space="0"/>
            </w:tcBorders>
            <w:noWrap w:val="0"/>
            <w:vAlign w:val="top"/>
          </w:tcPr>
          <w:p w14:paraId="7E96A26F">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rPr>
              <w:t>Variables</w:t>
            </w:r>
          </w:p>
        </w:tc>
        <w:tc>
          <w:tcPr>
            <w:tcW w:w="1004" w:type="pct"/>
            <w:tcBorders>
              <w:bottom w:val="single" w:color="000000" w:sz="0" w:space="0"/>
            </w:tcBorders>
            <w:noWrap w:val="0"/>
            <w:vAlign w:val="top"/>
          </w:tcPr>
          <w:p w14:paraId="380AA5CF">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Exit</w:t>
            </w:r>
          </w:p>
        </w:tc>
        <w:tc>
          <w:tcPr>
            <w:tcW w:w="1005" w:type="pct"/>
            <w:tcBorders>
              <w:bottom w:val="single" w:color="000000" w:sz="0" w:space="0"/>
            </w:tcBorders>
            <w:noWrap w:val="0"/>
            <w:vAlign w:val="top"/>
          </w:tcPr>
          <w:p w14:paraId="542A924D">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Voice</w:t>
            </w:r>
          </w:p>
        </w:tc>
        <w:tc>
          <w:tcPr>
            <w:tcW w:w="1005" w:type="pct"/>
            <w:tcBorders>
              <w:bottom w:val="single" w:color="000000" w:sz="0" w:space="0"/>
            </w:tcBorders>
            <w:noWrap w:val="0"/>
            <w:vAlign w:val="top"/>
          </w:tcPr>
          <w:p w14:paraId="6188D5D7">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Loyalty</w:t>
            </w:r>
          </w:p>
        </w:tc>
        <w:tc>
          <w:tcPr>
            <w:tcW w:w="1006" w:type="pct"/>
            <w:tcBorders>
              <w:bottom w:val="single" w:color="000000" w:sz="0" w:space="0"/>
            </w:tcBorders>
            <w:noWrap w:val="0"/>
            <w:vAlign w:val="top"/>
          </w:tcPr>
          <w:p w14:paraId="794D9FBE">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Neglect</w:t>
            </w:r>
          </w:p>
        </w:tc>
      </w:tr>
      <w:tr w14:paraId="0A88A6FE">
        <w:tblPrEx>
          <w:tblBorders>
            <w:top w:val="single" w:color="000000" w:sz="0" w:space="0"/>
            <w:left w:val="none" w:color="000000" w:sz="0" w:space="0"/>
            <w:bottom w:val="singl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jc w:val="center"/>
        </w:trPr>
        <w:tc>
          <w:tcPr>
            <w:tcW w:w="980" w:type="pct"/>
            <w:tcBorders>
              <w:top w:val="single" w:color="000000" w:sz="0" w:space="0"/>
            </w:tcBorders>
            <w:noWrap w:val="0"/>
            <w:vAlign w:val="top"/>
          </w:tcPr>
          <w:p w14:paraId="0D5F7C15">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NJD</w:t>
            </w:r>
          </w:p>
        </w:tc>
        <w:tc>
          <w:tcPr>
            <w:tcW w:w="1004" w:type="pct"/>
            <w:tcBorders>
              <w:top w:val="single" w:color="000000" w:sz="0" w:space="0"/>
            </w:tcBorders>
            <w:noWrap w:val="0"/>
            <w:vAlign w:val="top"/>
          </w:tcPr>
          <w:p w14:paraId="666EA626">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0.2996***</w:t>
            </w:r>
          </w:p>
        </w:tc>
        <w:tc>
          <w:tcPr>
            <w:tcW w:w="1005" w:type="pct"/>
            <w:tcBorders>
              <w:top w:val="single" w:color="000000" w:sz="0" w:space="0"/>
            </w:tcBorders>
            <w:noWrap w:val="0"/>
            <w:vAlign w:val="top"/>
          </w:tcPr>
          <w:p w14:paraId="2640D89E">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-0.1124***</w:t>
            </w:r>
          </w:p>
        </w:tc>
        <w:tc>
          <w:tcPr>
            <w:tcW w:w="1005" w:type="pct"/>
            <w:tcBorders>
              <w:top w:val="single" w:color="000000" w:sz="0" w:space="0"/>
            </w:tcBorders>
            <w:noWrap w:val="0"/>
            <w:vAlign w:val="top"/>
          </w:tcPr>
          <w:p w14:paraId="094055E9">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-0.1102***</w:t>
            </w:r>
          </w:p>
        </w:tc>
        <w:tc>
          <w:tcPr>
            <w:tcW w:w="1006" w:type="pct"/>
            <w:tcBorders>
              <w:top w:val="single" w:color="000000" w:sz="0" w:space="0"/>
            </w:tcBorders>
            <w:noWrap w:val="0"/>
            <w:vAlign w:val="top"/>
          </w:tcPr>
          <w:p w14:paraId="4E70121D">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0.5075***</w:t>
            </w:r>
          </w:p>
        </w:tc>
      </w:tr>
      <w:tr w14:paraId="0C689B90">
        <w:tblPrEx>
          <w:tblBorders>
            <w:top w:val="single" w:color="000000" w:sz="0" w:space="0"/>
            <w:left w:val="none" w:color="000000" w:sz="0" w:space="0"/>
            <w:bottom w:val="singl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jc w:val="center"/>
        </w:trPr>
        <w:tc>
          <w:tcPr>
            <w:tcW w:w="980" w:type="pct"/>
            <w:noWrap w:val="0"/>
            <w:vAlign w:val="top"/>
          </w:tcPr>
          <w:p w14:paraId="1B5F789C">
            <w:pPr>
              <w:spacing w:line="240" w:lineRule="auto"/>
              <w:jc w:val="left"/>
              <w:rPr>
                <w:rFonts w:hint="default" w:ascii="Times New Roman" w:hAnsi="Times New Roman" w:cs="Times New Roman"/>
                <w:color w:val="auto"/>
                <w:sz w:val="21"/>
                <w:szCs w:val="21"/>
                <w:highlight w:val="none"/>
              </w:rPr>
            </w:pPr>
          </w:p>
        </w:tc>
        <w:tc>
          <w:tcPr>
            <w:tcW w:w="1004" w:type="pct"/>
            <w:noWrap w:val="0"/>
            <w:vAlign w:val="top"/>
          </w:tcPr>
          <w:p w14:paraId="6D9C74AB">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(4.56)</w:t>
            </w:r>
          </w:p>
        </w:tc>
        <w:tc>
          <w:tcPr>
            <w:tcW w:w="1005" w:type="pct"/>
            <w:noWrap w:val="0"/>
            <w:vAlign w:val="top"/>
          </w:tcPr>
          <w:p w14:paraId="042504BA">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(-4.24)</w:t>
            </w:r>
          </w:p>
        </w:tc>
        <w:tc>
          <w:tcPr>
            <w:tcW w:w="1005" w:type="pct"/>
            <w:noWrap w:val="0"/>
            <w:vAlign w:val="top"/>
          </w:tcPr>
          <w:p w14:paraId="7963DB6E">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(-6.93)</w:t>
            </w:r>
          </w:p>
        </w:tc>
        <w:tc>
          <w:tcPr>
            <w:tcW w:w="1006" w:type="pct"/>
            <w:noWrap w:val="0"/>
            <w:vAlign w:val="top"/>
          </w:tcPr>
          <w:p w14:paraId="5E8733AF">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(8.17)</w:t>
            </w:r>
          </w:p>
        </w:tc>
      </w:tr>
      <w:tr w14:paraId="16BF299F">
        <w:tblPrEx>
          <w:tblBorders>
            <w:top w:val="single" w:color="000000" w:sz="0" w:space="0"/>
            <w:left w:val="none" w:color="000000" w:sz="0" w:space="0"/>
            <w:bottom w:val="singl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jc w:val="center"/>
        </w:trPr>
        <w:tc>
          <w:tcPr>
            <w:tcW w:w="980" w:type="pct"/>
            <w:noWrap w:val="0"/>
            <w:vAlign w:val="top"/>
          </w:tcPr>
          <w:p w14:paraId="334C2506">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WY</w:t>
            </w:r>
          </w:p>
        </w:tc>
        <w:tc>
          <w:tcPr>
            <w:tcW w:w="1004" w:type="pct"/>
            <w:noWrap w:val="0"/>
            <w:vAlign w:val="top"/>
          </w:tcPr>
          <w:p w14:paraId="316FDD44">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-0.0046</w:t>
            </w:r>
          </w:p>
        </w:tc>
        <w:tc>
          <w:tcPr>
            <w:tcW w:w="1005" w:type="pct"/>
            <w:noWrap w:val="0"/>
            <w:vAlign w:val="top"/>
          </w:tcPr>
          <w:p w14:paraId="0512E02C">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0.0250</w:t>
            </w:r>
          </w:p>
        </w:tc>
        <w:tc>
          <w:tcPr>
            <w:tcW w:w="1005" w:type="pct"/>
            <w:noWrap w:val="0"/>
            <w:vAlign w:val="top"/>
          </w:tcPr>
          <w:p w14:paraId="79C0342C">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0.0066</w:t>
            </w:r>
          </w:p>
        </w:tc>
        <w:tc>
          <w:tcPr>
            <w:tcW w:w="1006" w:type="pct"/>
            <w:noWrap w:val="0"/>
            <w:vAlign w:val="top"/>
          </w:tcPr>
          <w:p w14:paraId="1123A000">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-0.0744</w:t>
            </w:r>
          </w:p>
        </w:tc>
      </w:tr>
      <w:tr w14:paraId="12494CF2">
        <w:tblPrEx>
          <w:tblBorders>
            <w:top w:val="single" w:color="000000" w:sz="0" w:space="0"/>
            <w:left w:val="none" w:color="000000" w:sz="0" w:space="0"/>
            <w:bottom w:val="singl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jc w:val="center"/>
        </w:trPr>
        <w:tc>
          <w:tcPr>
            <w:tcW w:w="980" w:type="pct"/>
            <w:noWrap w:val="0"/>
            <w:vAlign w:val="top"/>
          </w:tcPr>
          <w:p w14:paraId="6DAAA0FA">
            <w:pPr>
              <w:spacing w:line="240" w:lineRule="auto"/>
              <w:jc w:val="left"/>
              <w:rPr>
                <w:rFonts w:hint="default" w:ascii="Times New Roman" w:hAnsi="Times New Roman" w:cs="Times New Roman"/>
                <w:color w:val="auto"/>
                <w:sz w:val="21"/>
                <w:szCs w:val="21"/>
                <w:highlight w:val="none"/>
              </w:rPr>
            </w:pPr>
          </w:p>
        </w:tc>
        <w:tc>
          <w:tcPr>
            <w:tcW w:w="1004" w:type="pct"/>
            <w:noWrap w:val="0"/>
            <w:vAlign w:val="top"/>
          </w:tcPr>
          <w:p w14:paraId="21FAF741">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(-0.10)</w:t>
            </w:r>
          </w:p>
        </w:tc>
        <w:tc>
          <w:tcPr>
            <w:tcW w:w="1005" w:type="pct"/>
            <w:noWrap w:val="0"/>
            <w:vAlign w:val="top"/>
          </w:tcPr>
          <w:p w14:paraId="66E4F2D7">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(1.55)</w:t>
            </w:r>
          </w:p>
        </w:tc>
        <w:tc>
          <w:tcPr>
            <w:tcW w:w="1005" w:type="pct"/>
            <w:noWrap w:val="0"/>
            <w:vAlign w:val="top"/>
          </w:tcPr>
          <w:p w14:paraId="0883E831">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(0.62)</w:t>
            </w:r>
          </w:p>
        </w:tc>
        <w:tc>
          <w:tcPr>
            <w:tcW w:w="1006" w:type="pct"/>
            <w:noWrap w:val="0"/>
            <w:vAlign w:val="top"/>
          </w:tcPr>
          <w:p w14:paraId="0302701E">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(-1.58)</w:t>
            </w:r>
          </w:p>
        </w:tc>
      </w:tr>
      <w:tr w14:paraId="19C35B76">
        <w:tblPrEx>
          <w:tblBorders>
            <w:top w:val="single" w:color="000000" w:sz="0" w:space="0"/>
            <w:left w:val="none" w:color="000000" w:sz="0" w:space="0"/>
            <w:bottom w:val="singl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jc w:val="center"/>
        </w:trPr>
        <w:tc>
          <w:tcPr>
            <w:tcW w:w="980" w:type="pct"/>
            <w:noWrap w:val="0"/>
            <w:vAlign w:val="top"/>
          </w:tcPr>
          <w:p w14:paraId="3477FB00">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Title</w:t>
            </w:r>
          </w:p>
        </w:tc>
        <w:tc>
          <w:tcPr>
            <w:tcW w:w="1004" w:type="pct"/>
            <w:noWrap w:val="0"/>
            <w:vAlign w:val="top"/>
          </w:tcPr>
          <w:p w14:paraId="58E84D78">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0.1426**</w:t>
            </w:r>
          </w:p>
        </w:tc>
        <w:tc>
          <w:tcPr>
            <w:tcW w:w="1005" w:type="pct"/>
            <w:noWrap w:val="0"/>
            <w:vAlign w:val="top"/>
          </w:tcPr>
          <w:p w14:paraId="398420F0">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-0.0130</w:t>
            </w:r>
          </w:p>
        </w:tc>
        <w:tc>
          <w:tcPr>
            <w:tcW w:w="1005" w:type="pct"/>
            <w:noWrap w:val="0"/>
            <w:vAlign w:val="top"/>
          </w:tcPr>
          <w:p w14:paraId="5538382D">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-0.0021</w:t>
            </w:r>
          </w:p>
        </w:tc>
        <w:tc>
          <w:tcPr>
            <w:tcW w:w="1006" w:type="pct"/>
            <w:noWrap w:val="0"/>
            <w:vAlign w:val="top"/>
          </w:tcPr>
          <w:p w14:paraId="5EBF341D">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0.1498**</w:t>
            </w:r>
          </w:p>
        </w:tc>
      </w:tr>
      <w:tr w14:paraId="4DDD3700">
        <w:tblPrEx>
          <w:tblBorders>
            <w:top w:val="single" w:color="000000" w:sz="0" w:space="0"/>
            <w:left w:val="none" w:color="000000" w:sz="0" w:space="0"/>
            <w:bottom w:val="singl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jc w:val="center"/>
        </w:trPr>
        <w:tc>
          <w:tcPr>
            <w:tcW w:w="980" w:type="pct"/>
            <w:noWrap w:val="0"/>
            <w:vAlign w:val="top"/>
          </w:tcPr>
          <w:p w14:paraId="180E7D99">
            <w:pPr>
              <w:spacing w:line="240" w:lineRule="auto"/>
              <w:jc w:val="left"/>
              <w:rPr>
                <w:rFonts w:hint="default" w:ascii="Times New Roman" w:hAnsi="Times New Roman" w:cs="Times New Roman"/>
                <w:color w:val="auto"/>
                <w:sz w:val="21"/>
                <w:szCs w:val="21"/>
                <w:highlight w:val="none"/>
              </w:rPr>
            </w:pPr>
          </w:p>
        </w:tc>
        <w:tc>
          <w:tcPr>
            <w:tcW w:w="1004" w:type="pct"/>
            <w:noWrap w:val="0"/>
            <w:vAlign w:val="top"/>
          </w:tcPr>
          <w:p w14:paraId="23769A70">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(1.98)</w:t>
            </w:r>
          </w:p>
        </w:tc>
        <w:tc>
          <w:tcPr>
            <w:tcW w:w="1005" w:type="pct"/>
            <w:noWrap w:val="0"/>
            <w:vAlign w:val="top"/>
          </w:tcPr>
          <w:p w14:paraId="115F804E">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(-0.57)</w:t>
            </w:r>
          </w:p>
        </w:tc>
        <w:tc>
          <w:tcPr>
            <w:tcW w:w="1005" w:type="pct"/>
            <w:noWrap w:val="0"/>
            <w:vAlign w:val="top"/>
          </w:tcPr>
          <w:p w14:paraId="40AE9FB6">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(-0.14)</w:t>
            </w:r>
          </w:p>
        </w:tc>
        <w:tc>
          <w:tcPr>
            <w:tcW w:w="1006" w:type="pct"/>
            <w:noWrap w:val="0"/>
            <w:vAlign w:val="top"/>
          </w:tcPr>
          <w:p w14:paraId="19284433">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(2.03)</w:t>
            </w:r>
          </w:p>
        </w:tc>
      </w:tr>
      <w:tr w14:paraId="6BF941D2">
        <w:tblPrEx>
          <w:tblBorders>
            <w:top w:val="single" w:color="000000" w:sz="0" w:space="0"/>
            <w:left w:val="none" w:color="000000" w:sz="0" w:space="0"/>
            <w:bottom w:val="singl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jc w:val="center"/>
        </w:trPr>
        <w:tc>
          <w:tcPr>
            <w:tcW w:w="980" w:type="pct"/>
            <w:noWrap w:val="0"/>
            <w:vAlign w:val="top"/>
          </w:tcPr>
          <w:p w14:paraId="1AF44295">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Rank</w:t>
            </w:r>
          </w:p>
        </w:tc>
        <w:tc>
          <w:tcPr>
            <w:tcW w:w="1004" w:type="pct"/>
            <w:noWrap w:val="0"/>
            <w:vAlign w:val="top"/>
          </w:tcPr>
          <w:p w14:paraId="70563251">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-0.0632</w:t>
            </w:r>
          </w:p>
        </w:tc>
        <w:tc>
          <w:tcPr>
            <w:tcW w:w="1005" w:type="pct"/>
            <w:noWrap w:val="0"/>
            <w:vAlign w:val="top"/>
          </w:tcPr>
          <w:p w14:paraId="13C32F1E">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0.0417*</w:t>
            </w:r>
          </w:p>
        </w:tc>
        <w:tc>
          <w:tcPr>
            <w:tcW w:w="1005" w:type="pct"/>
            <w:noWrap w:val="0"/>
            <w:vAlign w:val="top"/>
          </w:tcPr>
          <w:p w14:paraId="1A231A70">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0.0119</w:t>
            </w:r>
          </w:p>
        </w:tc>
        <w:tc>
          <w:tcPr>
            <w:tcW w:w="1006" w:type="pct"/>
            <w:noWrap w:val="0"/>
            <w:vAlign w:val="top"/>
          </w:tcPr>
          <w:p w14:paraId="549B68B9">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-0.0125</w:t>
            </w:r>
          </w:p>
        </w:tc>
      </w:tr>
      <w:tr w14:paraId="252F6B4E">
        <w:tblPrEx>
          <w:tblBorders>
            <w:top w:val="single" w:color="000000" w:sz="0" w:space="0"/>
            <w:left w:val="none" w:color="000000" w:sz="0" w:space="0"/>
            <w:bottom w:val="singl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jc w:val="center"/>
        </w:trPr>
        <w:tc>
          <w:tcPr>
            <w:tcW w:w="980" w:type="pct"/>
            <w:noWrap w:val="0"/>
            <w:vAlign w:val="top"/>
          </w:tcPr>
          <w:p w14:paraId="1F37B2BD">
            <w:pPr>
              <w:spacing w:line="240" w:lineRule="auto"/>
              <w:jc w:val="left"/>
              <w:rPr>
                <w:rFonts w:hint="default" w:ascii="Times New Roman" w:hAnsi="Times New Roman" w:cs="Times New Roman"/>
                <w:color w:val="auto"/>
                <w:sz w:val="21"/>
                <w:szCs w:val="21"/>
                <w:highlight w:val="none"/>
              </w:rPr>
            </w:pPr>
          </w:p>
        </w:tc>
        <w:tc>
          <w:tcPr>
            <w:tcW w:w="1004" w:type="pct"/>
            <w:noWrap w:val="0"/>
            <w:vAlign w:val="top"/>
          </w:tcPr>
          <w:p w14:paraId="6CF8FF1A">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(-0.96)</w:t>
            </w:r>
          </w:p>
        </w:tc>
        <w:tc>
          <w:tcPr>
            <w:tcW w:w="1005" w:type="pct"/>
            <w:noWrap w:val="0"/>
            <w:vAlign w:val="top"/>
          </w:tcPr>
          <w:p w14:paraId="17E1CE82">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(1.92)</w:t>
            </w:r>
          </w:p>
        </w:tc>
        <w:tc>
          <w:tcPr>
            <w:tcW w:w="1005" w:type="pct"/>
            <w:noWrap w:val="0"/>
            <w:vAlign w:val="top"/>
          </w:tcPr>
          <w:p w14:paraId="04B97889">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(0.81)</w:t>
            </w:r>
          </w:p>
        </w:tc>
        <w:tc>
          <w:tcPr>
            <w:tcW w:w="1006" w:type="pct"/>
            <w:noWrap w:val="0"/>
            <w:vAlign w:val="top"/>
          </w:tcPr>
          <w:p w14:paraId="0196F28F">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(-0.19)</w:t>
            </w:r>
          </w:p>
        </w:tc>
      </w:tr>
      <w:tr w14:paraId="1C80D294">
        <w:tblPrEx>
          <w:tblBorders>
            <w:top w:val="single" w:color="000000" w:sz="0" w:space="0"/>
            <w:left w:val="none" w:color="000000" w:sz="0" w:space="0"/>
            <w:bottom w:val="singl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jc w:val="center"/>
        </w:trPr>
        <w:tc>
          <w:tcPr>
            <w:tcW w:w="980" w:type="pct"/>
            <w:noWrap w:val="0"/>
            <w:vAlign w:val="top"/>
          </w:tcPr>
          <w:p w14:paraId="0C5BF4B4">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Posit</w:t>
            </w:r>
          </w:p>
        </w:tc>
        <w:tc>
          <w:tcPr>
            <w:tcW w:w="1004" w:type="pct"/>
            <w:noWrap w:val="0"/>
            <w:vAlign w:val="top"/>
          </w:tcPr>
          <w:p w14:paraId="6C0A9303">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0.3679**</w:t>
            </w:r>
          </w:p>
        </w:tc>
        <w:tc>
          <w:tcPr>
            <w:tcW w:w="1005" w:type="pct"/>
            <w:noWrap w:val="0"/>
            <w:vAlign w:val="top"/>
          </w:tcPr>
          <w:p w14:paraId="50875032">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0.0260</w:t>
            </w:r>
          </w:p>
        </w:tc>
        <w:tc>
          <w:tcPr>
            <w:tcW w:w="1005" w:type="pct"/>
            <w:noWrap w:val="0"/>
            <w:vAlign w:val="top"/>
          </w:tcPr>
          <w:p w14:paraId="534BB9F9">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0.0107</w:t>
            </w:r>
          </w:p>
        </w:tc>
        <w:tc>
          <w:tcPr>
            <w:tcW w:w="1006" w:type="pct"/>
            <w:noWrap w:val="0"/>
            <w:vAlign w:val="top"/>
          </w:tcPr>
          <w:p w14:paraId="6A472A09">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0.1534</w:t>
            </w:r>
          </w:p>
        </w:tc>
      </w:tr>
      <w:tr w14:paraId="214A7775">
        <w:tblPrEx>
          <w:tblBorders>
            <w:top w:val="single" w:color="000000" w:sz="0" w:space="0"/>
            <w:left w:val="none" w:color="000000" w:sz="0" w:space="0"/>
            <w:bottom w:val="singl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jc w:val="center"/>
        </w:trPr>
        <w:tc>
          <w:tcPr>
            <w:tcW w:w="980" w:type="pct"/>
            <w:noWrap w:val="0"/>
            <w:vAlign w:val="top"/>
          </w:tcPr>
          <w:p w14:paraId="7B5AA4A5">
            <w:pPr>
              <w:spacing w:line="240" w:lineRule="auto"/>
              <w:jc w:val="left"/>
              <w:rPr>
                <w:rFonts w:hint="default" w:ascii="Times New Roman" w:hAnsi="Times New Roman" w:cs="Times New Roman"/>
                <w:color w:val="auto"/>
                <w:sz w:val="21"/>
                <w:szCs w:val="21"/>
                <w:highlight w:val="none"/>
              </w:rPr>
            </w:pPr>
          </w:p>
        </w:tc>
        <w:tc>
          <w:tcPr>
            <w:tcW w:w="1004" w:type="pct"/>
            <w:noWrap w:val="0"/>
            <w:vAlign w:val="top"/>
          </w:tcPr>
          <w:p w14:paraId="3AE09571">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(2.45)</w:t>
            </w:r>
          </w:p>
        </w:tc>
        <w:tc>
          <w:tcPr>
            <w:tcW w:w="1005" w:type="pct"/>
            <w:noWrap w:val="0"/>
            <w:vAlign w:val="top"/>
          </w:tcPr>
          <w:p w14:paraId="363F66E9">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(0.55)</w:t>
            </w:r>
          </w:p>
        </w:tc>
        <w:tc>
          <w:tcPr>
            <w:tcW w:w="1005" w:type="pct"/>
            <w:noWrap w:val="0"/>
            <w:vAlign w:val="top"/>
          </w:tcPr>
          <w:p w14:paraId="59E7A0E2">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(0.37)</w:t>
            </w:r>
          </w:p>
        </w:tc>
        <w:tc>
          <w:tcPr>
            <w:tcW w:w="1006" w:type="pct"/>
            <w:noWrap w:val="0"/>
            <w:vAlign w:val="top"/>
          </w:tcPr>
          <w:p w14:paraId="168CD1DF">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(0.96)</w:t>
            </w:r>
          </w:p>
        </w:tc>
      </w:tr>
      <w:tr w14:paraId="574B5412">
        <w:tblPrEx>
          <w:tblBorders>
            <w:top w:val="single" w:color="000000" w:sz="0" w:space="0"/>
            <w:left w:val="none" w:color="000000" w:sz="0" w:space="0"/>
            <w:bottom w:val="singl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jc w:val="center"/>
        </w:trPr>
        <w:tc>
          <w:tcPr>
            <w:tcW w:w="980" w:type="pct"/>
            <w:noWrap w:val="0"/>
            <w:vAlign w:val="top"/>
          </w:tcPr>
          <w:p w14:paraId="78B968CB">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UE</w:t>
            </w:r>
          </w:p>
        </w:tc>
        <w:tc>
          <w:tcPr>
            <w:tcW w:w="1004" w:type="pct"/>
            <w:noWrap w:val="0"/>
            <w:vAlign w:val="top"/>
          </w:tcPr>
          <w:p w14:paraId="6C69EED6">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-0.2007***</w:t>
            </w:r>
          </w:p>
        </w:tc>
        <w:tc>
          <w:tcPr>
            <w:tcW w:w="1005" w:type="pct"/>
            <w:noWrap w:val="0"/>
            <w:vAlign w:val="top"/>
          </w:tcPr>
          <w:p w14:paraId="4E69C7F7">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-0.0378*</w:t>
            </w:r>
          </w:p>
        </w:tc>
        <w:tc>
          <w:tcPr>
            <w:tcW w:w="1005" w:type="pct"/>
            <w:noWrap w:val="0"/>
            <w:vAlign w:val="top"/>
          </w:tcPr>
          <w:p w14:paraId="663312F6">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-0.0217*</w:t>
            </w:r>
          </w:p>
        </w:tc>
        <w:tc>
          <w:tcPr>
            <w:tcW w:w="1006" w:type="pct"/>
            <w:noWrap w:val="0"/>
            <w:vAlign w:val="top"/>
          </w:tcPr>
          <w:p w14:paraId="5077B871">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-0.2329***</w:t>
            </w:r>
          </w:p>
        </w:tc>
      </w:tr>
      <w:tr w14:paraId="5DC66253">
        <w:tblPrEx>
          <w:tblBorders>
            <w:top w:val="single" w:color="000000" w:sz="0" w:space="0"/>
            <w:left w:val="none" w:color="000000" w:sz="0" w:space="0"/>
            <w:bottom w:val="singl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jc w:val="center"/>
        </w:trPr>
        <w:tc>
          <w:tcPr>
            <w:tcW w:w="980" w:type="pct"/>
            <w:noWrap w:val="0"/>
            <w:vAlign w:val="top"/>
          </w:tcPr>
          <w:p w14:paraId="1D85F803">
            <w:pPr>
              <w:spacing w:line="240" w:lineRule="auto"/>
              <w:jc w:val="left"/>
              <w:rPr>
                <w:rFonts w:hint="default" w:ascii="Times New Roman" w:hAnsi="Times New Roman" w:cs="Times New Roman"/>
                <w:color w:val="auto"/>
                <w:sz w:val="21"/>
                <w:szCs w:val="21"/>
                <w:highlight w:val="none"/>
              </w:rPr>
            </w:pPr>
          </w:p>
        </w:tc>
        <w:tc>
          <w:tcPr>
            <w:tcW w:w="1004" w:type="pct"/>
            <w:noWrap w:val="0"/>
            <w:vAlign w:val="top"/>
          </w:tcPr>
          <w:p w14:paraId="3287D2C7">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(-3.26)</w:t>
            </w:r>
          </w:p>
        </w:tc>
        <w:tc>
          <w:tcPr>
            <w:tcW w:w="1005" w:type="pct"/>
            <w:noWrap w:val="0"/>
            <w:vAlign w:val="top"/>
          </w:tcPr>
          <w:p w14:paraId="61B2E9C4">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(-1.94)</w:t>
            </w:r>
          </w:p>
        </w:tc>
        <w:tc>
          <w:tcPr>
            <w:tcW w:w="1005" w:type="pct"/>
            <w:noWrap w:val="0"/>
            <w:vAlign w:val="top"/>
          </w:tcPr>
          <w:p w14:paraId="2EDF0316">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(-1.73)</w:t>
            </w:r>
          </w:p>
        </w:tc>
        <w:tc>
          <w:tcPr>
            <w:tcW w:w="1006" w:type="pct"/>
            <w:noWrap w:val="0"/>
            <w:vAlign w:val="top"/>
          </w:tcPr>
          <w:p w14:paraId="1B226F22">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(-3.88)</w:t>
            </w:r>
          </w:p>
        </w:tc>
      </w:tr>
      <w:tr w14:paraId="037AE554">
        <w:tblPrEx>
          <w:tblBorders>
            <w:top w:val="single" w:color="000000" w:sz="0" w:space="0"/>
            <w:left w:val="none" w:color="000000" w:sz="0" w:space="0"/>
            <w:bottom w:val="singl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jc w:val="center"/>
        </w:trPr>
        <w:tc>
          <w:tcPr>
            <w:tcW w:w="980" w:type="pct"/>
            <w:noWrap w:val="0"/>
            <w:vAlign w:val="top"/>
          </w:tcPr>
          <w:p w14:paraId="6D2E2082">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S</w:t>
            </w:r>
            <w:r>
              <w:rPr>
                <w:rFonts w:hint="default" w:ascii="Times New Roman" w:hAnsi="Times New Roman" w:cs="Times New Roman"/>
                <w:color w:val="auto"/>
                <w:sz w:val="21"/>
                <w:szCs w:val="21"/>
                <w:highlight w:val="none"/>
                <w:lang w:val="en-US" w:eastAsia="zh-CN"/>
              </w:rPr>
              <w:t>a</w:t>
            </w:r>
            <w:r>
              <w:rPr>
                <w:rFonts w:hint="default" w:ascii="Times New Roman" w:hAnsi="Times New Roman" w:cs="Times New Roman"/>
                <w:color w:val="auto"/>
                <w:sz w:val="21"/>
                <w:szCs w:val="21"/>
                <w:highlight w:val="none"/>
              </w:rPr>
              <w:t>lary</w:t>
            </w:r>
          </w:p>
        </w:tc>
        <w:tc>
          <w:tcPr>
            <w:tcW w:w="1004" w:type="pct"/>
            <w:noWrap w:val="0"/>
            <w:vAlign w:val="top"/>
          </w:tcPr>
          <w:p w14:paraId="4AD9FD72">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0.1827**</w:t>
            </w:r>
          </w:p>
        </w:tc>
        <w:tc>
          <w:tcPr>
            <w:tcW w:w="1005" w:type="pct"/>
            <w:noWrap w:val="0"/>
            <w:vAlign w:val="top"/>
          </w:tcPr>
          <w:p w14:paraId="4D4D67EB">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-0.0275</w:t>
            </w:r>
          </w:p>
        </w:tc>
        <w:tc>
          <w:tcPr>
            <w:tcW w:w="1005" w:type="pct"/>
            <w:noWrap w:val="0"/>
            <w:vAlign w:val="top"/>
          </w:tcPr>
          <w:p w14:paraId="1A59D670">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0.0096</w:t>
            </w:r>
          </w:p>
        </w:tc>
        <w:tc>
          <w:tcPr>
            <w:tcW w:w="1006" w:type="pct"/>
            <w:noWrap w:val="0"/>
            <w:vAlign w:val="top"/>
          </w:tcPr>
          <w:p w14:paraId="561B1287">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0.1617*</w:t>
            </w:r>
          </w:p>
        </w:tc>
      </w:tr>
      <w:tr w14:paraId="533D47EC">
        <w:tblPrEx>
          <w:tblBorders>
            <w:top w:val="single" w:color="000000" w:sz="0" w:space="0"/>
            <w:left w:val="none" w:color="000000" w:sz="0" w:space="0"/>
            <w:bottom w:val="singl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jc w:val="center"/>
        </w:trPr>
        <w:tc>
          <w:tcPr>
            <w:tcW w:w="980" w:type="pct"/>
            <w:noWrap w:val="0"/>
            <w:vAlign w:val="top"/>
          </w:tcPr>
          <w:p w14:paraId="1BA6ACE8">
            <w:pPr>
              <w:spacing w:line="240" w:lineRule="auto"/>
              <w:jc w:val="left"/>
              <w:rPr>
                <w:rFonts w:hint="default" w:ascii="Times New Roman" w:hAnsi="Times New Roman" w:cs="Times New Roman"/>
                <w:color w:val="auto"/>
                <w:sz w:val="21"/>
                <w:szCs w:val="21"/>
                <w:highlight w:val="none"/>
              </w:rPr>
            </w:pPr>
          </w:p>
        </w:tc>
        <w:tc>
          <w:tcPr>
            <w:tcW w:w="1004" w:type="pct"/>
            <w:noWrap w:val="0"/>
            <w:vAlign w:val="top"/>
          </w:tcPr>
          <w:p w14:paraId="19BFE3D8">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(2.15)</w:t>
            </w:r>
          </w:p>
        </w:tc>
        <w:tc>
          <w:tcPr>
            <w:tcW w:w="1005" w:type="pct"/>
            <w:noWrap w:val="0"/>
            <w:vAlign w:val="top"/>
          </w:tcPr>
          <w:p w14:paraId="65CC688B">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(-0.95)</w:t>
            </w:r>
          </w:p>
        </w:tc>
        <w:tc>
          <w:tcPr>
            <w:tcW w:w="1005" w:type="pct"/>
            <w:noWrap w:val="0"/>
            <w:vAlign w:val="top"/>
          </w:tcPr>
          <w:p w14:paraId="7AF69F26">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(0.54)</w:t>
            </w:r>
          </w:p>
        </w:tc>
        <w:tc>
          <w:tcPr>
            <w:tcW w:w="1006" w:type="pct"/>
            <w:noWrap w:val="0"/>
            <w:vAlign w:val="top"/>
          </w:tcPr>
          <w:p w14:paraId="34EB939F">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(1.86)</w:t>
            </w:r>
          </w:p>
        </w:tc>
      </w:tr>
      <w:tr w14:paraId="40583F2B">
        <w:tblPrEx>
          <w:tblBorders>
            <w:top w:val="single" w:color="000000" w:sz="0" w:space="0"/>
            <w:left w:val="none" w:color="000000" w:sz="0" w:space="0"/>
            <w:bottom w:val="singl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jc w:val="center"/>
        </w:trPr>
        <w:tc>
          <w:tcPr>
            <w:tcW w:w="980" w:type="pct"/>
            <w:noWrap w:val="0"/>
            <w:vAlign w:val="top"/>
          </w:tcPr>
          <w:p w14:paraId="1C1A2F0B">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Costant</w:t>
            </w:r>
          </w:p>
        </w:tc>
        <w:tc>
          <w:tcPr>
            <w:tcW w:w="1004" w:type="pct"/>
            <w:noWrap w:val="0"/>
            <w:vAlign w:val="top"/>
          </w:tcPr>
          <w:p w14:paraId="3B219734">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2.5710***</w:t>
            </w:r>
          </w:p>
        </w:tc>
        <w:tc>
          <w:tcPr>
            <w:tcW w:w="1005" w:type="pct"/>
            <w:noWrap w:val="0"/>
            <w:vAlign w:val="top"/>
          </w:tcPr>
          <w:p w14:paraId="25781DB7">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4.2907***</w:t>
            </w:r>
          </w:p>
        </w:tc>
        <w:tc>
          <w:tcPr>
            <w:tcW w:w="1005" w:type="pct"/>
            <w:noWrap w:val="0"/>
            <w:vAlign w:val="top"/>
          </w:tcPr>
          <w:p w14:paraId="5AAF8DC2">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4.7152***</w:t>
            </w:r>
          </w:p>
        </w:tc>
        <w:tc>
          <w:tcPr>
            <w:tcW w:w="1006" w:type="pct"/>
            <w:noWrap w:val="0"/>
            <w:vAlign w:val="top"/>
          </w:tcPr>
          <w:p w14:paraId="17FD2E7D">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2.4922***</w:t>
            </w:r>
          </w:p>
        </w:tc>
      </w:tr>
      <w:tr w14:paraId="18AE292A">
        <w:tblPrEx>
          <w:tblBorders>
            <w:top w:val="single" w:color="000000" w:sz="0" w:space="0"/>
            <w:left w:val="none" w:color="000000" w:sz="0" w:space="0"/>
            <w:bottom w:val="singl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jc w:val="center"/>
        </w:trPr>
        <w:tc>
          <w:tcPr>
            <w:tcW w:w="980" w:type="pct"/>
            <w:noWrap w:val="0"/>
            <w:vAlign w:val="top"/>
          </w:tcPr>
          <w:p w14:paraId="3784656C">
            <w:pPr>
              <w:spacing w:line="240" w:lineRule="auto"/>
              <w:jc w:val="left"/>
              <w:rPr>
                <w:rFonts w:hint="default" w:ascii="Times New Roman" w:hAnsi="Times New Roman" w:cs="Times New Roman"/>
                <w:color w:val="auto"/>
                <w:sz w:val="21"/>
                <w:szCs w:val="21"/>
                <w:highlight w:val="none"/>
              </w:rPr>
            </w:pPr>
          </w:p>
        </w:tc>
        <w:tc>
          <w:tcPr>
            <w:tcW w:w="1004" w:type="pct"/>
            <w:noWrap w:val="0"/>
            <w:vAlign w:val="top"/>
          </w:tcPr>
          <w:p w14:paraId="14E129B0">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(7.84)</w:t>
            </w:r>
          </w:p>
        </w:tc>
        <w:tc>
          <w:tcPr>
            <w:tcW w:w="1005" w:type="pct"/>
            <w:noWrap w:val="0"/>
            <w:vAlign w:val="top"/>
          </w:tcPr>
          <w:p w14:paraId="7700A02F">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(46.06)</w:t>
            </w:r>
          </w:p>
        </w:tc>
        <w:tc>
          <w:tcPr>
            <w:tcW w:w="1005" w:type="pct"/>
            <w:noWrap w:val="0"/>
            <w:vAlign w:val="top"/>
          </w:tcPr>
          <w:p w14:paraId="72E787C9">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(80.65)</w:t>
            </w:r>
          </w:p>
        </w:tc>
        <w:tc>
          <w:tcPr>
            <w:tcW w:w="1006" w:type="pct"/>
            <w:noWrap w:val="0"/>
            <w:vAlign w:val="top"/>
          </w:tcPr>
          <w:p w14:paraId="6AB1B1A0">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(7.52)</w:t>
            </w:r>
          </w:p>
        </w:tc>
      </w:tr>
      <w:tr w14:paraId="0D6C27AA">
        <w:tblPrEx>
          <w:tblBorders>
            <w:top w:val="single" w:color="000000" w:sz="0" w:space="0"/>
            <w:left w:val="none" w:color="000000" w:sz="0" w:space="0"/>
            <w:bottom w:val="singl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jc w:val="center"/>
        </w:trPr>
        <w:tc>
          <w:tcPr>
            <w:tcW w:w="980" w:type="pct"/>
            <w:tcBorders>
              <w:bottom w:val="single" w:color="000000" w:sz="0" w:space="0"/>
            </w:tcBorders>
            <w:noWrap w:val="0"/>
            <w:vAlign w:val="top"/>
          </w:tcPr>
          <w:p w14:paraId="4C2CC84E">
            <w:pPr>
              <w:spacing w:line="240" w:lineRule="auto"/>
              <w:jc w:val="left"/>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Sec</w:t>
            </w:r>
          </w:p>
        </w:tc>
        <w:tc>
          <w:tcPr>
            <w:tcW w:w="1711" w:type="dxa"/>
            <w:tcBorders>
              <w:bottom w:val="single" w:color="000000" w:sz="0" w:space="0"/>
            </w:tcBorders>
            <w:noWrap w:val="0"/>
            <w:vAlign w:val="top"/>
          </w:tcPr>
          <w:p w14:paraId="754F0888">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YES</w:t>
            </w:r>
          </w:p>
        </w:tc>
        <w:tc>
          <w:tcPr>
            <w:tcW w:w="1713" w:type="dxa"/>
            <w:tcBorders>
              <w:bottom w:val="single" w:color="000000" w:sz="0" w:space="0"/>
            </w:tcBorders>
            <w:noWrap w:val="0"/>
            <w:vAlign w:val="top"/>
          </w:tcPr>
          <w:p w14:paraId="4648681B">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YES</w:t>
            </w:r>
          </w:p>
        </w:tc>
        <w:tc>
          <w:tcPr>
            <w:tcW w:w="1713" w:type="dxa"/>
            <w:tcBorders>
              <w:bottom w:val="single" w:color="000000" w:sz="0" w:space="0"/>
            </w:tcBorders>
            <w:noWrap w:val="0"/>
            <w:vAlign w:val="top"/>
          </w:tcPr>
          <w:p w14:paraId="325A0E46">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YES</w:t>
            </w:r>
          </w:p>
        </w:tc>
        <w:tc>
          <w:tcPr>
            <w:tcW w:w="1715" w:type="dxa"/>
            <w:tcBorders>
              <w:bottom w:val="single" w:color="000000" w:sz="0" w:space="0"/>
            </w:tcBorders>
            <w:noWrap w:val="0"/>
            <w:vAlign w:val="top"/>
          </w:tcPr>
          <w:p w14:paraId="2A824697">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YES</w:t>
            </w:r>
          </w:p>
        </w:tc>
      </w:tr>
      <w:tr w14:paraId="11B14C6E">
        <w:tblPrEx>
          <w:tblBorders>
            <w:top w:val="single" w:color="000000" w:sz="0" w:space="0"/>
            <w:left w:val="none" w:color="000000" w:sz="0" w:space="0"/>
            <w:bottom w:val="singl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jc w:val="center"/>
        </w:trPr>
        <w:tc>
          <w:tcPr>
            <w:tcW w:w="980" w:type="pct"/>
            <w:tcBorders>
              <w:bottom w:val="single" w:color="000000" w:sz="0" w:space="0"/>
            </w:tcBorders>
            <w:noWrap w:val="0"/>
            <w:vAlign w:val="top"/>
          </w:tcPr>
          <w:p w14:paraId="236819CF">
            <w:pPr>
              <w:spacing w:line="240" w:lineRule="auto"/>
              <w:jc w:val="left"/>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Month</w:t>
            </w:r>
          </w:p>
        </w:tc>
        <w:tc>
          <w:tcPr>
            <w:tcW w:w="1004" w:type="pct"/>
            <w:tcBorders>
              <w:bottom w:val="single" w:color="000000" w:sz="0" w:space="0"/>
            </w:tcBorders>
            <w:noWrap w:val="0"/>
            <w:vAlign w:val="top"/>
          </w:tcPr>
          <w:p w14:paraId="2F599F89">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YES</w:t>
            </w:r>
          </w:p>
        </w:tc>
        <w:tc>
          <w:tcPr>
            <w:tcW w:w="1005" w:type="pct"/>
            <w:tcBorders>
              <w:bottom w:val="single" w:color="000000" w:sz="0" w:space="0"/>
            </w:tcBorders>
            <w:noWrap w:val="0"/>
            <w:vAlign w:val="top"/>
          </w:tcPr>
          <w:p w14:paraId="4BF6A1CF">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YES</w:t>
            </w:r>
          </w:p>
        </w:tc>
        <w:tc>
          <w:tcPr>
            <w:tcW w:w="1005" w:type="pct"/>
            <w:tcBorders>
              <w:bottom w:val="single" w:color="000000" w:sz="0" w:space="0"/>
            </w:tcBorders>
            <w:noWrap w:val="0"/>
            <w:vAlign w:val="top"/>
          </w:tcPr>
          <w:p w14:paraId="16041698">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YES</w:t>
            </w:r>
          </w:p>
        </w:tc>
        <w:tc>
          <w:tcPr>
            <w:tcW w:w="1006" w:type="pct"/>
            <w:tcBorders>
              <w:bottom w:val="single" w:color="000000" w:sz="0" w:space="0"/>
            </w:tcBorders>
            <w:noWrap w:val="0"/>
            <w:vAlign w:val="top"/>
          </w:tcPr>
          <w:p w14:paraId="47A5095E">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YES</w:t>
            </w:r>
          </w:p>
        </w:tc>
      </w:tr>
      <w:tr w14:paraId="18069C8C">
        <w:tblPrEx>
          <w:tblBorders>
            <w:top w:val="single" w:color="000000" w:sz="0" w:space="0"/>
            <w:left w:val="none" w:color="000000" w:sz="0" w:space="0"/>
            <w:bottom w:val="singl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jc w:val="center"/>
        </w:trPr>
        <w:tc>
          <w:tcPr>
            <w:tcW w:w="980" w:type="pct"/>
            <w:tcBorders>
              <w:top w:val="single" w:color="000000" w:sz="0" w:space="0"/>
            </w:tcBorders>
            <w:noWrap w:val="0"/>
            <w:vAlign w:val="top"/>
          </w:tcPr>
          <w:p w14:paraId="7793B3AA">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N</w:t>
            </w:r>
          </w:p>
        </w:tc>
        <w:tc>
          <w:tcPr>
            <w:tcW w:w="1004" w:type="pct"/>
            <w:tcBorders>
              <w:top w:val="single" w:color="000000" w:sz="0" w:space="0"/>
            </w:tcBorders>
            <w:noWrap w:val="0"/>
            <w:vAlign w:val="top"/>
          </w:tcPr>
          <w:p w14:paraId="6A0DD295">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1132</w:t>
            </w:r>
          </w:p>
        </w:tc>
        <w:tc>
          <w:tcPr>
            <w:tcW w:w="1005" w:type="pct"/>
            <w:tcBorders>
              <w:top w:val="single" w:color="000000" w:sz="0" w:space="0"/>
            </w:tcBorders>
            <w:noWrap w:val="0"/>
            <w:vAlign w:val="top"/>
          </w:tcPr>
          <w:p w14:paraId="5E1B7433">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1132</w:t>
            </w:r>
          </w:p>
        </w:tc>
        <w:tc>
          <w:tcPr>
            <w:tcW w:w="1005" w:type="pct"/>
            <w:tcBorders>
              <w:top w:val="single" w:color="000000" w:sz="0" w:space="0"/>
            </w:tcBorders>
            <w:noWrap w:val="0"/>
            <w:vAlign w:val="top"/>
          </w:tcPr>
          <w:p w14:paraId="5A79D759">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1132</w:t>
            </w:r>
          </w:p>
        </w:tc>
        <w:tc>
          <w:tcPr>
            <w:tcW w:w="1006" w:type="pct"/>
            <w:tcBorders>
              <w:top w:val="single" w:color="000000" w:sz="0" w:space="0"/>
            </w:tcBorders>
            <w:noWrap w:val="0"/>
            <w:vAlign w:val="top"/>
          </w:tcPr>
          <w:p w14:paraId="57FCB7B5">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1132</w:t>
            </w:r>
          </w:p>
        </w:tc>
      </w:tr>
      <w:tr w14:paraId="4190A38C">
        <w:tblPrEx>
          <w:tblBorders>
            <w:top w:val="single" w:color="000000" w:sz="0" w:space="0"/>
            <w:left w:val="none" w:color="000000" w:sz="0" w:space="0"/>
            <w:bottom w:val="singl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jc w:val="center"/>
        </w:trPr>
        <w:tc>
          <w:tcPr>
            <w:tcW w:w="980" w:type="pct"/>
            <w:noWrap w:val="0"/>
            <w:vAlign w:val="top"/>
          </w:tcPr>
          <w:p w14:paraId="2BFB7695">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R</w:t>
            </w:r>
            <w:r>
              <w:rPr>
                <w:rFonts w:hint="default" w:ascii="Times New Roman" w:hAnsi="Times New Roman" w:cs="Times New Roman"/>
                <w:color w:val="auto"/>
                <w:sz w:val="21"/>
                <w:szCs w:val="21"/>
                <w:highlight w:val="none"/>
                <w:vertAlign w:val="superscript"/>
              </w:rPr>
              <w:t>2</w:t>
            </w:r>
          </w:p>
        </w:tc>
        <w:tc>
          <w:tcPr>
            <w:tcW w:w="1004" w:type="pct"/>
            <w:noWrap w:val="0"/>
            <w:vAlign w:val="top"/>
          </w:tcPr>
          <w:p w14:paraId="79AA49E2">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0.05</w:t>
            </w:r>
          </w:p>
        </w:tc>
        <w:tc>
          <w:tcPr>
            <w:tcW w:w="1005" w:type="pct"/>
            <w:noWrap w:val="0"/>
            <w:vAlign w:val="top"/>
          </w:tcPr>
          <w:p w14:paraId="4FE82D23">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0.07</w:t>
            </w:r>
          </w:p>
        </w:tc>
        <w:tc>
          <w:tcPr>
            <w:tcW w:w="1005" w:type="pct"/>
            <w:noWrap w:val="0"/>
            <w:vAlign w:val="top"/>
          </w:tcPr>
          <w:p w14:paraId="067F020A">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0.11</w:t>
            </w:r>
          </w:p>
        </w:tc>
        <w:tc>
          <w:tcPr>
            <w:tcW w:w="1006" w:type="pct"/>
            <w:noWrap w:val="0"/>
            <w:vAlign w:val="top"/>
          </w:tcPr>
          <w:p w14:paraId="031F0941">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0.10</w:t>
            </w:r>
          </w:p>
        </w:tc>
      </w:tr>
      <w:tr w14:paraId="5A67EC0A">
        <w:tblPrEx>
          <w:tblBorders>
            <w:top w:val="single" w:color="000000" w:sz="0" w:space="0"/>
            <w:left w:val="none" w:color="000000" w:sz="0" w:space="0"/>
            <w:bottom w:val="singl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jc w:val="center"/>
        </w:trPr>
        <w:tc>
          <w:tcPr>
            <w:tcW w:w="980" w:type="pct"/>
            <w:tcBorders>
              <w:bottom w:val="single" w:color="000000" w:sz="2" w:space="0"/>
            </w:tcBorders>
            <w:noWrap w:val="0"/>
            <w:vAlign w:val="top"/>
          </w:tcPr>
          <w:p w14:paraId="7E32E766">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Adj. R</w:t>
            </w:r>
            <w:r>
              <w:rPr>
                <w:rFonts w:hint="default" w:ascii="Times New Roman" w:hAnsi="Times New Roman" w:cs="Times New Roman"/>
                <w:color w:val="auto"/>
                <w:sz w:val="21"/>
                <w:szCs w:val="21"/>
                <w:highlight w:val="none"/>
                <w:vertAlign w:val="superscript"/>
              </w:rPr>
              <w:t>2</w:t>
            </w:r>
          </w:p>
        </w:tc>
        <w:tc>
          <w:tcPr>
            <w:tcW w:w="1004" w:type="pct"/>
            <w:tcBorders>
              <w:bottom w:val="single" w:color="000000" w:sz="2" w:space="0"/>
            </w:tcBorders>
            <w:noWrap w:val="0"/>
            <w:vAlign w:val="top"/>
          </w:tcPr>
          <w:p w14:paraId="52383148">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0.04</w:t>
            </w:r>
          </w:p>
        </w:tc>
        <w:tc>
          <w:tcPr>
            <w:tcW w:w="1005" w:type="pct"/>
            <w:tcBorders>
              <w:bottom w:val="single" w:color="000000" w:sz="2" w:space="0"/>
            </w:tcBorders>
            <w:noWrap w:val="0"/>
            <w:vAlign w:val="top"/>
          </w:tcPr>
          <w:p w14:paraId="75530FDC">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0.06</w:t>
            </w:r>
          </w:p>
        </w:tc>
        <w:tc>
          <w:tcPr>
            <w:tcW w:w="1005" w:type="pct"/>
            <w:tcBorders>
              <w:bottom w:val="single" w:color="000000" w:sz="2" w:space="0"/>
            </w:tcBorders>
            <w:noWrap w:val="0"/>
            <w:vAlign w:val="top"/>
          </w:tcPr>
          <w:p w14:paraId="0E4EC327">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0.10</w:t>
            </w:r>
          </w:p>
        </w:tc>
        <w:tc>
          <w:tcPr>
            <w:tcW w:w="1006" w:type="pct"/>
            <w:tcBorders>
              <w:bottom w:val="single" w:color="000000" w:sz="2" w:space="0"/>
            </w:tcBorders>
            <w:noWrap w:val="0"/>
            <w:vAlign w:val="top"/>
          </w:tcPr>
          <w:p w14:paraId="08251E10">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0.09</w:t>
            </w:r>
          </w:p>
        </w:tc>
      </w:tr>
      <w:tr w14:paraId="1A0B7E7B">
        <w:tblPrEx>
          <w:tblBorders>
            <w:top w:val="single" w:color="000000" w:sz="0" w:space="0"/>
            <w:left w:val="none" w:color="000000" w:sz="0" w:space="0"/>
            <w:bottom w:val="singl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jc w:val="center"/>
        </w:trPr>
        <w:tc>
          <w:tcPr>
            <w:tcW w:w="5000" w:type="pct"/>
            <w:gridSpan w:val="5"/>
            <w:tcBorders>
              <w:top w:val="single" w:color="000000" w:sz="2" w:space="0"/>
              <w:bottom w:val="nil"/>
            </w:tcBorders>
            <w:noWrap w:val="0"/>
            <w:vAlign w:val="top"/>
          </w:tcPr>
          <w:p w14:paraId="6A7F1543">
            <w:pPr>
              <w:spacing w:line="240" w:lineRule="auto"/>
              <w:jc w:val="left"/>
              <w:rPr>
                <w:rFonts w:hint="default" w:ascii="Times New Roman" w:hAnsi="Times New Roman" w:cs="Times New Roman"/>
                <w:color w:val="auto"/>
                <w:sz w:val="21"/>
                <w:szCs w:val="21"/>
                <w:highlight w:val="none"/>
              </w:rPr>
            </w:pPr>
            <w:r>
              <w:rPr>
                <w:rFonts w:hint="default" w:ascii="Times New Roman" w:hAnsi="Times New Roman" w:cs="Times New Roman"/>
                <w:i/>
                <w:color w:val="auto"/>
                <w:sz w:val="21"/>
                <w:szCs w:val="21"/>
                <w:highlight w:val="none"/>
              </w:rPr>
              <w:t>Note:</w:t>
            </w:r>
            <w:r>
              <w:rPr>
                <w:rFonts w:hint="default" w:ascii="Times New Roman" w:hAnsi="Times New Roman" w:cs="Times New Roman"/>
                <w:color w:val="auto"/>
                <w:sz w:val="21"/>
                <w:szCs w:val="21"/>
                <w:highlight w:val="none"/>
              </w:rPr>
              <w:t xml:space="preserve"> *** p&lt;0.01, ** p&lt;0.05, * p&lt;0.1</w:t>
            </w:r>
          </w:p>
          <w:p w14:paraId="6B3B745A">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Analysis:</w:t>
            </w:r>
            <w:r>
              <w:rPr>
                <w:rFonts w:hint="default" w:ascii="Times New Roman" w:hAnsi="Times New Roman" w:cs="Times New Roman"/>
                <w:bCs/>
                <w:color w:val="auto"/>
                <w:kern w:val="0"/>
                <w:sz w:val="21"/>
                <w:szCs w:val="21"/>
                <w:highlight w:val="none"/>
              </w:rPr>
              <w:t>The variable replacement method for robustness checks includes two approaches: replacing the dependent variable (RDV) and replacing the independent variable (RIV). In this study, we employed the RIV method. We recalculated the weight of nurse’s job dissatisfaction (</w:t>
            </w:r>
            <w:r>
              <w:rPr>
                <w:rFonts w:hint="default" w:ascii="Times New Roman" w:hAnsi="Times New Roman" w:cs="Times New Roman"/>
                <w:b/>
                <w:i/>
                <w:iCs/>
                <w:color w:val="auto"/>
                <w:kern w:val="0"/>
                <w:sz w:val="21"/>
                <w:szCs w:val="21"/>
                <w:highlight w:val="none"/>
              </w:rPr>
              <w:t>NJD</w:t>
            </w:r>
            <w:r>
              <w:rPr>
                <w:rFonts w:hint="default" w:ascii="Times New Roman" w:hAnsi="Times New Roman" w:cs="Times New Roman"/>
                <w:bCs/>
                <w:color w:val="auto"/>
                <w:kern w:val="0"/>
                <w:sz w:val="21"/>
                <w:szCs w:val="21"/>
                <w:highlight w:val="none"/>
              </w:rPr>
              <w:t xml:space="preserve">) according to the priority graph order method to obtain a new independent variable, x1, and then conducted a baseline regression analysis on the relationship between x1 and EVLN behaviors. The results in </w:t>
            </w:r>
            <w:r>
              <w:rPr>
                <w:rFonts w:hint="default" w:ascii="Times New Roman" w:hAnsi="Times New Roman" w:cs="Times New Roman"/>
                <w:bCs/>
                <w:color w:val="auto"/>
                <w:kern w:val="0"/>
                <w:sz w:val="21"/>
                <w:szCs w:val="21"/>
                <w:highlight w:val="none"/>
                <w:lang w:val="en-US" w:eastAsia="zh-CN"/>
              </w:rPr>
              <w:t>Appendix 7</w:t>
            </w:r>
            <w:r>
              <w:rPr>
                <w:rFonts w:hint="default" w:ascii="Times New Roman" w:hAnsi="Times New Roman" w:cs="Times New Roman"/>
                <w:bCs/>
                <w:color w:val="auto"/>
                <w:kern w:val="0"/>
                <w:sz w:val="21"/>
                <w:szCs w:val="21"/>
                <w:highlight w:val="none"/>
              </w:rPr>
              <w:t xml:space="preserve"> indicate that </w:t>
            </w:r>
            <w:r>
              <w:rPr>
                <w:rFonts w:hint="default" w:ascii="Times New Roman" w:hAnsi="Times New Roman" w:cs="Times New Roman"/>
                <w:b/>
                <w:i/>
                <w:iCs/>
                <w:color w:val="auto"/>
                <w:kern w:val="0"/>
                <w:sz w:val="21"/>
                <w:szCs w:val="21"/>
                <w:highlight w:val="none"/>
              </w:rPr>
              <w:t>NJD</w:t>
            </w:r>
            <w:r>
              <w:rPr>
                <w:rFonts w:hint="default" w:ascii="Times New Roman" w:hAnsi="Times New Roman" w:cs="Times New Roman"/>
                <w:bCs/>
                <w:color w:val="auto"/>
                <w:kern w:val="0"/>
                <w:sz w:val="21"/>
                <w:szCs w:val="21"/>
                <w:highlight w:val="none"/>
              </w:rPr>
              <w:t xml:space="preserve"> has a significant positive impact on exit behavior (</w:t>
            </w:r>
            <w:r>
              <w:rPr>
                <w:rFonts w:hint="default" w:ascii="Times New Roman" w:hAnsi="Times New Roman" w:cs="Times New Roman"/>
                <w:b/>
                <w:i/>
                <w:iCs/>
                <w:color w:val="auto"/>
                <w:kern w:val="0"/>
                <w:sz w:val="21"/>
                <w:szCs w:val="21"/>
                <w:highlight w:val="none"/>
              </w:rPr>
              <w:t>Exit</w:t>
            </w:r>
            <w:r>
              <w:rPr>
                <w:rFonts w:hint="default" w:ascii="Times New Roman" w:hAnsi="Times New Roman" w:cs="Times New Roman"/>
                <w:bCs/>
                <w:color w:val="auto"/>
                <w:kern w:val="0"/>
                <w:sz w:val="21"/>
                <w:szCs w:val="21"/>
                <w:highlight w:val="none"/>
              </w:rPr>
              <w:t>) and neglect behavior (</w:t>
            </w:r>
            <w:r>
              <w:rPr>
                <w:rFonts w:hint="default" w:ascii="Times New Roman" w:hAnsi="Times New Roman" w:cs="Times New Roman"/>
                <w:b/>
                <w:i/>
                <w:iCs/>
                <w:color w:val="auto"/>
                <w:kern w:val="0"/>
                <w:sz w:val="21"/>
                <w:szCs w:val="21"/>
                <w:highlight w:val="none"/>
              </w:rPr>
              <w:t>Neglect</w:t>
            </w:r>
            <w:r>
              <w:rPr>
                <w:rFonts w:hint="default" w:ascii="Times New Roman" w:hAnsi="Times New Roman" w:cs="Times New Roman"/>
                <w:bCs/>
                <w:color w:val="auto"/>
                <w:kern w:val="0"/>
                <w:sz w:val="21"/>
                <w:szCs w:val="21"/>
                <w:highlight w:val="none"/>
              </w:rPr>
              <w:t>), and a significant negative impact on voice behavior (</w:t>
            </w:r>
            <w:r>
              <w:rPr>
                <w:rFonts w:hint="default" w:ascii="Times New Roman" w:hAnsi="Times New Roman" w:cs="Times New Roman"/>
                <w:b/>
                <w:i/>
                <w:iCs/>
                <w:color w:val="auto"/>
                <w:kern w:val="0"/>
                <w:sz w:val="21"/>
                <w:szCs w:val="21"/>
                <w:highlight w:val="none"/>
              </w:rPr>
              <w:t>Voice</w:t>
            </w:r>
            <w:r>
              <w:rPr>
                <w:rFonts w:hint="default" w:ascii="Times New Roman" w:hAnsi="Times New Roman" w:cs="Times New Roman"/>
                <w:bCs/>
                <w:color w:val="auto"/>
                <w:kern w:val="0"/>
                <w:sz w:val="21"/>
                <w:szCs w:val="21"/>
                <w:highlight w:val="none"/>
              </w:rPr>
              <w:t>) and loyalty behavior (</w:t>
            </w:r>
            <w:r>
              <w:rPr>
                <w:rFonts w:hint="default" w:ascii="Times New Roman" w:hAnsi="Times New Roman" w:cs="Times New Roman"/>
                <w:b/>
                <w:i/>
                <w:iCs/>
                <w:color w:val="auto"/>
                <w:kern w:val="0"/>
                <w:sz w:val="21"/>
                <w:szCs w:val="21"/>
                <w:highlight w:val="none"/>
              </w:rPr>
              <w:t>Loyalty</w:t>
            </w:r>
            <w:r>
              <w:rPr>
                <w:rFonts w:hint="default" w:ascii="Times New Roman" w:hAnsi="Times New Roman" w:cs="Times New Roman"/>
                <w:bCs/>
                <w:color w:val="auto"/>
                <w:kern w:val="0"/>
                <w:sz w:val="21"/>
                <w:szCs w:val="21"/>
                <w:highlight w:val="none"/>
              </w:rPr>
              <w:t xml:space="preserve">). These findings are consistent with the regression results presented in </w:t>
            </w:r>
            <w:r>
              <w:rPr>
                <w:rFonts w:hint="default" w:ascii="Times New Roman" w:hAnsi="Times New Roman" w:cs="Times New Roman"/>
                <w:bCs/>
                <w:color w:val="auto"/>
                <w:kern w:val="0"/>
                <w:sz w:val="21"/>
                <w:szCs w:val="21"/>
                <w:highlight w:val="none"/>
                <w:lang w:val="en-US" w:eastAsia="zh-CN"/>
              </w:rPr>
              <w:t>Appendix 7</w:t>
            </w:r>
            <w:r>
              <w:rPr>
                <w:rFonts w:hint="default" w:ascii="Times New Roman" w:hAnsi="Times New Roman" w:cs="Times New Roman"/>
                <w:bCs/>
                <w:color w:val="auto"/>
                <w:kern w:val="0"/>
                <w:sz w:val="21"/>
                <w:szCs w:val="21"/>
                <w:highlight w:val="none"/>
              </w:rPr>
              <w:t>, confirming the robustness of this study's results.</w:t>
            </w:r>
          </w:p>
        </w:tc>
      </w:tr>
    </w:tbl>
    <w:p w14:paraId="4554D3CF">
      <w:pPr>
        <w:autoSpaceDE w:val="0"/>
        <w:autoSpaceDN w:val="0"/>
        <w:adjustRightInd w:val="0"/>
        <w:spacing w:line="240" w:lineRule="auto"/>
        <w:rPr>
          <w:rFonts w:hint="default" w:ascii="Times New Roman" w:hAnsi="Times New Roman" w:eastAsia="宋体" w:cs="Times New Roman"/>
          <w:b/>
          <w:color w:val="auto"/>
          <w:kern w:val="0"/>
          <w:sz w:val="21"/>
          <w:szCs w:val="21"/>
          <w:highlight w:val="none"/>
          <w:lang w:val="en-US" w:eastAsia="zh-CN"/>
        </w:rPr>
      </w:pPr>
      <w:r>
        <w:rPr>
          <w:rFonts w:hint="default" w:ascii="Times New Roman" w:hAnsi="Times New Roman" w:cs="Times New Roman"/>
          <w:i/>
          <w:iCs/>
          <w:color w:val="auto"/>
          <w:kern w:val="0"/>
          <w:sz w:val="21"/>
          <w:szCs w:val="21"/>
          <w:highlight w:val="none"/>
        </w:rPr>
        <w:t>Abbreviation:</w:t>
      </w:r>
      <w:r>
        <w:rPr>
          <w:rFonts w:hint="default" w:ascii="Times New Roman" w:hAnsi="Times New Roman" w:cs="Times New Roman"/>
          <w:color w:val="auto"/>
          <w:kern w:val="0"/>
          <w:sz w:val="21"/>
          <w:szCs w:val="21"/>
          <w:highlight w:val="none"/>
          <w:lang w:val="en-US" w:eastAsia="zh-CN"/>
        </w:rPr>
        <w:t xml:space="preserve">N </w:t>
      </w:r>
      <w:r>
        <w:rPr>
          <w:rFonts w:hint="default" w:ascii="Times New Roman" w:hAnsi="Times New Roman" w:cs="Times New Roman"/>
          <w:color w:val="auto"/>
          <w:kern w:val="0"/>
          <w:sz w:val="21"/>
          <w:szCs w:val="21"/>
          <w:highlight w:val="none"/>
        </w:rPr>
        <w:t>represents the effective sample size of the project</w:t>
      </w:r>
      <w:r>
        <w:rPr>
          <w:rFonts w:hint="default" w:ascii="Times New Roman" w:hAnsi="Times New Roman" w:cs="Times New Roman"/>
          <w:color w:val="auto"/>
          <w:kern w:val="0"/>
          <w:sz w:val="21"/>
          <w:szCs w:val="21"/>
          <w:highlight w:val="none"/>
          <w:lang w:val="en-US" w:eastAsia="zh-CN"/>
        </w:rPr>
        <w:t xml:space="preserve">; NJD: nurses’ job dissatisfation; WY:Work Duration (In Years); Title:nurses’ personal </w:t>
      </w:r>
      <w:r>
        <w:rPr>
          <w:rFonts w:hint="default" w:ascii="Times New Roman" w:hAnsi="Times New Roman" w:cs="Times New Roman"/>
          <w:color w:val="auto"/>
          <w:sz w:val="21"/>
          <w:szCs w:val="21"/>
          <w:highlight w:val="none"/>
          <w:lang w:val="en-US" w:eastAsia="zh-CN"/>
        </w:rPr>
        <w:t>t</w:t>
      </w:r>
      <w:r>
        <w:rPr>
          <w:rFonts w:hint="default" w:ascii="Times New Roman" w:hAnsi="Times New Roman" w:cs="Times New Roman"/>
          <w:color w:val="auto"/>
          <w:sz w:val="21"/>
          <w:szCs w:val="21"/>
          <w:highlight w:val="none"/>
        </w:rPr>
        <w:t>itle</w:t>
      </w:r>
      <w:r>
        <w:rPr>
          <w:rFonts w:hint="default" w:ascii="Times New Roman" w:hAnsi="Times New Roman" w:cs="Times New Roman"/>
          <w:color w:val="auto"/>
          <w:kern w:val="0"/>
          <w:sz w:val="21"/>
          <w:szCs w:val="21"/>
          <w:highlight w:val="none"/>
          <w:lang w:val="en-US" w:eastAsia="zh-CN"/>
        </w:rPr>
        <w:t xml:space="preserve">; Rank:nurses’ ranking; Posit: nurses’ postion; UE: Unit Establishment, which is the form of employing employees, so-called the form of contract signed by the unit; Salary: nurses’ </w:t>
      </w:r>
      <w:r>
        <w:rPr>
          <w:rFonts w:hint="default" w:ascii="Times New Roman" w:hAnsi="Times New Roman" w:cs="Times New Roman"/>
          <w:color w:val="auto"/>
          <w:sz w:val="21"/>
          <w:szCs w:val="21"/>
          <w:highlight w:val="none"/>
          <w:lang w:val="en-US" w:eastAsia="zh-CN"/>
        </w:rPr>
        <w:t>s</w:t>
      </w:r>
      <w:r>
        <w:rPr>
          <w:rFonts w:hint="default" w:ascii="Times New Roman" w:hAnsi="Times New Roman" w:cs="Times New Roman"/>
          <w:color w:val="auto"/>
          <w:sz w:val="21"/>
          <w:szCs w:val="21"/>
          <w:highlight w:val="none"/>
        </w:rPr>
        <w:t xml:space="preserve">alary </w:t>
      </w:r>
      <w:r>
        <w:rPr>
          <w:rFonts w:hint="default" w:ascii="Times New Roman" w:hAnsi="Times New Roman" w:cs="Times New Roman"/>
          <w:color w:val="auto"/>
          <w:sz w:val="21"/>
          <w:szCs w:val="21"/>
          <w:highlight w:val="none"/>
          <w:lang w:val="en-US" w:eastAsia="zh-CN"/>
        </w:rPr>
        <w:t>l</w:t>
      </w:r>
      <w:r>
        <w:rPr>
          <w:rFonts w:hint="default" w:ascii="Times New Roman" w:hAnsi="Times New Roman" w:cs="Times New Roman"/>
          <w:color w:val="auto"/>
          <w:sz w:val="21"/>
          <w:szCs w:val="21"/>
          <w:highlight w:val="none"/>
        </w:rPr>
        <w:t>evel</w:t>
      </w:r>
      <w:r>
        <w:rPr>
          <w:rFonts w:hint="default" w:ascii="Times New Roman" w:hAnsi="Times New Roman" w:cs="Times New Roman"/>
          <w:color w:val="auto"/>
          <w:kern w:val="0"/>
          <w:sz w:val="21"/>
          <w:szCs w:val="21"/>
          <w:highlight w:val="none"/>
          <w:lang w:val="en-US" w:eastAsia="zh-CN"/>
        </w:rPr>
        <w:t>; Time: the hospital's establishment date; Sec:section,which is department where the nurse works.</w:t>
      </w:r>
    </w:p>
    <w:p w14:paraId="1284C8A1">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default" w:ascii="Times New Roman" w:hAnsi="Times New Roman" w:cs="Times New Roman"/>
          <w:bCs/>
          <w:color w:val="auto"/>
          <w:kern w:val="0"/>
          <w:sz w:val="21"/>
          <w:szCs w:val="21"/>
          <w:highlight w:val="none"/>
        </w:rPr>
      </w:pPr>
    </w:p>
    <w:p w14:paraId="0AEC2E6E">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default" w:ascii="Times New Roman" w:hAnsi="Times New Roman" w:cs="Times New Roman"/>
          <w:bCs/>
          <w:color w:val="auto"/>
          <w:kern w:val="0"/>
          <w:sz w:val="21"/>
          <w:szCs w:val="21"/>
          <w:highlight w:val="none"/>
        </w:rPr>
      </w:pPr>
    </w:p>
    <w:p w14:paraId="09366E6B">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default" w:ascii="Times New Roman" w:hAnsi="Times New Roman" w:cs="Times New Roman"/>
          <w:bCs/>
          <w:color w:val="auto"/>
          <w:kern w:val="0"/>
          <w:sz w:val="21"/>
          <w:szCs w:val="21"/>
          <w:highlight w:val="none"/>
        </w:rPr>
      </w:pPr>
    </w:p>
    <w:p w14:paraId="5FD9D33F">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default" w:ascii="Times New Roman" w:hAnsi="Times New Roman" w:cs="Times New Roman"/>
          <w:bCs/>
          <w:color w:val="auto"/>
          <w:kern w:val="0"/>
          <w:sz w:val="21"/>
          <w:szCs w:val="21"/>
          <w:highlight w:val="none"/>
        </w:rPr>
      </w:pPr>
    </w:p>
    <w:p w14:paraId="4B791FA3">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default" w:ascii="Times New Roman" w:hAnsi="Times New Roman" w:cs="Times New Roman"/>
          <w:bCs/>
          <w:color w:val="auto"/>
          <w:kern w:val="0"/>
          <w:sz w:val="21"/>
          <w:szCs w:val="21"/>
          <w:highlight w:val="none"/>
        </w:rPr>
      </w:pPr>
    </w:p>
    <w:p w14:paraId="01C1CB5B">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default" w:ascii="Times New Roman" w:hAnsi="Times New Roman" w:cs="Times New Roman"/>
          <w:bCs/>
          <w:color w:val="auto"/>
          <w:kern w:val="0"/>
          <w:sz w:val="21"/>
          <w:szCs w:val="21"/>
          <w:highlight w:val="none"/>
        </w:rPr>
      </w:pPr>
    </w:p>
    <w:p w14:paraId="0BA50144">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default" w:ascii="Times New Roman" w:hAnsi="Times New Roman" w:cs="Times New Roman"/>
          <w:bCs/>
          <w:color w:val="auto"/>
          <w:kern w:val="0"/>
          <w:sz w:val="21"/>
          <w:szCs w:val="21"/>
          <w:highlight w:val="none"/>
        </w:rPr>
      </w:pPr>
    </w:p>
    <w:p w14:paraId="573C5D95">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default" w:ascii="Times New Roman" w:hAnsi="Times New Roman" w:cs="Times New Roman"/>
          <w:bCs/>
          <w:color w:val="auto"/>
          <w:kern w:val="0"/>
          <w:sz w:val="21"/>
          <w:szCs w:val="21"/>
          <w:highlight w:val="none"/>
        </w:rPr>
      </w:pPr>
    </w:p>
    <w:p w14:paraId="214D267F">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default" w:ascii="Times New Roman" w:hAnsi="Times New Roman" w:cs="Times New Roman"/>
          <w:bCs/>
          <w:color w:val="auto"/>
          <w:kern w:val="0"/>
          <w:sz w:val="21"/>
          <w:szCs w:val="21"/>
          <w:highlight w:val="none"/>
        </w:rPr>
      </w:pPr>
    </w:p>
    <w:p w14:paraId="59BE3349">
      <w:pPr>
        <w:autoSpaceDE w:val="0"/>
        <w:autoSpaceDN w:val="0"/>
        <w:adjustRightInd w:val="0"/>
        <w:spacing w:line="240" w:lineRule="auto"/>
        <w:rPr>
          <w:rFonts w:hint="default" w:ascii="Times New Roman" w:hAnsi="Times New Roman" w:cs="Times New Roman"/>
          <w:b/>
          <w:color w:val="auto"/>
          <w:kern w:val="0"/>
          <w:sz w:val="21"/>
          <w:szCs w:val="21"/>
          <w:highlight w:val="none"/>
        </w:rPr>
      </w:pPr>
      <w:r>
        <w:rPr>
          <w:rFonts w:hint="default" w:ascii="Times New Roman" w:hAnsi="Times New Roman" w:cs="Times New Roman"/>
          <w:b/>
          <w:color w:val="auto"/>
          <w:kern w:val="0"/>
          <w:sz w:val="21"/>
          <w:szCs w:val="21"/>
          <w:highlight w:val="none"/>
          <w:lang w:val="en-US" w:eastAsia="zh-CN"/>
        </w:rPr>
        <w:t xml:space="preserve">Appendix </w:t>
      </w:r>
      <w:r>
        <w:rPr>
          <w:rFonts w:hint="eastAsia" w:ascii="Times New Roman" w:hAnsi="Times New Roman" w:cs="Times New Roman"/>
          <w:b/>
          <w:color w:val="auto"/>
          <w:kern w:val="0"/>
          <w:sz w:val="21"/>
          <w:szCs w:val="21"/>
          <w:highlight w:val="none"/>
          <w:lang w:val="en-US" w:eastAsia="zh-CN"/>
        </w:rPr>
        <w:t>10</w:t>
      </w:r>
      <w:r>
        <w:rPr>
          <w:rFonts w:hint="default" w:ascii="Times New Roman" w:hAnsi="Times New Roman" w:cs="Times New Roman"/>
          <w:b/>
          <w:color w:val="auto"/>
          <w:kern w:val="0"/>
          <w:sz w:val="21"/>
          <w:szCs w:val="21"/>
          <w:highlight w:val="none"/>
        </w:rPr>
        <w:t xml:space="preserve"> </w:t>
      </w:r>
      <w:r>
        <w:rPr>
          <w:rFonts w:hint="default" w:ascii="Times New Roman" w:hAnsi="Times New Roman" w:cs="Times New Roman"/>
          <w:bCs/>
          <w:color w:val="auto"/>
          <w:sz w:val="21"/>
          <w:szCs w:val="21"/>
          <w:highlight w:val="none"/>
        </w:rPr>
        <w:t xml:space="preserve">Placebo tests </w:t>
      </w:r>
      <w:r>
        <w:rPr>
          <w:rFonts w:hint="default" w:ascii="Times New Roman" w:hAnsi="Times New Roman" w:cs="Times New Roman"/>
          <w:bCs/>
          <w:color w:val="auto"/>
          <w:kern w:val="0"/>
          <w:sz w:val="21"/>
          <w:szCs w:val="21"/>
          <w:highlight w:val="none"/>
        </w:rPr>
        <w:t>on Nurses’ Job Dissatisfaction and Exit, Voice, Loyalty, and Neglect Behaviors</w:t>
      </w:r>
    </w:p>
    <w:p w14:paraId="6B75D34E">
      <w:pPr>
        <w:autoSpaceDE w:val="0"/>
        <w:autoSpaceDN w:val="0"/>
        <w:adjustRightInd w:val="0"/>
        <w:spacing w:line="240" w:lineRule="auto"/>
        <w:rPr>
          <w:rFonts w:hint="default" w:ascii="Times New Roman" w:hAnsi="Times New Roman" w:cs="Times New Roman"/>
          <w:b/>
          <w:color w:val="auto"/>
          <w:kern w:val="0"/>
          <w:sz w:val="21"/>
          <w:szCs w:val="21"/>
          <w:highlight w:val="none"/>
        </w:rPr>
      </w:pPr>
      <w:r>
        <w:rPr>
          <w:rFonts w:hint="default" w:ascii="Times New Roman" w:hAnsi="Times New Roman" w:cs="Times New Roman"/>
          <w:bCs/>
          <w:color w:val="auto"/>
          <w:kern w:val="0"/>
          <w:sz w:val="21"/>
          <w:szCs w:val="21"/>
          <w:highlight w:val="none"/>
          <w:lang w:val="en-GB"/>
        </w:rPr>
        <w:drawing>
          <wp:anchor distT="0" distB="0" distL="114300" distR="114300" simplePos="0" relativeHeight="251660288" behindDoc="0" locked="0" layoutInCell="1" allowOverlap="1">
            <wp:simplePos x="0" y="0"/>
            <wp:positionH relativeFrom="column">
              <wp:posOffset>-570865</wp:posOffset>
            </wp:positionH>
            <wp:positionV relativeFrom="paragraph">
              <wp:posOffset>46355</wp:posOffset>
            </wp:positionV>
            <wp:extent cx="6471920" cy="4394200"/>
            <wp:effectExtent l="0" t="0" r="5080" b="10160"/>
            <wp:wrapNone/>
            <wp:docPr id="4" name="图片 2" descr="1716768830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1716768830943"/>
                    <pic:cNvPicPr>
                      <a:picLocks noChangeAspect="1"/>
                    </pic:cNvPicPr>
                  </pic:nvPicPr>
                  <pic:blipFill>
                    <a:blip r:embed="rId6"/>
                    <a:stretch>
                      <a:fillRect/>
                    </a:stretch>
                  </pic:blipFill>
                  <pic:spPr>
                    <a:xfrm>
                      <a:off x="0" y="0"/>
                      <a:ext cx="6471920" cy="4394200"/>
                    </a:xfrm>
                    <a:prstGeom prst="rect">
                      <a:avLst/>
                    </a:prstGeom>
                    <a:noFill/>
                    <a:ln>
                      <a:noFill/>
                    </a:ln>
                  </pic:spPr>
                </pic:pic>
              </a:graphicData>
            </a:graphic>
          </wp:anchor>
        </w:drawing>
      </w:r>
    </w:p>
    <w:p w14:paraId="003FB0BB">
      <w:pPr>
        <w:autoSpaceDE w:val="0"/>
        <w:autoSpaceDN w:val="0"/>
        <w:adjustRightInd w:val="0"/>
        <w:spacing w:line="240" w:lineRule="auto"/>
        <w:rPr>
          <w:rFonts w:hint="default" w:ascii="Times New Roman" w:hAnsi="Times New Roman" w:cs="Times New Roman"/>
          <w:bCs/>
          <w:color w:val="auto"/>
          <w:kern w:val="0"/>
          <w:sz w:val="21"/>
          <w:szCs w:val="21"/>
          <w:highlight w:val="none"/>
        </w:rPr>
      </w:pPr>
    </w:p>
    <w:p w14:paraId="1EB2DB64">
      <w:pPr>
        <w:autoSpaceDE w:val="0"/>
        <w:autoSpaceDN w:val="0"/>
        <w:adjustRightInd w:val="0"/>
        <w:spacing w:line="240" w:lineRule="auto"/>
        <w:rPr>
          <w:rFonts w:hint="default" w:ascii="Times New Roman" w:hAnsi="Times New Roman" w:cs="Times New Roman"/>
          <w:bCs/>
          <w:color w:val="auto"/>
          <w:kern w:val="0"/>
          <w:sz w:val="21"/>
          <w:szCs w:val="21"/>
          <w:highlight w:val="none"/>
        </w:rPr>
      </w:pPr>
    </w:p>
    <w:p w14:paraId="273531B6">
      <w:pPr>
        <w:autoSpaceDE w:val="0"/>
        <w:autoSpaceDN w:val="0"/>
        <w:adjustRightInd w:val="0"/>
        <w:spacing w:line="240" w:lineRule="auto"/>
        <w:rPr>
          <w:rFonts w:hint="default" w:ascii="Times New Roman" w:hAnsi="Times New Roman" w:cs="Times New Roman"/>
          <w:bCs/>
          <w:color w:val="auto"/>
          <w:kern w:val="0"/>
          <w:sz w:val="21"/>
          <w:szCs w:val="21"/>
          <w:highlight w:val="none"/>
        </w:rPr>
      </w:pPr>
    </w:p>
    <w:p w14:paraId="069525D5">
      <w:pPr>
        <w:spacing w:line="240" w:lineRule="auto"/>
        <w:rPr>
          <w:rFonts w:hint="default" w:ascii="Times New Roman" w:hAnsi="Times New Roman" w:cs="Times New Roman"/>
          <w:color w:val="auto"/>
          <w:sz w:val="21"/>
          <w:szCs w:val="21"/>
          <w:highlight w:val="none"/>
        </w:rPr>
      </w:pPr>
    </w:p>
    <w:p w14:paraId="102A0BAF">
      <w:pPr>
        <w:spacing w:line="240" w:lineRule="auto"/>
        <w:rPr>
          <w:rFonts w:hint="default" w:ascii="Times New Roman" w:hAnsi="Times New Roman" w:cs="Times New Roman"/>
          <w:color w:val="auto"/>
          <w:sz w:val="21"/>
          <w:szCs w:val="21"/>
          <w:highlight w:val="none"/>
        </w:rPr>
      </w:pPr>
    </w:p>
    <w:p w14:paraId="512879D4">
      <w:pPr>
        <w:spacing w:line="240" w:lineRule="auto"/>
        <w:rPr>
          <w:rFonts w:hint="default" w:ascii="Times New Roman" w:hAnsi="Times New Roman" w:cs="Times New Roman"/>
          <w:color w:val="auto"/>
          <w:sz w:val="21"/>
          <w:szCs w:val="21"/>
          <w:highlight w:val="none"/>
        </w:rPr>
      </w:pPr>
    </w:p>
    <w:p w14:paraId="0EF098EB">
      <w:pPr>
        <w:spacing w:line="240" w:lineRule="auto"/>
        <w:rPr>
          <w:rFonts w:hint="default" w:ascii="Times New Roman" w:hAnsi="Times New Roman" w:cs="Times New Roman"/>
          <w:color w:val="auto"/>
          <w:sz w:val="21"/>
          <w:szCs w:val="21"/>
          <w:highlight w:val="none"/>
        </w:rPr>
      </w:pPr>
    </w:p>
    <w:p w14:paraId="2031EC98">
      <w:pPr>
        <w:spacing w:line="240" w:lineRule="auto"/>
        <w:rPr>
          <w:rFonts w:hint="default" w:ascii="Times New Roman" w:hAnsi="Times New Roman" w:cs="Times New Roman"/>
          <w:color w:val="auto"/>
          <w:sz w:val="21"/>
          <w:szCs w:val="21"/>
          <w:highlight w:val="none"/>
        </w:rPr>
      </w:pPr>
    </w:p>
    <w:p w14:paraId="43EF1C8A">
      <w:pPr>
        <w:spacing w:line="240" w:lineRule="auto"/>
        <w:rPr>
          <w:rFonts w:hint="default" w:ascii="Times New Roman" w:hAnsi="Times New Roman" w:cs="Times New Roman"/>
          <w:color w:val="auto"/>
          <w:sz w:val="21"/>
          <w:szCs w:val="21"/>
          <w:highlight w:val="none"/>
        </w:rPr>
      </w:pPr>
    </w:p>
    <w:p w14:paraId="531F0ED1">
      <w:pPr>
        <w:autoSpaceDE w:val="0"/>
        <w:autoSpaceDN w:val="0"/>
        <w:adjustRightInd w:val="0"/>
        <w:spacing w:line="240" w:lineRule="auto"/>
        <w:jc w:val="left"/>
        <w:rPr>
          <w:rFonts w:hint="default" w:ascii="Times New Roman" w:hAnsi="Times New Roman" w:cs="Times New Roman"/>
          <w:color w:val="auto"/>
          <w:kern w:val="0"/>
          <w:sz w:val="21"/>
          <w:szCs w:val="21"/>
          <w:highlight w:val="none"/>
          <w:lang w:val="en-US" w:eastAsia="zh-CN"/>
        </w:rPr>
      </w:pPr>
    </w:p>
    <w:p w14:paraId="5F834A27">
      <w:pPr>
        <w:autoSpaceDE w:val="0"/>
        <w:autoSpaceDN w:val="0"/>
        <w:adjustRightInd w:val="0"/>
        <w:spacing w:line="240" w:lineRule="auto"/>
        <w:jc w:val="left"/>
        <w:rPr>
          <w:rFonts w:hint="default" w:ascii="Times New Roman" w:hAnsi="Times New Roman" w:cs="Times New Roman"/>
          <w:color w:val="auto"/>
          <w:kern w:val="0"/>
          <w:sz w:val="21"/>
          <w:szCs w:val="21"/>
          <w:highlight w:val="none"/>
          <w:lang w:val="en-US" w:eastAsia="zh-CN"/>
        </w:rPr>
      </w:pPr>
    </w:p>
    <w:p w14:paraId="516883D2">
      <w:pPr>
        <w:autoSpaceDE w:val="0"/>
        <w:autoSpaceDN w:val="0"/>
        <w:adjustRightInd w:val="0"/>
        <w:spacing w:line="240" w:lineRule="auto"/>
        <w:jc w:val="left"/>
        <w:rPr>
          <w:rFonts w:hint="default" w:ascii="Times New Roman" w:hAnsi="Times New Roman" w:cs="Times New Roman"/>
          <w:color w:val="auto"/>
          <w:kern w:val="0"/>
          <w:sz w:val="21"/>
          <w:szCs w:val="21"/>
          <w:highlight w:val="none"/>
          <w:lang w:val="en-US" w:eastAsia="zh-CN"/>
        </w:rPr>
      </w:pPr>
    </w:p>
    <w:p w14:paraId="33321A8E">
      <w:pPr>
        <w:rPr>
          <w:rFonts w:hint="default" w:ascii="Times New Roman" w:hAnsi="Times New Roman" w:cs="Times New Roman"/>
          <w:color w:val="auto"/>
          <w:sz w:val="21"/>
          <w:szCs w:val="21"/>
          <w:highlight w:val="none"/>
          <w:lang w:val="en-US" w:eastAsia="zh-CN"/>
        </w:rPr>
      </w:pPr>
    </w:p>
    <w:p w14:paraId="3FBCD383">
      <w:pPr>
        <w:rPr>
          <w:rFonts w:hint="default" w:ascii="Times New Roman" w:hAnsi="Times New Roman" w:cs="Times New Roman"/>
          <w:color w:val="auto"/>
          <w:sz w:val="21"/>
          <w:szCs w:val="21"/>
          <w:highlight w:val="none"/>
          <w:lang w:val="en-US" w:eastAsia="zh-CN"/>
        </w:rPr>
      </w:pPr>
    </w:p>
    <w:p w14:paraId="1C102770">
      <w:pPr>
        <w:rPr>
          <w:rFonts w:hint="default" w:ascii="Times New Roman" w:hAnsi="Times New Roman" w:cs="Times New Roman"/>
          <w:color w:val="auto"/>
          <w:sz w:val="21"/>
          <w:szCs w:val="21"/>
          <w:highlight w:val="none"/>
          <w:lang w:val="en-US" w:eastAsia="zh-CN"/>
        </w:rPr>
      </w:pPr>
    </w:p>
    <w:p w14:paraId="41086F0D">
      <w:pPr>
        <w:rPr>
          <w:rFonts w:hint="default" w:ascii="Times New Roman" w:hAnsi="Times New Roman" w:cs="Times New Roman"/>
          <w:color w:val="auto"/>
          <w:sz w:val="21"/>
          <w:szCs w:val="21"/>
          <w:highlight w:val="none"/>
          <w:lang w:val="en-US" w:eastAsia="zh-CN"/>
        </w:rPr>
      </w:pPr>
    </w:p>
    <w:p w14:paraId="41DA081C">
      <w:pPr>
        <w:rPr>
          <w:rFonts w:hint="default" w:ascii="Times New Roman" w:hAnsi="Times New Roman" w:cs="Times New Roman"/>
          <w:color w:val="auto"/>
          <w:sz w:val="21"/>
          <w:szCs w:val="21"/>
          <w:highlight w:val="none"/>
          <w:lang w:val="en-US" w:eastAsia="zh-CN"/>
        </w:rPr>
      </w:pPr>
    </w:p>
    <w:p w14:paraId="5CF2AB10">
      <w:pPr>
        <w:rPr>
          <w:rFonts w:hint="default" w:ascii="Times New Roman" w:hAnsi="Times New Roman" w:cs="Times New Roman"/>
          <w:color w:val="auto"/>
          <w:sz w:val="21"/>
          <w:szCs w:val="21"/>
          <w:highlight w:val="none"/>
          <w:lang w:val="en-US" w:eastAsia="zh-CN"/>
        </w:rPr>
      </w:pPr>
    </w:p>
    <w:p w14:paraId="010A2316">
      <w:pPr>
        <w:rPr>
          <w:rFonts w:hint="default" w:ascii="Times New Roman" w:hAnsi="Times New Roman" w:cs="Times New Roman"/>
          <w:color w:val="auto"/>
          <w:sz w:val="21"/>
          <w:szCs w:val="21"/>
          <w:highlight w:val="none"/>
          <w:lang w:val="en-US" w:eastAsia="zh-CN"/>
        </w:rPr>
      </w:pPr>
    </w:p>
    <w:p w14:paraId="277FBCE5">
      <w:pPr>
        <w:rPr>
          <w:rFonts w:hint="default" w:ascii="Times New Roman" w:hAnsi="Times New Roman" w:cs="Times New Roman"/>
          <w:color w:val="auto"/>
          <w:sz w:val="21"/>
          <w:szCs w:val="21"/>
          <w:highlight w:val="none"/>
          <w:lang w:val="en-US" w:eastAsia="zh-CN"/>
        </w:rPr>
      </w:pPr>
    </w:p>
    <w:p w14:paraId="32E8E2F7">
      <w:pPr>
        <w:rPr>
          <w:rFonts w:hint="default" w:ascii="Times New Roman" w:hAnsi="Times New Roman" w:cs="Times New Roman"/>
          <w:color w:val="auto"/>
          <w:sz w:val="21"/>
          <w:szCs w:val="21"/>
          <w:highlight w:val="none"/>
          <w:lang w:val="en-US" w:eastAsia="zh-CN"/>
        </w:rPr>
      </w:pPr>
    </w:p>
    <w:p w14:paraId="55CB3E61">
      <w:pPr>
        <w:rPr>
          <w:rFonts w:hint="default" w:ascii="Times New Roman" w:hAnsi="Times New Roman" w:cs="Times New Roman"/>
          <w:color w:val="auto"/>
          <w:sz w:val="21"/>
          <w:szCs w:val="21"/>
          <w:highlight w:val="none"/>
          <w:lang w:val="en-US" w:eastAsia="zh-CN"/>
        </w:rPr>
      </w:pPr>
    </w:p>
    <w:p w14:paraId="19425696">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default" w:ascii="Times New Roman" w:hAnsi="Times New Roman" w:cs="Times New Roman"/>
          <w:bCs/>
          <w:color w:val="auto"/>
          <w:kern w:val="0"/>
          <w:sz w:val="21"/>
          <w:szCs w:val="21"/>
          <w:highlight w:val="none"/>
        </w:rPr>
      </w:pPr>
      <w:r>
        <w:rPr>
          <w:rFonts w:hint="default" w:ascii="Times New Roman" w:hAnsi="Times New Roman" w:cs="Times New Roman"/>
          <w:bCs/>
          <w:color w:val="auto"/>
          <w:kern w:val="0"/>
          <w:sz w:val="21"/>
          <w:szCs w:val="21"/>
          <w:highlight w:val="none"/>
          <w:lang w:val="en-US" w:eastAsia="zh-CN"/>
        </w:rPr>
        <w:t xml:space="preserve">Analaysis: </w:t>
      </w:r>
      <w:r>
        <w:rPr>
          <w:rFonts w:hint="default" w:ascii="Times New Roman" w:hAnsi="Times New Roman" w:cs="Times New Roman"/>
          <w:bCs/>
          <w:color w:val="auto"/>
          <w:kern w:val="0"/>
          <w:sz w:val="21"/>
          <w:szCs w:val="21"/>
          <w:highlight w:val="none"/>
        </w:rPr>
        <w:t>To ensure the robustness of our results and mitigate the influence of omitted variables and random interference factors, we employ Placebo tests (Hartman &amp; Hidalgo, 2018; Puig-Codina et al., 2020; Lu et al., 2021). Given the similarity between Chengdu and Chongqing in terms of economic and cultural levels, the hospital's operations are significantly impacted by the Diagnosis Related Groups (DRGs) policy and the implementation of the Resource-Based Relative Value Scale (RBRVS) performance system. Therefore, we construct a double difference DID model, setting Chongqing as the experimental group (value = 1) and Chengdu as the non-experimental group (value = 0). A dummy variable is used to indicate hospital performance under the DRGs and RBRVS systems; if these systems are implemented, the value is set to 1, otherwise it is 0. The relevant double difference model is presented as model (</w:t>
      </w:r>
      <w:r>
        <w:rPr>
          <w:rFonts w:hint="default" w:ascii="Times New Roman" w:hAnsi="Times New Roman" w:cs="Times New Roman"/>
          <w:bCs/>
          <w:color w:val="auto"/>
          <w:kern w:val="0"/>
          <w:sz w:val="21"/>
          <w:szCs w:val="21"/>
          <w:highlight w:val="none"/>
          <w:lang w:val="en-US" w:eastAsia="zh-CN"/>
        </w:rPr>
        <w:t>2</w:t>
      </w:r>
      <w:r>
        <w:rPr>
          <w:rFonts w:hint="default" w:ascii="Times New Roman" w:hAnsi="Times New Roman" w:cs="Times New Roman"/>
          <w:bCs/>
          <w:color w:val="auto"/>
          <w:kern w:val="0"/>
          <w:sz w:val="21"/>
          <w:szCs w:val="21"/>
          <w:highlight w:val="none"/>
        </w:rPr>
        <w:t>):</w:t>
      </w:r>
    </w:p>
    <w:p w14:paraId="3719A928">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default" w:ascii="Times New Roman" w:hAnsi="Times New Roman" w:cs="Times New Roman"/>
          <w:bCs/>
          <w:color w:val="auto"/>
          <w:kern w:val="0"/>
          <w:sz w:val="21"/>
          <w:szCs w:val="21"/>
          <w:highlight w:val="none"/>
        </w:rPr>
      </w:pPr>
    </w:p>
    <w:p w14:paraId="750AEE5B">
      <w:pPr>
        <w:pStyle w:val="2"/>
        <w:keepNext w:val="0"/>
        <w:keepLines w:val="0"/>
        <w:pageBreakBefore w:val="0"/>
        <w:widowControl w:val="0"/>
        <w:kinsoku/>
        <w:wordWrap/>
        <w:overflowPunct/>
        <w:topLinePunct w:val="0"/>
        <w:bidi w:val="0"/>
        <w:snapToGrid/>
        <w:spacing w:before="69" w:line="240" w:lineRule="auto"/>
        <w:jc w:val="both"/>
        <w:textAlignment w:val="auto"/>
        <w:rPr>
          <w:rFonts w:hint="default" w:ascii="Times New Roman" w:hAnsi="Times New Roman" w:eastAsia="宋体" w:cs="Times New Roman"/>
          <w:i/>
          <w:iCs/>
          <w:color w:val="auto"/>
          <w:spacing w:val="5"/>
          <w:sz w:val="21"/>
          <w:szCs w:val="21"/>
          <w:highlight w:val="none"/>
        </w:rPr>
      </w:pPr>
      <w:r>
        <w:rPr>
          <w:rFonts w:hint="default" w:ascii="Times New Roman" w:hAnsi="Times New Roman" w:cs="Times New Roman"/>
          <w:b/>
          <w:bCs/>
          <w:i/>
          <w:iCs/>
          <w:color w:val="auto"/>
          <w:spacing w:val="11"/>
          <w:position w:val="4"/>
          <w:sz w:val="21"/>
          <w:szCs w:val="21"/>
          <w:highlight w:val="none"/>
          <w:lang w:eastAsia="zh-CN"/>
        </w:rPr>
        <w:t>Y</w:t>
      </w:r>
      <w:r>
        <w:rPr>
          <w:rFonts w:hint="default" w:ascii="Times New Roman" w:hAnsi="Times New Roman" w:eastAsia="宋体" w:cs="Times New Roman"/>
          <w:b/>
          <w:bCs/>
          <w:i/>
          <w:iCs/>
          <w:color w:val="auto"/>
          <w:spacing w:val="-16"/>
          <w:position w:val="4"/>
          <w:sz w:val="21"/>
          <w:szCs w:val="21"/>
          <w:highlight w:val="none"/>
          <w:vertAlign w:val="subscript"/>
          <w:lang w:eastAsia="zh-CN"/>
        </w:rPr>
        <w:t>i t</w:t>
      </w:r>
      <w:r>
        <w:rPr>
          <w:rFonts w:hint="default" w:ascii="Times New Roman" w:hAnsi="Times New Roman" w:cs="Times New Roman"/>
          <w:b/>
          <w:bCs/>
          <w:i/>
          <w:iCs/>
          <w:color w:val="auto"/>
          <w:spacing w:val="11"/>
          <w:position w:val="4"/>
          <w:sz w:val="21"/>
          <w:szCs w:val="21"/>
          <w:highlight w:val="none"/>
        </w:rPr>
        <w:t>=β</w:t>
      </w:r>
      <w:r>
        <w:rPr>
          <w:rFonts w:hint="default" w:ascii="Times New Roman" w:hAnsi="Times New Roman" w:cs="Times New Roman"/>
          <w:b/>
          <w:bCs/>
          <w:i/>
          <w:iCs/>
          <w:color w:val="auto"/>
          <w:spacing w:val="11"/>
          <w:position w:val="3"/>
          <w:sz w:val="21"/>
          <w:szCs w:val="21"/>
          <w:highlight w:val="none"/>
          <w:vertAlign w:val="subscript"/>
        </w:rPr>
        <w:t>1</w:t>
      </w:r>
      <w:r>
        <w:rPr>
          <w:rFonts w:hint="default" w:ascii="Times New Roman" w:hAnsi="Times New Roman" w:cs="Times New Roman"/>
          <w:b/>
          <w:bCs/>
          <w:i/>
          <w:iCs/>
          <w:color w:val="auto"/>
          <w:spacing w:val="-17"/>
          <w:position w:val="3"/>
          <w:sz w:val="21"/>
          <w:szCs w:val="21"/>
          <w:highlight w:val="none"/>
        </w:rPr>
        <w:t xml:space="preserve"> </w:t>
      </w:r>
      <w:r>
        <w:rPr>
          <w:rFonts w:hint="default" w:ascii="Times New Roman" w:hAnsi="Times New Roman" w:eastAsia="宋体" w:cs="Times New Roman"/>
          <w:i/>
          <w:iCs/>
          <w:color w:val="auto"/>
          <w:spacing w:val="11"/>
          <w:position w:val="4"/>
          <w:sz w:val="21"/>
          <w:szCs w:val="21"/>
          <w:highlight w:val="none"/>
        </w:rPr>
        <w:t>+</w:t>
      </w:r>
      <w:r>
        <w:rPr>
          <w:rFonts w:hint="default" w:ascii="Times New Roman" w:hAnsi="Times New Roman" w:cs="Times New Roman"/>
          <w:b/>
          <w:bCs/>
          <w:i/>
          <w:iCs/>
          <w:color w:val="auto"/>
          <w:spacing w:val="11"/>
          <w:position w:val="4"/>
          <w:sz w:val="21"/>
          <w:szCs w:val="21"/>
          <w:highlight w:val="none"/>
        </w:rPr>
        <w:t>β</w:t>
      </w:r>
      <w:r>
        <w:rPr>
          <w:rFonts w:hint="default" w:ascii="Times New Roman" w:hAnsi="Times New Roman" w:cs="Times New Roman"/>
          <w:b/>
          <w:bCs/>
          <w:i/>
          <w:iCs/>
          <w:color w:val="auto"/>
          <w:spacing w:val="11"/>
          <w:position w:val="3"/>
          <w:sz w:val="21"/>
          <w:szCs w:val="21"/>
          <w:highlight w:val="none"/>
          <w:vertAlign w:val="subscript"/>
        </w:rPr>
        <w:t>2</w:t>
      </w:r>
      <w:r>
        <w:rPr>
          <w:rFonts w:hint="default" w:ascii="Times New Roman" w:hAnsi="Times New Roman" w:cs="Times New Roman"/>
          <w:b/>
          <w:bCs/>
          <w:i/>
          <w:iCs/>
          <w:color w:val="auto"/>
          <w:spacing w:val="-6"/>
          <w:position w:val="3"/>
          <w:sz w:val="21"/>
          <w:szCs w:val="21"/>
          <w:highlight w:val="none"/>
        </w:rPr>
        <w:t xml:space="preserve"> </w:t>
      </w:r>
      <w:r>
        <w:rPr>
          <w:rFonts w:hint="default" w:ascii="Times New Roman" w:hAnsi="Times New Roman" w:cs="Times New Roman"/>
          <w:b/>
          <w:bCs/>
          <w:i/>
          <w:iCs/>
          <w:color w:val="auto"/>
          <w:spacing w:val="11"/>
          <w:position w:val="4"/>
          <w:sz w:val="21"/>
          <w:szCs w:val="21"/>
          <w:highlight w:val="none"/>
          <w:lang w:eastAsia="zh-CN"/>
        </w:rPr>
        <w:t>Hospital</w:t>
      </w:r>
      <w:r>
        <w:rPr>
          <w:rFonts w:hint="default" w:ascii="Times New Roman" w:hAnsi="Times New Roman" w:cs="Times New Roman"/>
          <w:b/>
          <w:bCs/>
          <w:i/>
          <w:iCs/>
          <w:color w:val="auto"/>
          <w:spacing w:val="-13"/>
          <w:position w:val="4"/>
          <w:sz w:val="21"/>
          <w:szCs w:val="21"/>
          <w:highlight w:val="none"/>
        </w:rPr>
        <w:t xml:space="preserve"> </w:t>
      </w:r>
      <w:r>
        <w:rPr>
          <w:rFonts w:hint="default" w:ascii="Times New Roman" w:hAnsi="Times New Roman" w:eastAsia="宋体" w:cs="Times New Roman"/>
          <w:b/>
          <w:bCs/>
          <w:i/>
          <w:iCs/>
          <w:color w:val="auto"/>
          <w:spacing w:val="-16"/>
          <w:position w:val="4"/>
          <w:sz w:val="21"/>
          <w:szCs w:val="21"/>
          <w:highlight w:val="none"/>
          <w:vertAlign w:val="subscript"/>
          <w:lang w:eastAsia="zh-CN"/>
        </w:rPr>
        <w:t>i t</w:t>
      </w:r>
      <w:r>
        <w:rPr>
          <w:rFonts w:hint="default" w:ascii="Times New Roman" w:hAnsi="Times New Roman" w:cs="Times New Roman"/>
          <w:color w:val="auto"/>
          <w:spacing w:val="11"/>
          <w:position w:val="4"/>
          <w:sz w:val="21"/>
          <w:szCs w:val="21"/>
          <w:highlight w:val="none"/>
          <w:lang w:eastAsia="zh-CN"/>
        </w:rPr>
        <w:t>×</w:t>
      </w:r>
      <w:r>
        <w:rPr>
          <w:rFonts w:hint="default" w:ascii="Times New Roman" w:hAnsi="Times New Roman" w:cs="Times New Roman"/>
          <w:b/>
          <w:bCs/>
          <w:i/>
          <w:iCs/>
          <w:color w:val="auto"/>
          <w:spacing w:val="11"/>
          <w:position w:val="4"/>
          <w:sz w:val="21"/>
          <w:szCs w:val="21"/>
          <w:highlight w:val="none"/>
          <w:lang w:eastAsia="zh-CN"/>
        </w:rPr>
        <w:t>After</w:t>
      </w:r>
      <w:r>
        <w:rPr>
          <w:rFonts w:hint="default" w:ascii="Times New Roman" w:hAnsi="Times New Roman" w:cs="Times New Roman"/>
          <w:b/>
          <w:bCs/>
          <w:i/>
          <w:iCs/>
          <w:color w:val="auto"/>
          <w:spacing w:val="-13"/>
          <w:position w:val="4"/>
          <w:sz w:val="21"/>
          <w:szCs w:val="21"/>
          <w:highlight w:val="none"/>
        </w:rPr>
        <w:t xml:space="preserve"> </w:t>
      </w:r>
      <w:r>
        <w:rPr>
          <w:rFonts w:hint="default" w:ascii="Times New Roman" w:hAnsi="Times New Roman" w:eastAsia="宋体" w:cs="Times New Roman"/>
          <w:b/>
          <w:bCs/>
          <w:i/>
          <w:iCs/>
          <w:color w:val="auto"/>
          <w:spacing w:val="-16"/>
          <w:position w:val="4"/>
          <w:sz w:val="21"/>
          <w:szCs w:val="21"/>
          <w:highlight w:val="none"/>
          <w:vertAlign w:val="subscript"/>
          <w:lang w:eastAsia="zh-CN"/>
        </w:rPr>
        <w:t>i t</w:t>
      </w:r>
      <w:r>
        <w:rPr>
          <w:rFonts w:hint="default" w:ascii="Times New Roman" w:hAnsi="Times New Roman" w:eastAsia="宋体" w:cs="Times New Roman"/>
          <w:i/>
          <w:iCs/>
          <w:color w:val="auto"/>
          <w:spacing w:val="11"/>
          <w:position w:val="4"/>
          <w:sz w:val="21"/>
          <w:szCs w:val="21"/>
          <w:highlight w:val="none"/>
        </w:rPr>
        <w:t>+</w:t>
      </w:r>
      <w:r>
        <w:rPr>
          <w:rFonts w:hint="default" w:ascii="Times New Roman" w:hAnsi="Times New Roman" w:cs="Times New Roman"/>
          <w:b/>
          <w:bCs/>
          <w:i/>
          <w:iCs/>
          <w:color w:val="auto"/>
          <w:spacing w:val="11"/>
          <w:position w:val="4"/>
          <w:sz w:val="21"/>
          <w:szCs w:val="21"/>
          <w:highlight w:val="none"/>
        </w:rPr>
        <w:t>β</w:t>
      </w:r>
      <w:r>
        <w:rPr>
          <w:rFonts w:hint="default" w:ascii="Times New Roman" w:hAnsi="Times New Roman" w:cs="Times New Roman"/>
          <w:b/>
          <w:bCs/>
          <w:i/>
          <w:iCs/>
          <w:color w:val="auto"/>
          <w:spacing w:val="11"/>
          <w:position w:val="3"/>
          <w:sz w:val="21"/>
          <w:szCs w:val="21"/>
          <w:highlight w:val="none"/>
          <w:vertAlign w:val="subscript"/>
        </w:rPr>
        <w:t>3</w:t>
      </w:r>
      <w:r>
        <w:rPr>
          <w:rFonts w:hint="default" w:ascii="Times New Roman" w:hAnsi="Times New Roman" w:eastAsia="宋体" w:cs="Times New Roman"/>
          <w:b/>
          <w:bCs/>
          <w:i/>
          <w:iCs/>
          <w:color w:val="auto"/>
          <w:spacing w:val="17"/>
          <w:sz w:val="21"/>
          <w:szCs w:val="21"/>
          <w:highlight w:val="none"/>
          <w:lang w:eastAsia="zh-CN"/>
        </w:rPr>
        <w:t>Time</w:t>
      </w:r>
      <w:r>
        <w:rPr>
          <w:rFonts w:hint="default" w:ascii="Times New Roman" w:hAnsi="Times New Roman" w:eastAsia="宋体" w:cs="Times New Roman"/>
          <w:b/>
          <w:bCs/>
          <w:i/>
          <w:iCs/>
          <w:color w:val="auto"/>
          <w:spacing w:val="17"/>
          <w:sz w:val="21"/>
          <w:szCs w:val="21"/>
          <w:highlight w:val="none"/>
          <w:vertAlign w:val="subscript"/>
          <w:lang w:eastAsia="zh-CN"/>
        </w:rPr>
        <w:t>t</w:t>
      </w:r>
      <w:r>
        <w:rPr>
          <w:rFonts w:hint="default" w:ascii="Times New Roman" w:hAnsi="Times New Roman" w:eastAsia="宋体" w:cs="Times New Roman"/>
          <w:i/>
          <w:iCs/>
          <w:color w:val="auto"/>
          <w:spacing w:val="10"/>
          <w:position w:val="4"/>
          <w:sz w:val="21"/>
          <w:szCs w:val="21"/>
          <w:highlight w:val="none"/>
        </w:rPr>
        <w:t>+</w:t>
      </w:r>
      <w:r>
        <w:rPr>
          <w:rFonts w:hint="default" w:ascii="Times New Roman" w:hAnsi="Times New Roman" w:cs="Times New Roman"/>
          <w:b/>
          <w:bCs/>
          <w:i/>
          <w:iCs/>
          <w:color w:val="auto"/>
          <w:spacing w:val="10"/>
          <w:position w:val="4"/>
          <w:sz w:val="21"/>
          <w:szCs w:val="21"/>
          <w:highlight w:val="none"/>
        </w:rPr>
        <w:t>β</w:t>
      </w:r>
      <w:r>
        <w:rPr>
          <w:rFonts w:hint="default" w:ascii="Times New Roman" w:hAnsi="Times New Roman" w:cs="Times New Roman"/>
          <w:b/>
          <w:bCs/>
          <w:i/>
          <w:iCs/>
          <w:color w:val="auto"/>
          <w:spacing w:val="10"/>
          <w:position w:val="3"/>
          <w:sz w:val="21"/>
          <w:szCs w:val="21"/>
          <w:highlight w:val="none"/>
          <w:vertAlign w:val="subscript"/>
        </w:rPr>
        <w:t>4</w:t>
      </w:r>
      <w:r>
        <w:rPr>
          <w:rFonts w:hint="default" w:ascii="Times New Roman" w:hAnsi="Times New Roman" w:eastAsia="宋体" w:cs="Times New Roman"/>
          <w:b/>
          <w:bCs/>
          <w:i/>
          <w:iCs/>
          <w:color w:val="auto"/>
          <w:spacing w:val="17"/>
          <w:sz w:val="21"/>
          <w:szCs w:val="21"/>
          <w:highlight w:val="none"/>
          <w:lang w:eastAsia="zh-CN"/>
        </w:rPr>
        <w:t>Sec</w:t>
      </w:r>
      <w:r>
        <w:rPr>
          <w:rFonts w:hint="default" w:ascii="Times New Roman" w:hAnsi="Times New Roman" w:eastAsia="宋体" w:cs="Times New Roman"/>
          <w:b/>
          <w:bCs/>
          <w:i/>
          <w:iCs/>
          <w:color w:val="auto"/>
          <w:spacing w:val="17"/>
          <w:sz w:val="21"/>
          <w:szCs w:val="21"/>
          <w:highlight w:val="none"/>
          <w:vertAlign w:val="subscript"/>
          <w:lang w:eastAsia="zh-CN"/>
        </w:rPr>
        <w:t>it</w:t>
      </w:r>
      <w:r>
        <w:rPr>
          <w:rFonts w:hint="default" w:ascii="Times New Roman" w:hAnsi="Times New Roman" w:eastAsia="宋体" w:cs="Times New Roman"/>
          <w:i/>
          <w:iCs/>
          <w:color w:val="auto"/>
          <w:spacing w:val="5"/>
          <w:sz w:val="21"/>
          <w:szCs w:val="21"/>
          <w:highlight w:val="none"/>
        </w:rPr>
        <w:t>+</w:t>
      </w:r>
      <w:r>
        <w:rPr>
          <w:rFonts w:hint="default" w:ascii="Times New Roman" w:hAnsi="Times New Roman" w:cs="Times New Roman"/>
          <w:b/>
          <w:bCs/>
          <w:i/>
          <w:iCs/>
          <w:color w:val="auto"/>
          <w:spacing w:val="5"/>
          <w:sz w:val="21"/>
          <w:szCs w:val="21"/>
          <w:highlight w:val="none"/>
        </w:rPr>
        <w:t>α</w:t>
      </w:r>
      <w:r>
        <w:rPr>
          <w:rFonts w:hint="default" w:ascii="Times New Roman" w:hAnsi="Times New Roman" w:eastAsia="宋体" w:cs="Times New Roman"/>
          <w:b/>
          <w:bCs/>
          <w:i/>
          <w:iCs/>
          <w:color w:val="auto"/>
          <w:spacing w:val="5"/>
          <w:sz w:val="21"/>
          <w:szCs w:val="21"/>
          <w:highlight w:val="none"/>
          <w:vertAlign w:val="subscript"/>
          <w:lang w:eastAsia="zh-CN"/>
        </w:rPr>
        <w:t>i</w:t>
      </w:r>
      <w:r>
        <w:rPr>
          <w:rFonts w:hint="default" w:ascii="Times New Roman" w:hAnsi="Times New Roman" w:cs="Times New Roman"/>
          <w:b/>
          <w:bCs/>
          <w:i/>
          <w:iCs/>
          <w:color w:val="auto"/>
          <w:spacing w:val="5"/>
          <w:position w:val="-1"/>
          <w:sz w:val="21"/>
          <w:szCs w:val="21"/>
          <w:highlight w:val="none"/>
        </w:rPr>
        <w:t xml:space="preserve">t </w:t>
      </w:r>
      <w:r>
        <w:rPr>
          <w:rFonts w:hint="default" w:ascii="Times New Roman" w:hAnsi="Times New Roman" w:cs="Times New Roman"/>
          <w:b/>
          <w:bCs/>
          <w:color w:val="auto"/>
          <w:spacing w:val="5"/>
          <w:sz w:val="21"/>
          <w:szCs w:val="21"/>
          <w:highlight w:val="none"/>
        </w:rPr>
        <w:t>.............................................</w:t>
      </w:r>
      <w:r>
        <w:rPr>
          <w:rFonts w:hint="default" w:ascii="Times New Roman" w:hAnsi="Times New Roman" w:eastAsia="宋体" w:cs="Times New Roman"/>
          <w:color w:val="auto"/>
          <w:spacing w:val="5"/>
          <w:sz w:val="21"/>
          <w:szCs w:val="21"/>
          <w:highlight w:val="none"/>
        </w:rPr>
        <w:t>（</w:t>
      </w:r>
      <w:r>
        <w:rPr>
          <w:rFonts w:hint="default" w:ascii="Times New Roman" w:hAnsi="Times New Roman" w:eastAsia="宋体" w:cs="Times New Roman"/>
          <w:b/>
          <w:bCs/>
          <w:i/>
          <w:iCs/>
          <w:color w:val="auto"/>
          <w:spacing w:val="5"/>
          <w:sz w:val="21"/>
          <w:szCs w:val="21"/>
          <w:highlight w:val="none"/>
          <w:lang w:val="en-US" w:eastAsia="zh-CN"/>
        </w:rPr>
        <w:t>2</w:t>
      </w:r>
      <w:r>
        <w:rPr>
          <w:rFonts w:hint="default" w:ascii="Times New Roman" w:hAnsi="Times New Roman" w:eastAsia="宋体" w:cs="Times New Roman"/>
          <w:i/>
          <w:iCs/>
          <w:color w:val="auto"/>
          <w:spacing w:val="5"/>
          <w:sz w:val="21"/>
          <w:szCs w:val="21"/>
          <w:highlight w:val="none"/>
        </w:rPr>
        <w:t>）</w:t>
      </w:r>
    </w:p>
    <w:p w14:paraId="53363919">
      <w:pPr>
        <w:pStyle w:val="2"/>
        <w:keepNext w:val="0"/>
        <w:keepLines w:val="0"/>
        <w:pageBreakBefore w:val="0"/>
        <w:widowControl w:val="0"/>
        <w:kinsoku/>
        <w:wordWrap/>
        <w:overflowPunct/>
        <w:topLinePunct w:val="0"/>
        <w:bidi w:val="0"/>
        <w:snapToGrid/>
        <w:spacing w:before="69" w:line="240" w:lineRule="auto"/>
        <w:jc w:val="both"/>
        <w:textAlignment w:val="auto"/>
        <w:rPr>
          <w:rFonts w:hint="default" w:ascii="Times New Roman" w:hAnsi="Times New Roman" w:eastAsia="宋体" w:cs="Times New Roman"/>
          <w:i/>
          <w:iCs/>
          <w:color w:val="auto"/>
          <w:spacing w:val="5"/>
          <w:sz w:val="21"/>
          <w:szCs w:val="21"/>
          <w:highlight w:val="none"/>
        </w:rPr>
      </w:pPr>
    </w:p>
    <w:p w14:paraId="1AC1D60E">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default" w:ascii="Times New Roman" w:hAnsi="Times New Roman" w:cs="Times New Roman"/>
          <w:bCs/>
          <w:color w:val="auto"/>
          <w:kern w:val="0"/>
          <w:sz w:val="21"/>
          <w:szCs w:val="21"/>
          <w:highlight w:val="none"/>
        </w:rPr>
      </w:pPr>
      <w:r>
        <w:rPr>
          <w:rFonts w:hint="default" w:ascii="Times New Roman" w:hAnsi="Times New Roman" w:cs="Times New Roman"/>
          <w:bCs/>
          <w:color w:val="auto"/>
          <w:kern w:val="0"/>
          <w:sz w:val="21"/>
          <w:szCs w:val="21"/>
          <w:highlight w:val="none"/>
        </w:rPr>
        <w:t>In model (</w:t>
      </w:r>
      <w:r>
        <w:rPr>
          <w:rFonts w:hint="default" w:ascii="Times New Roman" w:hAnsi="Times New Roman" w:cs="Times New Roman"/>
          <w:bCs/>
          <w:color w:val="auto"/>
          <w:kern w:val="0"/>
          <w:sz w:val="21"/>
          <w:szCs w:val="21"/>
          <w:highlight w:val="none"/>
          <w:lang w:val="en-US" w:eastAsia="zh-CN"/>
        </w:rPr>
        <w:t>2</w:t>
      </w:r>
      <w:r>
        <w:rPr>
          <w:rFonts w:hint="default" w:ascii="Times New Roman" w:hAnsi="Times New Roman" w:cs="Times New Roman"/>
          <w:bCs/>
          <w:color w:val="auto"/>
          <w:kern w:val="0"/>
          <w:sz w:val="21"/>
          <w:szCs w:val="21"/>
          <w:highlight w:val="none"/>
        </w:rPr>
        <w:t xml:space="preserve">), </w:t>
      </w:r>
      <w:r>
        <w:rPr>
          <w:rFonts w:hint="default" w:ascii="Times New Roman" w:hAnsi="Times New Roman" w:cs="Times New Roman"/>
          <w:b/>
          <w:i/>
          <w:iCs/>
          <w:color w:val="auto"/>
          <w:kern w:val="0"/>
          <w:sz w:val="21"/>
          <w:szCs w:val="21"/>
          <w:highlight w:val="none"/>
        </w:rPr>
        <w:t>Y</w:t>
      </w:r>
      <w:r>
        <w:rPr>
          <w:rFonts w:hint="default" w:ascii="Times New Roman" w:hAnsi="Times New Roman" w:cs="Times New Roman"/>
          <w:b/>
          <w:i/>
          <w:iCs/>
          <w:color w:val="auto"/>
          <w:kern w:val="0"/>
          <w:sz w:val="21"/>
          <w:szCs w:val="21"/>
          <w:highlight w:val="none"/>
          <w:vertAlign w:val="subscript"/>
        </w:rPr>
        <w:t>it</w:t>
      </w:r>
      <w:r>
        <w:rPr>
          <w:rFonts w:hint="default" w:ascii="Times New Roman" w:hAnsi="Times New Roman" w:cs="Times New Roman"/>
          <w:bCs/>
          <w:color w:val="auto"/>
          <w:kern w:val="0"/>
          <w:sz w:val="21"/>
          <w:szCs w:val="21"/>
          <w:highlight w:val="none"/>
        </w:rPr>
        <w:t xml:space="preserve"> represents the EVLN behaviors (exit, voice, loyalty, and neglect) of nurses in hospital. "</w:t>
      </w:r>
      <w:r>
        <w:rPr>
          <w:rFonts w:hint="default" w:ascii="Times New Roman" w:hAnsi="Times New Roman" w:cs="Times New Roman"/>
          <w:b/>
          <w:i/>
          <w:iCs/>
          <w:color w:val="auto"/>
          <w:kern w:val="0"/>
          <w:sz w:val="21"/>
          <w:szCs w:val="21"/>
          <w:highlight w:val="none"/>
        </w:rPr>
        <w:t>After</w:t>
      </w:r>
      <w:r>
        <w:rPr>
          <w:rFonts w:hint="default" w:ascii="Times New Roman" w:hAnsi="Times New Roman" w:cs="Times New Roman"/>
          <w:b/>
          <w:i/>
          <w:iCs/>
          <w:color w:val="auto"/>
          <w:kern w:val="0"/>
          <w:sz w:val="21"/>
          <w:szCs w:val="21"/>
          <w:highlight w:val="none"/>
          <w:vertAlign w:val="subscript"/>
        </w:rPr>
        <w:t>it</w:t>
      </w:r>
      <w:r>
        <w:rPr>
          <w:rFonts w:hint="default" w:ascii="Times New Roman" w:hAnsi="Times New Roman" w:cs="Times New Roman"/>
          <w:bCs/>
          <w:color w:val="auto"/>
          <w:kern w:val="0"/>
          <w:sz w:val="21"/>
          <w:szCs w:val="21"/>
          <w:highlight w:val="none"/>
        </w:rPr>
        <w:t>" is a dummy variable indicating the implementation of DRGs and RBRVS, with a value of 1 for hospitals that have implemented these systems and 0 otherwise. "</w:t>
      </w:r>
      <w:r>
        <w:rPr>
          <w:rFonts w:hint="default" w:ascii="Times New Roman" w:hAnsi="Times New Roman" w:cs="Times New Roman"/>
          <w:b/>
          <w:i/>
          <w:iCs/>
          <w:color w:val="auto"/>
          <w:kern w:val="0"/>
          <w:sz w:val="21"/>
          <w:szCs w:val="21"/>
          <w:highlight w:val="none"/>
        </w:rPr>
        <w:t>Hospital</w:t>
      </w:r>
      <w:r>
        <w:rPr>
          <w:rFonts w:hint="default" w:ascii="Times New Roman" w:hAnsi="Times New Roman" w:cs="Times New Roman"/>
          <w:b/>
          <w:i/>
          <w:iCs/>
          <w:color w:val="auto"/>
          <w:kern w:val="0"/>
          <w:sz w:val="21"/>
          <w:szCs w:val="21"/>
          <w:highlight w:val="none"/>
          <w:vertAlign w:val="subscript"/>
        </w:rPr>
        <w:t>it</w:t>
      </w:r>
      <w:r>
        <w:rPr>
          <w:rFonts w:hint="default" w:ascii="Times New Roman" w:hAnsi="Times New Roman" w:cs="Times New Roman"/>
          <w:bCs/>
          <w:color w:val="auto"/>
          <w:kern w:val="0"/>
          <w:sz w:val="21"/>
          <w:szCs w:val="21"/>
          <w:highlight w:val="none"/>
        </w:rPr>
        <w:t>" is a dummy variable for the treatment group, indicating whether the hospital is located in Chengdu or Chongqing, with a value of 1 for hospitals in Chongqing and 0 otherwise. "</w:t>
      </w:r>
      <w:r>
        <w:rPr>
          <w:rFonts w:hint="default" w:ascii="Times New Roman" w:hAnsi="Times New Roman" w:cs="Times New Roman"/>
          <w:b/>
          <w:i/>
          <w:iCs/>
          <w:color w:val="auto"/>
          <w:kern w:val="0"/>
          <w:sz w:val="21"/>
          <w:szCs w:val="21"/>
          <w:highlight w:val="none"/>
        </w:rPr>
        <w:t>Hospital</w:t>
      </w:r>
      <w:r>
        <w:rPr>
          <w:rFonts w:hint="default" w:ascii="Times New Roman" w:hAnsi="Times New Roman" w:cs="Times New Roman"/>
          <w:b/>
          <w:i/>
          <w:iCs/>
          <w:color w:val="auto"/>
          <w:kern w:val="0"/>
          <w:sz w:val="21"/>
          <w:szCs w:val="21"/>
          <w:highlight w:val="none"/>
          <w:vertAlign w:val="subscript"/>
        </w:rPr>
        <w:t>it</w:t>
      </w:r>
      <w:r>
        <w:rPr>
          <w:rFonts w:hint="default" w:ascii="Times New Roman" w:hAnsi="Times New Roman" w:cs="Times New Roman"/>
          <w:b/>
          <w:i/>
          <w:iCs/>
          <w:color w:val="auto"/>
          <w:kern w:val="0"/>
          <w:sz w:val="21"/>
          <w:szCs w:val="21"/>
          <w:highlight w:val="none"/>
        </w:rPr>
        <w:t>×After</w:t>
      </w:r>
      <w:r>
        <w:rPr>
          <w:rFonts w:hint="default" w:ascii="Times New Roman" w:hAnsi="Times New Roman" w:cs="Times New Roman"/>
          <w:b/>
          <w:i/>
          <w:iCs/>
          <w:color w:val="auto"/>
          <w:kern w:val="0"/>
          <w:sz w:val="21"/>
          <w:szCs w:val="21"/>
          <w:highlight w:val="none"/>
          <w:vertAlign w:val="subscript"/>
        </w:rPr>
        <w:t>it</w:t>
      </w:r>
      <w:r>
        <w:rPr>
          <w:rFonts w:hint="default" w:ascii="Times New Roman" w:hAnsi="Times New Roman" w:cs="Times New Roman"/>
          <w:bCs/>
          <w:color w:val="auto"/>
          <w:kern w:val="0"/>
          <w:sz w:val="21"/>
          <w:szCs w:val="21"/>
          <w:highlight w:val="none"/>
        </w:rPr>
        <w:t>" is a double difference interaction term, used to estimate the impact of nurses' job dissatisfaction on EVLN behaviors considering the effects of location, DRGs policy, and RBRVS performance. "</w:t>
      </w:r>
      <w:r>
        <w:rPr>
          <w:rFonts w:hint="default" w:ascii="Times New Roman" w:hAnsi="Times New Roman" w:cs="Times New Roman"/>
          <w:b/>
          <w:i/>
          <w:iCs/>
          <w:color w:val="auto"/>
          <w:kern w:val="0"/>
          <w:sz w:val="21"/>
          <w:szCs w:val="21"/>
          <w:highlight w:val="none"/>
        </w:rPr>
        <w:t>Time</w:t>
      </w:r>
      <w:r>
        <w:rPr>
          <w:rFonts w:hint="default" w:ascii="Times New Roman" w:hAnsi="Times New Roman" w:cs="Times New Roman"/>
          <w:b/>
          <w:i/>
          <w:iCs/>
          <w:color w:val="auto"/>
          <w:kern w:val="0"/>
          <w:sz w:val="21"/>
          <w:szCs w:val="21"/>
          <w:highlight w:val="none"/>
          <w:vertAlign w:val="subscript"/>
        </w:rPr>
        <w:t>t</w:t>
      </w:r>
      <w:r>
        <w:rPr>
          <w:rFonts w:hint="default" w:ascii="Times New Roman" w:hAnsi="Times New Roman" w:cs="Times New Roman"/>
          <w:bCs/>
          <w:color w:val="auto"/>
          <w:kern w:val="0"/>
          <w:sz w:val="21"/>
          <w:szCs w:val="21"/>
          <w:highlight w:val="none"/>
        </w:rPr>
        <w:t>" represents a fixed effect for time, "</w:t>
      </w:r>
      <w:r>
        <w:rPr>
          <w:rFonts w:hint="default" w:ascii="Times New Roman" w:hAnsi="Times New Roman" w:cs="Times New Roman"/>
          <w:b/>
          <w:i/>
          <w:iCs/>
          <w:color w:val="auto"/>
          <w:kern w:val="0"/>
          <w:sz w:val="21"/>
          <w:szCs w:val="21"/>
          <w:highlight w:val="none"/>
        </w:rPr>
        <w:t>Sec</w:t>
      </w:r>
      <w:r>
        <w:rPr>
          <w:rFonts w:hint="default" w:ascii="Times New Roman" w:hAnsi="Times New Roman" w:cs="Times New Roman"/>
          <w:b/>
          <w:i/>
          <w:iCs/>
          <w:color w:val="auto"/>
          <w:kern w:val="0"/>
          <w:sz w:val="21"/>
          <w:szCs w:val="21"/>
          <w:highlight w:val="none"/>
          <w:vertAlign w:val="subscript"/>
        </w:rPr>
        <w:t>it</w:t>
      </w:r>
      <w:r>
        <w:rPr>
          <w:rFonts w:hint="default" w:ascii="Times New Roman" w:hAnsi="Times New Roman" w:cs="Times New Roman"/>
          <w:bCs/>
          <w:color w:val="auto"/>
          <w:kern w:val="0"/>
          <w:sz w:val="21"/>
          <w:szCs w:val="21"/>
          <w:highlight w:val="none"/>
        </w:rPr>
        <w:t xml:space="preserve">" represents a section fixed effect, and </w:t>
      </w:r>
      <w:r>
        <w:rPr>
          <w:rFonts w:hint="default" w:ascii="Times New Roman" w:hAnsi="Times New Roman" w:cs="Times New Roman"/>
          <w:b/>
          <w:i/>
          <w:iCs/>
          <w:color w:val="auto"/>
          <w:kern w:val="0"/>
          <w:sz w:val="21"/>
          <w:szCs w:val="21"/>
          <w:highlight w:val="none"/>
        </w:rPr>
        <w:t>α</w:t>
      </w:r>
      <w:r>
        <w:rPr>
          <w:rFonts w:hint="default" w:ascii="Times New Roman" w:hAnsi="Times New Roman" w:cs="Times New Roman"/>
          <w:bCs/>
          <w:color w:val="auto"/>
          <w:kern w:val="0"/>
          <w:sz w:val="21"/>
          <w:szCs w:val="21"/>
          <w:highlight w:val="none"/>
        </w:rPr>
        <w:t xml:space="preserve"> is a random disturbance term. Subscripts </w:t>
      </w:r>
      <w:r>
        <w:rPr>
          <w:rFonts w:hint="default" w:ascii="Times New Roman" w:hAnsi="Times New Roman" w:cs="Times New Roman"/>
          <w:b/>
          <w:i/>
          <w:iCs/>
          <w:color w:val="auto"/>
          <w:kern w:val="0"/>
          <w:sz w:val="21"/>
          <w:szCs w:val="21"/>
          <w:highlight w:val="none"/>
        </w:rPr>
        <w:t>i</w:t>
      </w:r>
      <w:r>
        <w:rPr>
          <w:rFonts w:hint="default" w:ascii="Times New Roman" w:hAnsi="Times New Roman" w:cs="Times New Roman"/>
          <w:bCs/>
          <w:color w:val="auto"/>
          <w:kern w:val="0"/>
          <w:sz w:val="21"/>
          <w:szCs w:val="21"/>
          <w:highlight w:val="none"/>
        </w:rPr>
        <w:t xml:space="preserve"> and </w:t>
      </w:r>
      <w:r>
        <w:rPr>
          <w:rFonts w:hint="default" w:ascii="Times New Roman" w:hAnsi="Times New Roman" w:cs="Times New Roman"/>
          <w:b/>
          <w:i/>
          <w:iCs/>
          <w:color w:val="auto"/>
          <w:kern w:val="0"/>
          <w:sz w:val="21"/>
          <w:szCs w:val="21"/>
          <w:highlight w:val="none"/>
        </w:rPr>
        <w:t xml:space="preserve">t </w:t>
      </w:r>
      <w:r>
        <w:rPr>
          <w:rFonts w:hint="default" w:ascii="Times New Roman" w:hAnsi="Times New Roman" w:cs="Times New Roman"/>
          <w:bCs/>
          <w:color w:val="auto"/>
          <w:kern w:val="0"/>
          <w:sz w:val="21"/>
          <w:szCs w:val="21"/>
          <w:highlight w:val="none"/>
        </w:rPr>
        <w:t>represent individual samples and time, respectively.</w:t>
      </w:r>
    </w:p>
    <w:p w14:paraId="71458FFE">
      <w:pPr>
        <w:keepNext w:val="0"/>
        <w:keepLines w:val="0"/>
        <w:pageBreakBefore w:val="0"/>
        <w:widowControl w:val="0"/>
        <w:kinsoku/>
        <w:wordWrap/>
        <w:overflowPunct/>
        <w:topLinePunct w:val="0"/>
        <w:autoSpaceDE w:val="0"/>
        <w:autoSpaceDN w:val="0"/>
        <w:bidi w:val="0"/>
        <w:adjustRightInd w:val="0"/>
        <w:snapToGrid/>
        <w:spacing w:line="240" w:lineRule="auto"/>
        <w:ind w:firstLine="420"/>
        <w:jc w:val="both"/>
        <w:textAlignment w:val="auto"/>
        <w:rPr>
          <w:rFonts w:hint="default" w:ascii="Times New Roman" w:hAnsi="Times New Roman" w:cs="Times New Roman"/>
          <w:bCs/>
          <w:color w:val="auto"/>
          <w:kern w:val="0"/>
          <w:sz w:val="21"/>
          <w:szCs w:val="21"/>
          <w:highlight w:val="none"/>
        </w:rPr>
      </w:pPr>
      <w:r>
        <w:rPr>
          <w:rFonts w:hint="default" w:ascii="Times New Roman" w:hAnsi="Times New Roman" w:cs="Times New Roman"/>
          <w:bCs/>
          <w:color w:val="auto"/>
          <w:kern w:val="0"/>
          <w:sz w:val="21"/>
          <w:szCs w:val="21"/>
          <w:highlight w:val="none"/>
        </w:rPr>
        <w:t>We designed a randomized experiment following the methodology of previous scholars (Ferrara et al., 2012; Li et al., 2016; Lu et al., 2021) at the "performance-location" level. To enhance the robustness of our placebo tests, we repeated the process 500 times and generated a distribution diagram of the estimated coefficient for "</w:t>
      </w:r>
      <w:r>
        <w:rPr>
          <w:rFonts w:hint="default" w:ascii="Times New Roman" w:hAnsi="Times New Roman" w:cs="Times New Roman"/>
          <w:b/>
          <w:i/>
          <w:iCs/>
          <w:color w:val="auto"/>
          <w:kern w:val="0"/>
          <w:sz w:val="21"/>
          <w:szCs w:val="21"/>
          <w:highlight w:val="none"/>
        </w:rPr>
        <w:t>Hospital×After.</w:t>
      </w:r>
      <w:r>
        <w:rPr>
          <w:rFonts w:hint="default" w:ascii="Times New Roman" w:hAnsi="Times New Roman" w:cs="Times New Roman"/>
          <w:bCs/>
          <w:color w:val="auto"/>
          <w:kern w:val="0"/>
          <w:sz w:val="21"/>
          <w:szCs w:val="21"/>
          <w:highlight w:val="none"/>
        </w:rPr>
        <w:t>" This allowed us to verify if factors other than the "DRGs policy and RBRVS performance implementation" significantly affected the relationship between nurses’ job dissatisfaction and EVLN behaviors. A distribution of the estimated coefficient of "</w:t>
      </w:r>
      <w:r>
        <w:rPr>
          <w:rFonts w:hint="default" w:ascii="Times New Roman" w:hAnsi="Times New Roman" w:cs="Times New Roman"/>
          <w:b/>
          <w:i/>
          <w:iCs/>
          <w:color w:val="auto"/>
          <w:kern w:val="0"/>
          <w:sz w:val="21"/>
          <w:szCs w:val="21"/>
          <w:highlight w:val="none"/>
        </w:rPr>
        <w:t>Hospital×After</w:t>
      </w:r>
      <w:r>
        <w:rPr>
          <w:rFonts w:hint="default" w:ascii="Times New Roman" w:hAnsi="Times New Roman" w:cs="Times New Roman"/>
          <w:bCs/>
          <w:color w:val="auto"/>
          <w:kern w:val="0"/>
          <w:sz w:val="21"/>
          <w:szCs w:val="21"/>
          <w:highlight w:val="none"/>
        </w:rPr>
        <w:t>" around 0 in the random treatment indicates that important influencing factors were appropriately considered in the model. This confirms that the impact observed in the benchmark analysis is a result of the policy focus of our study.</w:t>
      </w:r>
    </w:p>
    <w:p w14:paraId="55420F10">
      <w:pPr>
        <w:keepNext w:val="0"/>
        <w:keepLines w:val="0"/>
        <w:pageBreakBefore w:val="0"/>
        <w:widowControl w:val="0"/>
        <w:kinsoku/>
        <w:wordWrap/>
        <w:overflowPunct/>
        <w:topLinePunct w:val="0"/>
        <w:autoSpaceDE w:val="0"/>
        <w:autoSpaceDN w:val="0"/>
        <w:bidi w:val="0"/>
        <w:adjustRightInd w:val="0"/>
        <w:snapToGrid/>
        <w:spacing w:line="240" w:lineRule="auto"/>
        <w:ind w:firstLine="420"/>
        <w:jc w:val="both"/>
        <w:textAlignment w:val="auto"/>
        <w:rPr>
          <w:rFonts w:hint="default" w:ascii="Times New Roman" w:hAnsi="Times New Roman" w:cs="Times New Roman"/>
          <w:bCs/>
          <w:color w:val="auto"/>
          <w:kern w:val="0"/>
          <w:sz w:val="21"/>
          <w:szCs w:val="21"/>
          <w:highlight w:val="none"/>
        </w:rPr>
      </w:pPr>
      <w:r>
        <w:rPr>
          <w:rFonts w:hint="default" w:ascii="Times New Roman" w:hAnsi="Times New Roman" w:cs="Times New Roman"/>
          <w:bCs/>
          <w:color w:val="auto"/>
          <w:kern w:val="0"/>
          <w:sz w:val="21"/>
          <w:szCs w:val="21"/>
          <w:highlight w:val="none"/>
        </w:rPr>
        <w:t xml:space="preserve">The distribution of estimated coefficients, as depicted in </w:t>
      </w:r>
      <w:r>
        <w:rPr>
          <w:rFonts w:hint="eastAsia" w:ascii="Times New Roman" w:hAnsi="Times New Roman" w:cs="Times New Roman"/>
          <w:bCs/>
          <w:color w:val="auto"/>
          <w:kern w:val="0"/>
          <w:sz w:val="21"/>
          <w:szCs w:val="21"/>
          <w:highlight w:val="none"/>
          <w:lang w:val="en-US" w:eastAsia="zh-CN"/>
        </w:rPr>
        <w:t>Appendix 10</w:t>
      </w:r>
      <w:r>
        <w:rPr>
          <w:rFonts w:hint="default" w:ascii="Times New Roman" w:hAnsi="Times New Roman" w:cs="Times New Roman"/>
          <w:bCs/>
          <w:color w:val="auto"/>
          <w:kern w:val="0"/>
          <w:sz w:val="21"/>
          <w:szCs w:val="21"/>
          <w:highlight w:val="none"/>
        </w:rPr>
        <w:t>, shows that the false double difference items' coefficients are primarily clustered around 0, conforming to a normal distribution, with most coefficients being statistically insignificant. Contrarily, the coefficient estimates from our benchmark regression lie in the upper tail of this distribution, indicating a low-probability event in the placebo tests of EVLN behaviors. Consequently, based on the placebo tests’ results, we can confidently assert that our benchmark estimation outcomes are not influenced by unobservable factors. This suggests an absence of significant omitted variable issues in our model specification, reaffirming the robustness of our core conclusion regarding the impact of nurses’ job dissatisfaction (</w:t>
      </w:r>
      <w:r>
        <w:rPr>
          <w:rFonts w:hint="default" w:ascii="Times New Roman" w:hAnsi="Times New Roman" w:cs="Times New Roman"/>
          <w:b/>
          <w:i/>
          <w:iCs/>
          <w:color w:val="auto"/>
          <w:kern w:val="0"/>
          <w:sz w:val="21"/>
          <w:szCs w:val="21"/>
          <w:highlight w:val="none"/>
        </w:rPr>
        <w:t>NJD)</w:t>
      </w:r>
      <w:r>
        <w:rPr>
          <w:rFonts w:hint="default" w:ascii="Times New Roman" w:hAnsi="Times New Roman" w:cs="Times New Roman"/>
          <w:bCs/>
          <w:color w:val="auto"/>
          <w:kern w:val="0"/>
          <w:sz w:val="21"/>
          <w:szCs w:val="21"/>
          <w:highlight w:val="none"/>
        </w:rPr>
        <w:t xml:space="preserve"> on EVLN behaviors.</w:t>
      </w:r>
    </w:p>
    <w:p w14:paraId="5A20D533">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default" w:ascii="Times New Roman" w:hAnsi="Times New Roman" w:cs="Times New Roman"/>
          <w:bCs/>
          <w:color w:val="auto"/>
          <w:kern w:val="0"/>
          <w:sz w:val="21"/>
          <w:szCs w:val="21"/>
          <w:highlight w:val="none"/>
        </w:rPr>
      </w:pPr>
    </w:p>
    <w:p w14:paraId="4982B30C">
      <w:pPr>
        <w:spacing w:line="480" w:lineRule="auto"/>
        <w:jc w:val="both"/>
        <w:rPr>
          <w:rFonts w:hint="default" w:ascii="Times New Roman" w:hAnsi="Times New Roman" w:cs="Times New Roman"/>
          <w:b/>
          <w:color w:val="auto"/>
          <w:highlight w:val="none"/>
        </w:rPr>
      </w:pPr>
      <w:r>
        <w:rPr>
          <w:rFonts w:hint="default" w:ascii="Times New Roman" w:hAnsi="Times New Roman" w:cs="Times New Roman"/>
          <w:b/>
          <w:bCs/>
          <w:color w:val="auto"/>
          <w:sz w:val="21"/>
          <w:szCs w:val="21"/>
          <w:highlight w:val="none"/>
          <w:lang w:val="en-US" w:eastAsia="zh-CN"/>
        </w:rPr>
        <w:t xml:space="preserve">Appendix </w:t>
      </w:r>
      <w:r>
        <w:rPr>
          <w:rFonts w:hint="eastAsia" w:ascii="Times New Roman" w:hAnsi="Times New Roman" w:cs="Times New Roman"/>
          <w:b/>
          <w:bCs/>
          <w:color w:val="auto"/>
          <w:sz w:val="21"/>
          <w:szCs w:val="21"/>
          <w:highlight w:val="none"/>
          <w:lang w:val="en-US" w:eastAsia="zh-CN"/>
        </w:rPr>
        <w:t>11</w:t>
      </w:r>
      <w:r>
        <w:rPr>
          <w:rFonts w:hint="default" w:ascii="Times New Roman" w:hAnsi="Times New Roman" w:cs="Times New Roman"/>
          <w:color w:val="auto"/>
          <w:sz w:val="21"/>
          <w:szCs w:val="21"/>
          <w:highlight w:val="none"/>
          <w:lang w:val="en-US" w:eastAsia="zh-CN"/>
        </w:rPr>
        <w:t xml:space="preserve"> </w:t>
      </w:r>
      <w:r>
        <w:rPr>
          <w:rFonts w:hint="default" w:ascii="Times New Roman" w:hAnsi="Times New Roman" w:cs="Times New Roman"/>
          <w:b w:val="0"/>
          <w:bCs/>
          <w:color w:val="auto"/>
          <w:highlight w:val="none"/>
        </w:rPr>
        <w:t>Questionnaire and Informed Consent</w:t>
      </w:r>
    </w:p>
    <w:p w14:paraId="77727256">
      <w:pPr>
        <w:spacing w:line="240" w:lineRule="auto"/>
        <w:jc w:val="left"/>
        <w:rPr>
          <w:rFonts w:hint="default" w:ascii="Times New Roman" w:hAnsi="Times New Roman" w:cs="Times New Roman"/>
          <w:color w:val="auto"/>
          <w:highlight w:val="none"/>
        </w:rPr>
      </w:pPr>
      <w:r>
        <w:rPr>
          <w:rFonts w:hint="default" w:ascii="Times New Roman" w:hAnsi="Times New Roman" w:cs="Times New Roman"/>
          <w:color w:val="auto"/>
          <w:highlight w:val="none"/>
        </w:rPr>
        <w:t>Dear Sir or Madam,</w:t>
      </w:r>
    </w:p>
    <w:p w14:paraId="1F1EA63F">
      <w:pPr>
        <w:spacing w:line="240" w:lineRule="auto"/>
        <w:jc w:val="left"/>
        <w:rPr>
          <w:rFonts w:hint="default" w:ascii="Times New Roman" w:hAnsi="Times New Roman" w:cs="Times New Roman"/>
          <w:color w:val="auto"/>
          <w:highlight w:val="none"/>
        </w:rPr>
      </w:pPr>
    </w:p>
    <w:p w14:paraId="66977254">
      <w:pPr>
        <w:spacing w:line="240" w:lineRule="auto"/>
        <w:jc w:val="both"/>
        <w:rPr>
          <w:rFonts w:hint="default" w:ascii="Times New Roman" w:hAnsi="Times New Roman" w:cs="Times New Roman"/>
          <w:color w:val="auto"/>
          <w:highlight w:val="none"/>
        </w:rPr>
      </w:pPr>
      <w:r>
        <w:rPr>
          <w:rFonts w:hint="default" w:ascii="Times New Roman" w:hAnsi="Times New Roman" w:cs="Times New Roman"/>
          <w:color w:val="auto"/>
          <w:highlight w:val="none"/>
        </w:rPr>
        <w:t>To analyze the behavioral responses of nurses in Chongqing's urban and county-level public tertiary hospitals following job dissatisfaction, and to improve nursing practices, we request your evaluation of the implementation of high-quality nursing care. This questionnaire will help enhance collaboration between nurses and physicians and contribute to the high-quality development of hospitals. Please select the appropriate options for the questionnaire. We greatly appreciate your support and cooperation in this study.</w:t>
      </w:r>
    </w:p>
    <w:p w14:paraId="67A3E1AD">
      <w:pPr>
        <w:spacing w:line="240" w:lineRule="auto"/>
        <w:jc w:val="both"/>
        <w:rPr>
          <w:rFonts w:hint="default" w:ascii="Times New Roman" w:hAnsi="Times New Roman" w:cs="Times New Roman"/>
          <w:color w:val="auto"/>
          <w:highlight w:val="none"/>
        </w:rPr>
      </w:pPr>
    </w:p>
    <w:p w14:paraId="36C3798B">
      <w:pPr>
        <w:spacing w:line="240" w:lineRule="auto"/>
        <w:jc w:val="both"/>
        <w:rPr>
          <w:rFonts w:hint="default" w:ascii="Times New Roman" w:hAnsi="Times New Roman" w:cs="Times New Roman"/>
          <w:color w:val="auto"/>
          <w:highlight w:val="none"/>
        </w:rPr>
      </w:pPr>
      <w:r>
        <w:rPr>
          <w:rFonts w:hint="default" w:ascii="Times New Roman" w:hAnsi="Times New Roman" w:cs="Times New Roman"/>
          <w:color w:val="auto"/>
          <w:highlight w:val="none"/>
        </w:rPr>
        <w:t>The questionnaire utilizes a five-point Likert scale for measurement (1 = "strongly disagree", 2 = "disagree", 3 = "neutral", 4 = "agree", 5 = "strongly agree"). All questionnaires were completed anonymously, and respondents were required to independently, conscientiously, and responsibly select their level of satisfaction for each of the five items.</w:t>
      </w:r>
    </w:p>
    <w:p w14:paraId="634BC2DB">
      <w:pPr>
        <w:spacing w:line="240" w:lineRule="auto"/>
        <w:jc w:val="both"/>
        <w:rPr>
          <w:rFonts w:hint="default" w:ascii="Times New Roman" w:hAnsi="Times New Roman" w:cs="Times New Roman"/>
          <w:color w:val="auto"/>
          <w:highlight w:val="none"/>
        </w:rPr>
      </w:pPr>
    </w:p>
    <w:p w14:paraId="5C202195">
      <w:pPr>
        <w:spacing w:line="240" w:lineRule="auto"/>
        <w:jc w:val="both"/>
        <w:rPr>
          <w:rFonts w:hint="default" w:ascii="Times New Roman" w:hAnsi="Times New Roman" w:cs="Times New Roman"/>
          <w:color w:val="auto"/>
          <w:highlight w:val="none"/>
        </w:rPr>
      </w:pPr>
      <w:r>
        <w:rPr>
          <w:rFonts w:hint="default" w:ascii="Times New Roman" w:hAnsi="Times New Roman" w:cs="Times New Roman"/>
          <w:color w:val="auto"/>
          <w:highlight w:val="none"/>
        </w:rPr>
        <w:t>You have every right to refuse participation in this study. Your personal information and data will remain confidential and will not be disclosed to anyone outside the research team. Your name or photo will not appear on any published materials.</w:t>
      </w:r>
    </w:p>
    <w:p w14:paraId="691E133A">
      <w:pPr>
        <w:spacing w:line="240" w:lineRule="auto"/>
        <w:jc w:val="both"/>
        <w:rPr>
          <w:rFonts w:hint="default" w:ascii="Times New Roman" w:hAnsi="Times New Roman" w:cs="Times New Roman"/>
          <w:color w:val="auto"/>
          <w:highlight w:val="none"/>
        </w:rPr>
      </w:pPr>
    </w:p>
    <w:p w14:paraId="7EACE5F2">
      <w:pPr>
        <w:spacing w:line="240" w:lineRule="auto"/>
        <w:jc w:val="both"/>
        <w:rPr>
          <w:rFonts w:hint="default" w:ascii="Times New Roman" w:hAnsi="Times New Roman" w:cs="Times New Roman"/>
          <w:color w:val="auto"/>
          <w:highlight w:val="none"/>
        </w:rPr>
      </w:pPr>
      <w:r>
        <w:rPr>
          <w:rFonts w:hint="default" w:ascii="Times New Roman" w:hAnsi="Times New Roman" w:cs="Times New Roman"/>
          <w:color w:val="auto"/>
          <w:highlight w:val="none"/>
        </w:rPr>
        <w:t>If you have any questions or concerns about the research study, please feel free to consult investigator. If you have questions about your rights as a participant of this research study, please please contact the Research Ethics Committee of [Masked for Blind Review].</w:t>
      </w:r>
    </w:p>
    <w:p w14:paraId="73ABA901">
      <w:pPr>
        <w:spacing w:line="240" w:lineRule="auto"/>
        <w:jc w:val="left"/>
        <w:rPr>
          <w:rFonts w:hint="default" w:ascii="Times New Roman" w:hAnsi="Times New Roman" w:cs="Times New Roman"/>
          <w:color w:val="auto"/>
          <w:highlight w:val="none"/>
        </w:rPr>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17"/>
        <w:gridCol w:w="321"/>
        <w:gridCol w:w="321"/>
        <w:gridCol w:w="321"/>
        <w:gridCol w:w="321"/>
        <w:gridCol w:w="321"/>
        <w:gridCol w:w="800"/>
      </w:tblGrid>
      <w:tr w14:paraId="6C14D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trPr>
        <w:tc>
          <w:tcPr>
            <w:tcW w:w="0" w:type="auto"/>
            <w:shd w:val="clear" w:color="auto" w:fill="D8D8D8"/>
          </w:tcPr>
          <w:p w14:paraId="5EB92F96">
            <w:pPr>
              <w:spacing w:line="240" w:lineRule="auto"/>
              <w:jc w:val="left"/>
              <w:rPr>
                <w:rFonts w:hint="default" w:ascii="Times New Roman" w:hAnsi="Times New Roman" w:cs="Times New Roman"/>
                <w:color w:val="auto"/>
                <w:highlight w:val="none"/>
              </w:rPr>
            </w:pPr>
            <w:r>
              <w:rPr>
                <w:rFonts w:hint="default" w:ascii="Times New Roman" w:hAnsi="Times New Roman" w:cs="Times New Roman"/>
                <w:color w:val="auto"/>
                <w:highlight w:val="none"/>
              </w:rPr>
              <w:t>Exit behavior</w:t>
            </w:r>
          </w:p>
        </w:tc>
        <w:tc>
          <w:tcPr>
            <w:tcW w:w="0" w:type="auto"/>
            <w:shd w:val="clear" w:color="auto" w:fill="D8D8D8"/>
          </w:tcPr>
          <w:p w14:paraId="589F8983">
            <w:pPr>
              <w:spacing w:line="240" w:lineRule="auto"/>
              <w:jc w:val="left"/>
              <w:rPr>
                <w:rFonts w:hint="default" w:ascii="Times New Roman" w:hAnsi="Times New Roman" w:cs="Times New Roman"/>
                <w:color w:val="auto"/>
                <w:highlight w:val="none"/>
                <w:lang w:val="en-MY" w:eastAsia="en-US"/>
              </w:rPr>
            </w:pPr>
            <w:r>
              <w:rPr>
                <w:rFonts w:hint="default" w:ascii="Times New Roman" w:hAnsi="Times New Roman" w:cs="Times New Roman"/>
                <w:color w:val="auto"/>
                <w:highlight w:val="none"/>
                <w:lang w:val="en-MY" w:eastAsia="en-US"/>
              </w:rPr>
              <w:t>1</w:t>
            </w:r>
          </w:p>
        </w:tc>
        <w:tc>
          <w:tcPr>
            <w:tcW w:w="0" w:type="auto"/>
            <w:shd w:val="clear" w:color="auto" w:fill="D8D8D8"/>
          </w:tcPr>
          <w:p w14:paraId="2C0F45AE">
            <w:pPr>
              <w:spacing w:line="240" w:lineRule="auto"/>
              <w:jc w:val="left"/>
              <w:rPr>
                <w:rFonts w:hint="default" w:ascii="Times New Roman" w:hAnsi="Times New Roman" w:cs="Times New Roman"/>
                <w:color w:val="auto"/>
                <w:highlight w:val="none"/>
                <w:lang w:val="en-MY" w:eastAsia="en-US"/>
              </w:rPr>
            </w:pPr>
            <w:r>
              <w:rPr>
                <w:rFonts w:hint="default" w:ascii="Times New Roman" w:hAnsi="Times New Roman" w:cs="Times New Roman"/>
                <w:color w:val="auto"/>
                <w:highlight w:val="none"/>
                <w:lang w:val="en-MY" w:eastAsia="en-US"/>
              </w:rPr>
              <w:t>2</w:t>
            </w:r>
          </w:p>
        </w:tc>
        <w:tc>
          <w:tcPr>
            <w:tcW w:w="0" w:type="auto"/>
            <w:shd w:val="clear" w:color="auto" w:fill="D8D8D8"/>
          </w:tcPr>
          <w:p w14:paraId="5569E4D3">
            <w:pPr>
              <w:spacing w:line="240" w:lineRule="auto"/>
              <w:jc w:val="left"/>
              <w:rPr>
                <w:rFonts w:hint="default" w:ascii="Times New Roman" w:hAnsi="Times New Roman" w:cs="Times New Roman"/>
                <w:color w:val="auto"/>
                <w:highlight w:val="none"/>
                <w:lang w:val="en-MY" w:eastAsia="en-US"/>
              </w:rPr>
            </w:pPr>
            <w:r>
              <w:rPr>
                <w:rFonts w:hint="default" w:ascii="Times New Roman" w:hAnsi="Times New Roman" w:cs="Times New Roman"/>
                <w:color w:val="auto"/>
                <w:highlight w:val="none"/>
                <w:lang w:val="en-MY" w:eastAsia="en-US"/>
              </w:rPr>
              <w:t>3</w:t>
            </w:r>
          </w:p>
        </w:tc>
        <w:tc>
          <w:tcPr>
            <w:tcW w:w="0" w:type="auto"/>
            <w:shd w:val="clear" w:color="auto" w:fill="D8D8D8"/>
          </w:tcPr>
          <w:p w14:paraId="459237CD">
            <w:pPr>
              <w:spacing w:line="240" w:lineRule="auto"/>
              <w:jc w:val="left"/>
              <w:rPr>
                <w:rFonts w:hint="default" w:ascii="Times New Roman" w:hAnsi="Times New Roman" w:cs="Times New Roman"/>
                <w:color w:val="auto"/>
                <w:highlight w:val="none"/>
                <w:lang w:val="en-MY" w:eastAsia="en-US"/>
              </w:rPr>
            </w:pPr>
            <w:r>
              <w:rPr>
                <w:rFonts w:hint="default" w:ascii="Times New Roman" w:hAnsi="Times New Roman" w:cs="Times New Roman"/>
                <w:color w:val="auto"/>
                <w:highlight w:val="none"/>
                <w:lang w:val="en-MY" w:eastAsia="en-US"/>
              </w:rPr>
              <w:t>4</w:t>
            </w:r>
          </w:p>
        </w:tc>
        <w:tc>
          <w:tcPr>
            <w:tcW w:w="0" w:type="auto"/>
            <w:shd w:val="clear" w:color="auto" w:fill="D8D8D8"/>
          </w:tcPr>
          <w:p w14:paraId="7C40B127">
            <w:pPr>
              <w:spacing w:line="240" w:lineRule="auto"/>
              <w:jc w:val="left"/>
              <w:rPr>
                <w:rFonts w:hint="default" w:ascii="Times New Roman" w:hAnsi="Times New Roman" w:cs="Times New Roman"/>
                <w:color w:val="auto"/>
                <w:highlight w:val="none"/>
                <w:lang w:val="en-MY" w:eastAsia="en-US"/>
              </w:rPr>
            </w:pPr>
            <w:r>
              <w:rPr>
                <w:rFonts w:hint="default" w:ascii="Times New Roman" w:hAnsi="Times New Roman" w:cs="Times New Roman"/>
                <w:color w:val="auto"/>
                <w:highlight w:val="none"/>
                <w:lang w:val="en-MY" w:eastAsia="en-US"/>
              </w:rPr>
              <w:t>5</w:t>
            </w:r>
          </w:p>
        </w:tc>
        <w:tc>
          <w:tcPr>
            <w:tcW w:w="0" w:type="auto"/>
            <w:shd w:val="clear" w:color="auto" w:fill="D8D8D8"/>
          </w:tcPr>
          <w:p w14:paraId="6A1C59DD">
            <w:pPr>
              <w:spacing w:line="240" w:lineRule="auto"/>
              <w:jc w:val="left"/>
              <w:rPr>
                <w:rFonts w:hint="default" w:ascii="Times New Roman" w:hAnsi="Times New Roman" w:cs="Times New Roman"/>
                <w:color w:val="auto"/>
                <w:highlight w:val="none"/>
                <w:lang w:val="en-MY" w:eastAsia="en-US"/>
              </w:rPr>
            </w:pPr>
            <w:r>
              <w:rPr>
                <w:rFonts w:hint="default" w:ascii="Times New Roman" w:hAnsi="Times New Roman" w:cs="Times New Roman"/>
                <w:color w:val="auto"/>
                <w:highlight w:val="none"/>
                <w:lang w:val="en-MY" w:eastAsia="en-US"/>
              </w:rPr>
              <w:t>Source</w:t>
            </w:r>
          </w:p>
        </w:tc>
      </w:tr>
      <w:tr w14:paraId="7ED57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0" w:type="auto"/>
          </w:tcPr>
          <w:p w14:paraId="0671680E">
            <w:pPr>
              <w:spacing w:line="240" w:lineRule="auto"/>
              <w:jc w:val="left"/>
              <w:rPr>
                <w:rFonts w:hint="default" w:ascii="Times New Roman" w:hAnsi="Times New Roman" w:eastAsia="Calibri" w:cs="Times New Roman"/>
                <w:color w:val="auto"/>
                <w:highlight w:val="none"/>
                <w:lang w:val="en-MY" w:eastAsia="en-US"/>
              </w:rPr>
            </w:pPr>
            <w:r>
              <w:rPr>
                <w:rFonts w:hint="default" w:ascii="Times New Roman" w:hAnsi="Times New Roman" w:cs="Times New Roman"/>
                <w:color w:val="auto"/>
                <w:highlight w:val="none"/>
              </w:rPr>
              <w:t>1</w:t>
            </w:r>
            <w:r>
              <w:rPr>
                <w:rFonts w:hint="default" w:ascii="Times New Roman" w:hAnsi="Times New Roman" w:eastAsia="Calibri" w:cs="Times New Roman"/>
                <w:color w:val="auto"/>
                <w:highlight w:val="none"/>
                <w:lang w:val="en-MY" w:eastAsia="en-US"/>
              </w:rPr>
              <w:t xml:space="preserve">. </w:t>
            </w:r>
            <w:r>
              <w:rPr>
                <w:rFonts w:hint="default" w:ascii="Times New Roman" w:hAnsi="Times New Roman" w:cs="Times New Roman"/>
                <w:color w:val="auto"/>
                <w:highlight w:val="none"/>
              </w:rPr>
              <w:t>I often feel like quitting my job.</w:t>
            </w:r>
          </w:p>
        </w:tc>
        <w:tc>
          <w:tcPr>
            <w:tcW w:w="0" w:type="auto"/>
          </w:tcPr>
          <w:p w14:paraId="4ED5234A">
            <w:pPr>
              <w:spacing w:line="240" w:lineRule="auto"/>
              <w:jc w:val="left"/>
              <w:rPr>
                <w:rFonts w:hint="default" w:ascii="Times New Roman" w:hAnsi="Times New Roman" w:cs="Times New Roman"/>
                <w:color w:val="auto"/>
                <w:highlight w:val="none"/>
                <w:lang w:val="en-MY" w:eastAsia="en-US"/>
              </w:rPr>
            </w:pPr>
          </w:p>
        </w:tc>
        <w:tc>
          <w:tcPr>
            <w:tcW w:w="0" w:type="auto"/>
          </w:tcPr>
          <w:p w14:paraId="2BA2F359">
            <w:pPr>
              <w:spacing w:line="240" w:lineRule="auto"/>
              <w:jc w:val="left"/>
              <w:rPr>
                <w:rFonts w:hint="default" w:ascii="Times New Roman" w:hAnsi="Times New Roman" w:cs="Times New Roman"/>
                <w:color w:val="auto"/>
                <w:highlight w:val="none"/>
                <w:lang w:val="en-MY" w:eastAsia="en-US"/>
              </w:rPr>
            </w:pPr>
          </w:p>
        </w:tc>
        <w:tc>
          <w:tcPr>
            <w:tcW w:w="0" w:type="auto"/>
          </w:tcPr>
          <w:p w14:paraId="1F77CF38">
            <w:pPr>
              <w:spacing w:line="240" w:lineRule="auto"/>
              <w:jc w:val="left"/>
              <w:rPr>
                <w:rFonts w:hint="default" w:ascii="Times New Roman" w:hAnsi="Times New Roman" w:cs="Times New Roman"/>
                <w:color w:val="auto"/>
                <w:highlight w:val="none"/>
                <w:lang w:val="en-MY" w:eastAsia="en-US"/>
              </w:rPr>
            </w:pPr>
          </w:p>
        </w:tc>
        <w:tc>
          <w:tcPr>
            <w:tcW w:w="0" w:type="auto"/>
          </w:tcPr>
          <w:p w14:paraId="58300573">
            <w:pPr>
              <w:spacing w:line="240" w:lineRule="auto"/>
              <w:jc w:val="left"/>
              <w:rPr>
                <w:rFonts w:hint="default" w:ascii="Times New Roman" w:hAnsi="Times New Roman" w:cs="Times New Roman"/>
                <w:color w:val="auto"/>
                <w:highlight w:val="none"/>
                <w:lang w:val="en-MY" w:eastAsia="en-US"/>
              </w:rPr>
            </w:pPr>
          </w:p>
        </w:tc>
        <w:tc>
          <w:tcPr>
            <w:tcW w:w="0" w:type="auto"/>
          </w:tcPr>
          <w:p w14:paraId="79E040BD">
            <w:pPr>
              <w:spacing w:line="240" w:lineRule="auto"/>
              <w:jc w:val="left"/>
              <w:rPr>
                <w:rFonts w:hint="default" w:ascii="Times New Roman" w:hAnsi="Times New Roman" w:cs="Times New Roman"/>
                <w:color w:val="auto"/>
                <w:highlight w:val="none"/>
                <w:lang w:val="en-MY" w:eastAsia="en-US"/>
              </w:rPr>
            </w:pPr>
          </w:p>
        </w:tc>
        <w:tc>
          <w:tcPr>
            <w:tcW w:w="0" w:type="auto"/>
            <w:vMerge w:val="restart"/>
          </w:tcPr>
          <w:p w14:paraId="6AEA83E6">
            <w:pPr>
              <w:spacing w:line="240" w:lineRule="auto"/>
              <w:jc w:val="left"/>
              <w:rPr>
                <w:rFonts w:hint="default" w:ascii="Times New Roman" w:hAnsi="Times New Roman" w:cs="Times New Roman"/>
                <w:color w:val="auto"/>
                <w:highlight w:val="none"/>
                <w:lang w:val="en-MY" w:eastAsia="en-US"/>
              </w:rPr>
            </w:pPr>
          </w:p>
        </w:tc>
      </w:tr>
      <w:tr w14:paraId="3267A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0" w:type="auto"/>
          </w:tcPr>
          <w:p w14:paraId="4BF9C789">
            <w:pPr>
              <w:spacing w:line="240" w:lineRule="auto"/>
              <w:jc w:val="left"/>
              <w:rPr>
                <w:rFonts w:hint="default" w:ascii="Times New Roman" w:hAnsi="Times New Roman" w:eastAsia="Calibri" w:cs="Times New Roman"/>
                <w:color w:val="auto"/>
                <w:highlight w:val="none"/>
                <w:lang w:val="en-MY" w:eastAsia="en-US"/>
              </w:rPr>
            </w:pPr>
            <w:r>
              <w:rPr>
                <w:rFonts w:hint="default" w:ascii="Times New Roman" w:hAnsi="Times New Roman" w:eastAsia="Calibri" w:cs="Times New Roman"/>
                <w:color w:val="auto"/>
                <w:highlight w:val="none"/>
                <w:lang w:val="en-MY" w:eastAsia="en-US"/>
              </w:rPr>
              <w:t xml:space="preserve">2. </w:t>
            </w:r>
            <w:r>
              <w:rPr>
                <w:rFonts w:hint="default" w:ascii="Times New Roman" w:hAnsi="Times New Roman" w:cs="Times New Roman"/>
                <w:color w:val="auto"/>
                <w:highlight w:val="none"/>
              </w:rPr>
              <w:t>I often feel like quitting my current job.</w:t>
            </w:r>
          </w:p>
        </w:tc>
        <w:tc>
          <w:tcPr>
            <w:tcW w:w="0" w:type="auto"/>
          </w:tcPr>
          <w:p w14:paraId="0B132883">
            <w:pPr>
              <w:spacing w:line="240" w:lineRule="auto"/>
              <w:jc w:val="left"/>
              <w:rPr>
                <w:rFonts w:hint="default" w:ascii="Times New Roman" w:hAnsi="Times New Roman" w:cs="Times New Roman"/>
                <w:color w:val="auto"/>
                <w:highlight w:val="none"/>
                <w:lang w:val="en-MY" w:eastAsia="en-US"/>
              </w:rPr>
            </w:pPr>
          </w:p>
        </w:tc>
        <w:tc>
          <w:tcPr>
            <w:tcW w:w="0" w:type="auto"/>
          </w:tcPr>
          <w:p w14:paraId="09B78597">
            <w:pPr>
              <w:spacing w:line="240" w:lineRule="auto"/>
              <w:jc w:val="left"/>
              <w:rPr>
                <w:rFonts w:hint="default" w:ascii="Times New Roman" w:hAnsi="Times New Roman" w:cs="Times New Roman"/>
                <w:color w:val="auto"/>
                <w:highlight w:val="none"/>
                <w:lang w:val="en-MY" w:eastAsia="en-US"/>
              </w:rPr>
            </w:pPr>
          </w:p>
        </w:tc>
        <w:tc>
          <w:tcPr>
            <w:tcW w:w="0" w:type="auto"/>
          </w:tcPr>
          <w:p w14:paraId="33100F76">
            <w:pPr>
              <w:spacing w:line="240" w:lineRule="auto"/>
              <w:jc w:val="left"/>
              <w:rPr>
                <w:rFonts w:hint="default" w:ascii="Times New Roman" w:hAnsi="Times New Roman" w:cs="Times New Roman"/>
                <w:color w:val="auto"/>
                <w:highlight w:val="none"/>
                <w:lang w:val="en-MY" w:eastAsia="en-US"/>
              </w:rPr>
            </w:pPr>
          </w:p>
        </w:tc>
        <w:tc>
          <w:tcPr>
            <w:tcW w:w="0" w:type="auto"/>
          </w:tcPr>
          <w:p w14:paraId="7D2F708E">
            <w:pPr>
              <w:spacing w:line="240" w:lineRule="auto"/>
              <w:jc w:val="left"/>
              <w:rPr>
                <w:rFonts w:hint="default" w:ascii="Times New Roman" w:hAnsi="Times New Roman" w:cs="Times New Roman"/>
                <w:color w:val="auto"/>
                <w:highlight w:val="none"/>
                <w:lang w:val="en-MY" w:eastAsia="en-US"/>
              </w:rPr>
            </w:pPr>
          </w:p>
        </w:tc>
        <w:tc>
          <w:tcPr>
            <w:tcW w:w="0" w:type="auto"/>
          </w:tcPr>
          <w:p w14:paraId="1C0CE205">
            <w:pPr>
              <w:spacing w:line="240" w:lineRule="auto"/>
              <w:jc w:val="left"/>
              <w:rPr>
                <w:rFonts w:hint="default" w:ascii="Times New Roman" w:hAnsi="Times New Roman" w:cs="Times New Roman"/>
                <w:color w:val="auto"/>
                <w:highlight w:val="none"/>
                <w:lang w:val="en-MY" w:eastAsia="en-US"/>
              </w:rPr>
            </w:pPr>
          </w:p>
        </w:tc>
        <w:tc>
          <w:tcPr>
            <w:tcW w:w="0" w:type="auto"/>
            <w:vMerge w:val="continue"/>
          </w:tcPr>
          <w:p w14:paraId="249BAF08">
            <w:pPr>
              <w:spacing w:line="240" w:lineRule="auto"/>
              <w:jc w:val="left"/>
              <w:rPr>
                <w:rFonts w:hint="default" w:ascii="Times New Roman" w:hAnsi="Times New Roman" w:cs="Times New Roman"/>
                <w:color w:val="auto"/>
                <w:highlight w:val="none"/>
                <w:lang w:val="en-MY" w:eastAsia="en-US"/>
              </w:rPr>
            </w:pPr>
          </w:p>
        </w:tc>
      </w:tr>
      <w:tr w14:paraId="6AB08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0" w:type="auto"/>
          </w:tcPr>
          <w:p w14:paraId="4690888B">
            <w:pPr>
              <w:spacing w:line="240" w:lineRule="auto"/>
              <w:jc w:val="left"/>
              <w:rPr>
                <w:rFonts w:hint="default" w:ascii="Times New Roman" w:hAnsi="Times New Roman" w:cs="Times New Roman"/>
                <w:color w:val="auto"/>
                <w:highlight w:val="none"/>
              </w:rPr>
            </w:pPr>
            <w:r>
              <w:rPr>
                <w:rFonts w:hint="default" w:ascii="Times New Roman" w:hAnsi="Times New Roman" w:cs="Times New Roman"/>
                <w:color w:val="auto"/>
                <w:highlight w:val="none"/>
              </w:rPr>
              <w:t>3</w:t>
            </w:r>
            <w:r>
              <w:rPr>
                <w:rFonts w:hint="default" w:ascii="Times New Roman" w:hAnsi="Times New Roman" w:eastAsia="Calibri" w:cs="Times New Roman"/>
                <w:color w:val="auto"/>
                <w:highlight w:val="none"/>
                <w:lang w:val="en-MY" w:eastAsia="en-US"/>
              </w:rPr>
              <w:t xml:space="preserve">. </w:t>
            </w:r>
            <w:r>
              <w:rPr>
                <w:rFonts w:hint="default" w:ascii="Times New Roman" w:hAnsi="Times New Roman" w:cs="Times New Roman"/>
                <w:color w:val="auto"/>
                <w:highlight w:val="none"/>
              </w:rPr>
              <w:t>I would accept another new job.</w:t>
            </w:r>
          </w:p>
        </w:tc>
        <w:tc>
          <w:tcPr>
            <w:tcW w:w="0" w:type="auto"/>
          </w:tcPr>
          <w:p w14:paraId="514902AC">
            <w:pPr>
              <w:spacing w:line="240" w:lineRule="auto"/>
              <w:jc w:val="left"/>
              <w:rPr>
                <w:rFonts w:hint="default" w:ascii="Times New Roman" w:hAnsi="Times New Roman" w:cs="Times New Roman"/>
                <w:color w:val="auto"/>
                <w:highlight w:val="none"/>
                <w:lang w:val="en-MY" w:eastAsia="en-US"/>
              </w:rPr>
            </w:pPr>
          </w:p>
        </w:tc>
        <w:tc>
          <w:tcPr>
            <w:tcW w:w="0" w:type="auto"/>
          </w:tcPr>
          <w:p w14:paraId="70B2A976">
            <w:pPr>
              <w:spacing w:line="240" w:lineRule="auto"/>
              <w:jc w:val="left"/>
              <w:rPr>
                <w:rFonts w:hint="default" w:ascii="Times New Roman" w:hAnsi="Times New Roman" w:cs="Times New Roman"/>
                <w:color w:val="auto"/>
                <w:highlight w:val="none"/>
                <w:lang w:val="en-MY" w:eastAsia="en-US"/>
              </w:rPr>
            </w:pPr>
          </w:p>
        </w:tc>
        <w:tc>
          <w:tcPr>
            <w:tcW w:w="0" w:type="auto"/>
          </w:tcPr>
          <w:p w14:paraId="0CAFB89C">
            <w:pPr>
              <w:spacing w:line="240" w:lineRule="auto"/>
              <w:jc w:val="left"/>
              <w:rPr>
                <w:rFonts w:hint="default" w:ascii="Times New Roman" w:hAnsi="Times New Roman" w:cs="Times New Roman"/>
                <w:color w:val="auto"/>
                <w:highlight w:val="none"/>
                <w:lang w:val="en-MY" w:eastAsia="en-US"/>
              </w:rPr>
            </w:pPr>
          </w:p>
        </w:tc>
        <w:tc>
          <w:tcPr>
            <w:tcW w:w="0" w:type="auto"/>
          </w:tcPr>
          <w:p w14:paraId="50DB40D0">
            <w:pPr>
              <w:spacing w:line="240" w:lineRule="auto"/>
              <w:jc w:val="left"/>
              <w:rPr>
                <w:rFonts w:hint="default" w:ascii="Times New Roman" w:hAnsi="Times New Roman" w:cs="Times New Roman"/>
                <w:color w:val="auto"/>
                <w:highlight w:val="none"/>
                <w:lang w:val="en-MY" w:eastAsia="en-US"/>
              </w:rPr>
            </w:pPr>
          </w:p>
        </w:tc>
        <w:tc>
          <w:tcPr>
            <w:tcW w:w="0" w:type="auto"/>
          </w:tcPr>
          <w:p w14:paraId="7944E216">
            <w:pPr>
              <w:spacing w:line="240" w:lineRule="auto"/>
              <w:jc w:val="left"/>
              <w:rPr>
                <w:rFonts w:hint="default" w:ascii="Times New Roman" w:hAnsi="Times New Roman" w:cs="Times New Roman"/>
                <w:color w:val="auto"/>
                <w:highlight w:val="none"/>
                <w:lang w:val="en-MY" w:eastAsia="en-US"/>
              </w:rPr>
            </w:pPr>
          </w:p>
        </w:tc>
        <w:tc>
          <w:tcPr>
            <w:tcW w:w="0" w:type="auto"/>
            <w:vMerge w:val="continue"/>
          </w:tcPr>
          <w:p w14:paraId="037670D9">
            <w:pPr>
              <w:spacing w:line="240" w:lineRule="auto"/>
              <w:jc w:val="left"/>
              <w:rPr>
                <w:rFonts w:hint="default" w:ascii="Times New Roman" w:hAnsi="Times New Roman" w:cs="Times New Roman"/>
                <w:color w:val="auto"/>
                <w:highlight w:val="none"/>
                <w:lang w:val="en-MY" w:eastAsia="en-US"/>
              </w:rPr>
            </w:pPr>
          </w:p>
        </w:tc>
      </w:tr>
      <w:tr w14:paraId="1515E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0" w:type="auto"/>
          </w:tcPr>
          <w:p w14:paraId="4BBB820A">
            <w:pPr>
              <w:spacing w:line="240" w:lineRule="auto"/>
              <w:jc w:val="left"/>
              <w:rPr>
                <w:rFonts w:hint="default" w:ascii="Times New Roman" w:hAnsi="Times New Roman" w:cs="Times New Roman"/>
                <w:color w:val="auto"/>
                <w:highlight w:val="none"/>
              </w:rPr>
            </w:pPr>
            <w:r>
              <w:rPr>
                <w:rFonts w:hint="default" w:ascii="Times New Roman" w:hAnsi="Times New Roman" w:cs="Times New Roman"/>
                <w:color w:val="auto"/>
                <w:highlight w:val="none"/>
              </w:rPr>
              <w:t>4</w:t>
            </w:r>
            <w:r>
              <w:rPr>
                <w:rFonts w:hint="default" w:ascii="Times New Roman" w:hAnsi="Times New Roman" w:eastAsia="Calibri" w:cs="Times New Roman"/>
                <w:color w:val="auto"/>
                <w:highlight w:val="none"/>
                <w:lang w:val="en-MY" w:eastAsia="en-US"/>
              </w:rPr>
              <w:t xml:space="preserve">. </w:t>
            </w:r>
            <w:r>
              <w:rPr>
                <w:rFonts w:hint="default" w:ascii="Times New Roman" w:hAnsi="Times New Roman" w:cs="Times New Roman"/>
                <w:color w:val="auto"/>
                <w:highlight w:val="none"/>
              </w:rPr>
              <w:t>I would quit my current job.</w:t>
            </w:r>
          </w:p>
        </w:tc>
        <w:tc>
          <w:tcPr>
            <w:tcW w:w="0" w:type="auto"/>
          </w:tcPr>
          <w:p w14:paraId="61C96CE6">
            <w:pPr>
              <w:spacing w:line="240" w:lineRule="auto"/>
              <w:jc w:val="left"/>
              <w:rPr>
                <w:rFonts w:hint="default" w:ascii="Times New Roman" w:hAnsi="Times New Roman" w:cs="Times New Roman"/>
                <w:color w:val="auto"/>
                <w:highlight w:val="none"/>
                <w:lang w:val="en-MY" w:eastAsia="en-US"/>
              </w:rPr>
            </w:pPr>
          </w:p>
        </w:tc>
        <w:tc>
          <w:tcPr>
            <w:tcW w:w="0" w:type="auto"/>
          </w:tcPr>
          <w:p w14:paraId="0899CC35">
            <w:pPr>
              <w:spacing w:line="240" w:lineRule="auto"/>
              <w:jc w:val="left"/>
              <w:rPr>
                <w:rFonts w:hint="default" w:ascii="Times New Roman" w:hAnsi="Times New Roman" w:cs="Times New Roman"/>
                <w:color w:val="auto"/>
                <w:highlight w:val="none"/>
                <w:lang w:val="en-MY" w:eastAsia="en-US"/>
              </w:rPr>
            </w:pPr>
          </w:p>
        </w:tc>
        <w:tc>
          <w:tcPr>
            <w:tcW w:w="0" w:type="auto"/>
          </w:tcPr>
          <w:p w14:paraId="52E04F30">
            <w:pPr>
              <w:spacing w:line="240" w:lineRule="auto"/>
              <w:jc w:val="left"/>
              <w:rPr>
                <w:rFonts w:hint="default" w:ascii="Times New Roman" w:hAnsi="Times New Roman" w:cs="Times New Roman"/>
                <w:color w:val="auto"/>
                <w:highlight w:val="none"/>
                <w:lang w:val="en-MY" w:eastAsia="en-US"/>
              </w:rPr>
            </w:pPr>
          </w:p>
        </w:tc>
        <w:tc>
          <w:tcPr>
            <w:tcW w:w="0" w:type="auto"/>
          </w:tcPr>
          <w:p w14:paraId="51FAE62D">
            <w:pPr>
              <w:spacing w:line="240" w:lineRule="auto"/>
              <w:jc w:val="left"/>
              <w:rPr>
                <w:rFonts w:hint="default" w:ascii="Times New Roman" w:hAnsi="Times New Roman" w:cs="Times New Roman"/>
                <w:color w:val="auto"/>
                <w:highlight w:val="none"/>
                <w:lang w:val="en-MY" w:eastAsia="en-US"/>
              </w:rPr>
            </w:pPr>
          </w:p>
        </w:tc>
        <w:tc>
          <w:tcPr>
            <w:tcW w:w="0" w:type="auto"/>
          </w:tcPr>
          <w:p w14:paraId="12D6AF64">
            <w:pPr>
              <w:spacing w:line="240" w:lineRule="auto"/>
              <w:jc w:val="left"/>
              <w:rPr>
                <w:rFonts w:hint="default" w:ascii="Times New Roman" w:hAnsi="Times New Roman" w:cs="Times New Roman"/>
                <w:color w:val="auto"/>
                <w:highlight w:val="none"/>
                <w:lang w:val="en-MY" w:eastAsia="en-US"/>
              </w:rPr>
            </w:pPr>
          </w:p>
        </w:tc>
        <w:tc>
          <w:tcPr>
            <w:tcW w:w="0" w:type="auto"/>
            <w:vMerge w:val="continue"/>
          </w:tcPr>
          <w:p w14:paraId="3077B79A">
            <w:pPr>
              <w:spacing w:line="240" w:lineRule="auto"/>
              <w:jc w:val="left"/>
              <w:rPr>
                <w:rFonts w:hint="default" w:ascii="Times New Roman" w:hAnsi="Times New Roman" w:cs="Times New Roman"/>
                <w:color w:val="auto"/>
                <w:highlight w:val="none"/>
                <w:lang w:val="en-MY" w:eastAsia="en-US"/>
              </w:rPr>
            </w:pPr>
          </w:p>
        </w:tc>
      </w:tr>
      <w:tr w14:paraId="382E1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0" w:type="auto"/>
            <w:gridSpan w:val="6"/>
            <w:shd w:val="clear" w:color="auto" w:fill="D8D8D8"/>
          </w:tcPr>
          <w:p w14:paraId="506D5E65">
            <w:pPr>
              <w:spacing w:line="240" w:lineRule="auto"/>
              <w:jc w:val="left"/>
              <w:rPr>
                <w:rFonts w:hint="default" w:ascii="Times New Roman" w:hAnsi="Times New Roman" w:cs="Times New Roman"/>
                <w:color w:val="auto"/>
                <w:highlight w:val="none"/>
              </w:rPr>
            </w:pPr>
            <w:r>
              <w:rPr>
                <w:rFonts w:hint="default" w:ascii="Times New Roman" w:hAnsi="Times New Roman" w:cs="Times New Roman"/>
                <w:color w:val="auto"/>
                <w:highlight w:val="none"/>
              </w:rPr>
              <w:t>Voice behavior</w:t>
            </w:r>
          </w:p>
        </w:tc>
        <w:tc>
          <w:tcPr>
            <w:tcW w:w="0" w:type="auto"/>
            <w:shd w:val="clear" w:color="auto" w:fill="D8D8D8"/>
          </w:tcPr>
          <w:p w14:paraId="09081ECF">
            <w:pPr>
              <w:spacing w:line="240" w:lineRule="auto"/>
              <w:jc w:val="left"/>
              <w:rPr>
                <w:rFonts w:hint="default" w:ascii="Times New Roman" w:hAnsi="Times New Roman" w:cs="Times New Roman"/>
                <w:color w:val="auto"/>
                <w:highlight w:val="none"/>
                <w:lang w:val="en-MY" w:eastAsia="en-US"/>
              </w:rPr>
            </w:pPr>
          </w:p>
        </w:tc>
      </w:tr>
      <w:tr w14:paraId="59162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0" w:type="auto"/>
          </w:tcPr>
          <w:p w14:paraId="2E75A882">
            <w:pPr>
              <w:spacing w:line="240" w:lineRule="auto"/>
              <w:jc w:val="left"/>
              <w:rPr>
                <w:rFonts w:hint="default" w:ascii="Times New Roman" w:hAnsi="Times New Roman" w:eastAsia="Calibri" w:cs="Times New Roman"/>
                <w:color w:val="auto"/>
                <w:highlight w:val="none"/>
                <w:lang w:val="en-MY" w:eastAsia="en-US"/>
              </w:rPr>
            </w:pPr>
            <w:r>
              <w:rPr>
                <w:rFonts w:hint="default" w:ascii="Times New Roman" w:hAnsi="Times New Roman" w:cs="Times New Roman"/>
                <w:color w:val="auto"/>
                <w:highlight w:val="none"/>
              </w:rPr>
              <w:t>1</w:t>
            </w:r>
            <w:r>
              <w:rPr>
                <w:rFonts w:hint="default" w:ascii="Times New Roman" w:hAnsi="Times New Roman" w:eastAsia="Calibri" w:cs="Times New Roman"/>
                <w:color w:val="auto"/>
                <w:highlight w:val="none"/>
                <w:lang w:val="en-MY" w:eastAsia="en-US"/>
              </w:rPr>
              <w:t xml:space="preserve">. </w:t>
            </w:r>
            <w:r>
              <w:rPr>
                <w:rFonts w:hint="default" w:ascii="Times New Roman" w:hAnsi="Times New Roman" w:cs="Times New Roman"/>
                <w:color w:val="auto"/>
                <w:highlight w:val="none"/>
              </w:rPr>
              <w:t>I often discuss the current situation with my superiors.</w:t>
            </w:r>
          </w:p>
        </w:tc>
        <w:tc>
          <w:tcPr>
            <w:tcW w:w="0" w:type="auto"/>
          </w:tcPr>
          <w:p w14:paraId="42FE26BC">
            <w:pPr>
              <w:spacing w:line="240" w:lineRule="auto"/>
              <w:jc w:val="left"/>
              <w:rPr>
                <w:rFonts w:hint="default" w:ascii="Times New Roman" w:hAnsi="Times New Roman" w:cs="Times New Roman"/>
                <w:color w:val="auto"/>
                <w:highlight w:val="none"/>
                <w:lang w:val="en-MY" w:eastAsia="en-US"/>
              </w:rPr>
            </w:pPr>
          </w:p>
        </w:tc>
        <w:tc>
          <w:tcPr>
            <w:tcW w:w="0" w:type="auto"/>
          </w:tcPr>
          <w:p w14:paraId="7FF16622">
            <w:pPr>
              <w:spacing w:line="240" w:lineRule="auto"/>
              <w:jc w:val="left"/>
              <w:rPr>
                <w:rFonts w:hint="default" w:ascii="Times New Roman" w:hAnsi="Times New Roman" w:cs="Times New Roman"/>
                <w:color w:val="auto"/>
                <w:highlight w:val="none"/>
                <w:lang w:val="en-MY" w:eastAsia="en-US"/>
              </w:rPr>
            </w:pPr>
          </w:p>
        </w:tc>
        <w:tc>
          <w:tcPr>
            <w:tcW w:w="0" w:type="auto"/>
          </w:tcPr>
          <w:p w14:paraId="04A450CF">
            <w:pPr>
              <w:spacing w:line="240" w:lineRule="auto"/>
              <w:jc w:val="left"/>
              <w:rPr>
                <w:rFonts w:hint="default" w:ascii="Times New Roman" w:hAnsi="Times New Roman" w:cs="Times New Roman"/>
                <w:color w:val="auto"/>
                <w:highlight w:val="none"/>
                <w:lang w:val="en-MY" w:eastAsia="en-US"/>
              </w:rPr>
            </w:pPr>
          </w:p>
        </w:tc>
        <w:tc>
          <w:tcPr>
            <w:tcW w:w="0" w:type="auto"/>
          </w:tcPr>
          <w:p w14:paraId="08D7900D">
            <w:pPr>
              <w:spacing w:line="240" w:lineRule="auto"/>
              <w:jc w:val="left"/>
              <w:rPr>
                <w:rFonts w:hint="default" w:ascii="Times New Roman" w:hAnsi="Times New Roman" w:cs="Times New Roman"/>
                <w:color w:val="auto"/>
                <w:highlight w:val="none"/>
                <w:lang w:val="en-MY" w:eastAsia="en-US"/>
              </w:rPr>
            </w:pPr>
          </w:p>
        </w:tc>
        <w:tc>
          <w:tcPr>
            <w:tcW w:w="0" w:type="auto"/>
          </w:tcPr>
          <w:p w14:paraId="6662F9E4">
            <w:pPr>
              <w:spacing w:line="240" w:lineRule="auto"/>
              <w:jc w:val="left"/>
              <w:rPr>
                <w:rFonts w:hint="default" w:ascii="Times New Roman" w:hAnsi="Times New Roman" w:cs="Times New Roman"/>
                <w:color w:val="auto"/>
                <w:highlight w:val="none"/>
                <w:lang w:val="en-MY" w:eastAsia="en-US"/>
              </w:rPr>
            </w:pPr>
          </w:p>
        </w:tc>
        <w:tc>
          <w:tcPr>
            <w:tcW w:w="0" w:type="auto"/>
            <w:vMerge w:val="restart"/>
          </w:tcPr>
          <w:p w14:paraId="537121DA">
            <w:pPr>
              <w:spacing w:line="240" w:lineRule="auto"/>
              <w:jc w:val="left"/>
              <w:rPr>
                <w:rFonts w:hint="default" w:ascii="Times New Roman" w:hAnsi="Times New Roman" w:cs="Times New Roman"/>
                <w:color w:val="auto"/>
                <w:highlight w:val="none"/>
                <w:lang w:val="en-MY" w:eastAsia="en-US"/>
              </w:rPr>
            </w:pPr>
          </w:p>
        </w:tc>
      </w:tr>
      <w:tr w14:paraId="4BA54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0" w:type="auto"/>
          </w:tcPr>
          <w:p w14:paraId="2C4B3943">
            <w:pPr>
              <w:spacing w:line="240" w:lineRule="auto"/>
              <w:jc w:val="left"/>
              <w:rPr>
                <w:rFonts w:hint="default" w:ascii="Times New Roman" w:hAnsi="Times New Roman" w:eastAsia="Calibri" w:cs="Times New Roman"/>
                <w:color w:val="auto"/>
                <w:highlight w:val="none"/>
                <w:lang w:val="en-MY" w:eastAsia="en-US"/>
              </w:rPr>
            </w:pPr>
            <w:r>
              <w:rPr>
                <w:rFonts w:hint="default" w:ascii="Times New Roman" w:hAnsi="Times New Roman" w:eastAsia="Calibri" w:cs="Times New Roman"/>
                <w:color w:val="auto"/>
                <w:highlight w:val="none"/>
                <w:lang w:val="en-MY" w:eastAsia="en-US"/>
              </w:rPr>
              <w:t xml:space="preserve">2. </w:t>
            </w:r>
            <w:r>
              <w:rPr>
                <w:rFonts w:hint="default" w:ascii="Times New Roman" w:hAnsi="Times New Roman" w:cs="Times New Roman"/>
                <w:color w:val="auto"/>
                <w:highlight w:val="none"/>
              </w:rPr>
              <w:t>I often make suggestions to my superiors about certain problems in the organization.</w:t>
            </w:r>
          </w:p>
        </w:tc>
        <w:tc>
          <w:tcPr>
            <w:tcW w:w="0" w:type="auto"/>
          </w:tcPr>
          <w:p w14:paraId="17A19423">
            <w:pPr>
              <w:spacing w:line="240" w:lineRule="auto"/>
              <w:jc w:val="left"/>
              <w:rPr>
                <w:rFonts w:hint="default" w:ascii="Times New Roman" w:hAnsi="Times New Roman" w:cs="Times New Roman"/>
                <w:color w:val="auto"/>
                <w:highlight w:val="none"/>
                <w:lang w:val="en-MY" w:eastAsia="en-US"/>
              </w:rPr>
            </w:pPr>
          </w:p>
        </w:tc>
        <w:tc>
          <w:tcPr>
            <w:tcW w:w="0" w:type="auto"/>
          </w:tcPr>
          <w:p w14:paraId="066818A1">
            <w:pPr>
              <w:spacing w:line="240" w:lineRule="auto"/>
              <w:jc w:val="left"/>
              <w:rPr>
                <w:rFonts w:hint="default" w:ascii="Times New Roman" w:hAnsi="Times New Roman" w:cs="Times New Roman"/>
                <w:color w:val="auto"/>
                <w:highlight w:val="none"/>
                <w:lang w:val="en-MY" w:eastAsia="en-US"/>
              </w:rPr>
            </w:pPr>
          </w:p>
        </w:tc>
        <w:tc>
          <w:tcPr>
            <w:tcW w:w="0" w:type="auto"/>
          </w:tcPr>
          <w:p w14:paraId="504B6113">
            <w:pPr>
              <w:spacing w:line="240" w:lineRule="auto"/>
              <w:jc w:val="left"/>
              <w:rPr>
                <w:rFonts w:hint="default" w:ascii="Times New Roman" w:hAnsi="Times New Roman" w:cs="Times New Roman"/>
                <w:color w:val="auto"/>
                <w:highlight w:val="none"/>
                <w:lang w:val="en-MY" w:eastAsia="en-US"/>
              </w:rPr>
            </w:pPr>
          </w:p>
        </w:tc>
        <w:tc>
          <w:tcPr>
            <w:tcW w:w="0" w:type="auto"/>
          </w:tcPr>
          <w:p w14:paraId="32E57F5B">
            <w:pPr>
              <w:spacing w:line="240" w:lineRule="auto"/>
              <w:jc w:val="left"/>
              <w:rPr>
                <w:rFonts w:hint="default" w:ascii="Times New Roman" w:hAnsi="Times New Roman" w:cs="Times New Roman"/>
                <w:color w:val="auto"/>
                <w:highlight w:val="none"/>
                <w:lang w:val="en-MY" w:eastAsia="en-US"/>
              </w:rPr>
            </w:pPr>
          </w:p>
        </w:tc>
        <w:tc>
          <w:tcPr>
            <w:tcW w:w="0" w:type="auto"/>
          </w:tcPr>
          <w:p w14:paraId="768B099D">
            <w:pPr>
              <w:spacing w:line="240" w:lineRule="auto"/>
              <w:jc w:val="left"/>
              <w:rPr>
                <w:rFonts w:hint="default" w:ascii="Times New Roman" w:hAnsi="Times New Roman" w:cs="Times New Roman"/>
                <w:color w:val="auto"/>
                <w:highlight w:val="none"/>
                <w:lang w:val="en-MY" w:eastAsia="en-US"/>
              </w:rPr>
            </w:pPr>
          </w:p>
        </w:tc>
        <w:tc>
          <w:tcPr>
            <w:tcW w:w="0" w:type="auto"/>
            <w:vMerge w:val="continue"/>
          </w:tcPr>
          <w:p w14:paraId="33171D24">
            <w:pPr>
              <w:spacing w:line="240" w:lineRule="auto"/>
              <w:jc w:val="left"/>
              <w:rPr>
                <w:rFonts w:hint="default" w:ascii="Times New Roman" w:hAnsi="Times New Roman" w:cs="Times New Roman"/>
                <w:color w:val="auto"/>
                <w:highlight w:val="none"/>
                <w:lang w:val="en-MY" w:eastAsia="en-US"/>
              </w:rPr>
            </w:pPr>
          </w:p>
        </w:tc>
      </w:tr>
      <w:tr w14:paraId="7A026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0" w:type="auto"/>
          </w:tcPr>
          <w:p w14:paraId="19A6AAFB">
            <w:pPr>
              <w:spacing w:line="240" w:lineRule="auto"/>
              <w:jc w:val="left"/>
              <w:rPr>
                <w:rFonts w:hint="default" w:ascii="Times New Roman" w:hAnsi="Times New Roman" w:eastAsia="Calibri" w:cs="Times New Roman"/>
                <w:color w:val="auto"/>
                <w:highlight w:val="none"/>
                <w:lang w:val="en-MY" w:eastAsia="en-US"/>
              </w:rPr>
            </w:pPr>
            <w:r>
              <w:rPr>
                <w:rFonts w:hint="default" w:ascii="Times New Roman" w:hAnsi="Times New Roman" w:cs="Times New Roman"/>
                <w:color w:val="auto"/>
                <w:highlight w:val="none"/>
              </w:rPr>
              <w:t>3</w:t>
            </w:r>
            <w:r>
              <w:rPr>
                <w:rFonts w:hint="default" w:ascii="Times New Roman" w:hAnsi="Times New Roman" w:eastAsia="Calibri" w:cs="Times New Roman"/>
                <w:color w:val="auto"/>
                <w:highlight w:val="none"/>
                <w:lang w:val="en-MY" w:eastAsia="en-US"/>
              </w:rPr>
              <w:t xml:space="preserve">. </w:t>
            </w:r>
            <w:r>
              <w:rPr>
                <w:rFonts w:hint="default" w:ascii="Times New Roman" w:hAnsi="Times New Roman" w:cs="Times New Roman"/>
                <w:color w:val="auto"/>
                <w:highlight w:val="none"/>
              </w:rPr>
              <w:t>I often suggest solutions to problems in the way leaders in my department supervise or direct work.</w:t>
            </w:r>
          </w:p>
        </w:tc>
        <w:tc>
          <w:tcPr>
            <w:tcW w:w="0" w:type="auto"/>
          </w:tcPr>
          <w:p w14:paraId="7FE55CAA">
            <w:pPr>
              <w:spacing w:line="240" w:lineRule="auto"/>
              <w:jc w:val="left"/>
              <w:rPr>
                <w:rFonts w:hint="default" w:ascii="Times New Roman" w:hAnsi="Times New Roman" w:cs="Times New Roman"/>
                <w:color w:val="auto"/>
                <w:highlight w:val="none"/>
                <w:lang w:val="en-MY" w:eastAsia="en-US"/>
              </w:rPr>
            </w:pPr>
          </w:p>
        </w:tc>
        <w:tc>
          <w:tcPr>
            <w:tcW w:w="0" w:type="auto"/>
          </w:tcPr>
          <w:p w14:paraId="7E34E71E">
            <w:pPr>
              <w:spacing w:line="240" w:lineRule="auto"/>
              <w:jc w:val="left"/>
              <w:rPr>
                <w:rFonts w:hint="default" w:ascii="Times New Roman" w:hAnsi="Times New Roman" w:cs="Times New Roman"/>
                <w:color w:val="auto"/>
                <w:highlight w:val="none"/>
                <w:lang w:val="en-MY" w:eastAsia="en-US"/>
              </w:rPr>
            </w:pPr>
          </w:p>
        </w:tc>
        <w:tc>
          <w:tcPr>
            <w:tcW w:w="0" w:type="auto"/>
          </w:tcPr>
          <w:p w14:paraId="37D94405">
            <w:pPr>
              <w:spacing w:line="240" w:lineRule="auto"/>
              <w:jc w:val="left"/>
              <w:rPr>
                <w:rFonts w:hint="default" w:ascii="Times New Roman" w:hAnsi="Times New Roman" w:cs="Times New Roman"/>
                <w:color w:val="auto"/>
                <w:highlight w:val="none"/>
                <w:lang w:val="en-MY" w:eastAsia="en-US"/>
              </w:rPr>
            </w:pPr>
          </w:p>
        </w:tc>
        <w:tc>
          <w:tcPr>
            <w:tcW w:w="0" w:type="auto"/>
          </w:tcPr>
          <w:p w14:paraId="004AD3E6">
            <w:pPr>
              <w:spacing w:line="240" w:lineRule="auto"/>
              <w:jc w:val="left"/>
              <w:rPr>
                <w:rFonts w:hint="default" w:ascii="Times New Roman" w:hAnsi="Times New Roman" w:cs="Times New Roman"/>
                <w:color w:val="auto"/>
                <w:highlight w:val="none"/>
                <w:lang w:val="en-MY" w:eastAsia="en-US"/>
              </w:rPr>
            </w:pPr>
          </w:p>
        </w:tc>
        <w:tc>
          <w:tcPr>
            <w:tcW w:w="0" w:type="auto"/>
          </w:tcPr>
          <w:p w14:paraId="3A97F4EC">
            <w:pPr>
              <w:spacing w:line="240" w:lineRule="auto"/>
              <w:jc w:val="left"/>
              <w:rPr>
                <w:rFonts w:hint="default" w:ascii="Times New Roman" w:hAnsi="Times New Roman" w:cs="Times New Roman"/>
                <w:color w:val="auto"/>
                <w:highlight w:val="none"/>
                <w:lang w:val="en-MY" w:eastAsia="en-US"/>
              </w:rPr>
            </w:pPr>
          </w:p>
        </w:tc>
        <w:tc>
          <w:tcPr>
            <w:tcW w:w="0" w:type="auto"/>
            <w:vMerge w:val="continue"/>
          </w:tcPr>
          <w:p w14:paraId="52B5FDC0">
            <w:pPr>
              <w:spacing w:line="240" w:lineRule="auto"/>
              <w:jc w:val="left"/>
              <w:rPr>
                <w:rFonts w:hint="default" w:ascii="Times New Roman" w:hAnsi="Times New Roman" w:cs="Times New Roman"/>
                <w:color w:val="auto"/>
                <w:highlight w:val="none"/>
                <w:lang w:val="en-MY" w:eastAsia="en-US"/>
              </w:rPr>
            </w:pPr>
          </w:p>
        </w:tc>
      </w:tr>
      <w:tr w14:paraId="500E5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0" w:type="auto"/>
          </w:tcPr>
          <w:p w14:paraId="0461601B">
            <w:pPr>
              <w:spacing w:line="240" w:lineRule="auto"/>
              <w:jc w:val="left"/>
              <w:rPr>
                <w:rFonts w:hint="default" w:ascii="Times New Roman" w:hAnsi="Times New Roman" w:eastAsia="Calibri" w:cs="Times New Roman"/>
                <w:color w:val="auto"/>
                <w:highlight w:val="none"/>
                <w:lang w:val="en-MY" w:eastAsia="en-US"/>
              </w:rPr>
            </w:pPr>
            <w:r>
              <w:rPr>
                <w:rFonts w:hint="default" w:ascii="Times New Roman" w:hAnsi="Times New Roman" w:cs="Times New Roman"/>
                <w:color w:val="auto"/>
                <w:highlight w:val="none"/>
              </w:rPr>
              <w:t>4</w:t>
            </w:r>
            <w:r>
              <w:rPr>
                <w:rFonts w:hint="default" w:ascii="Times New Roman" w:hAnsi="Times New Roman" w:eastAsia="Calibri" w:cs="Times New Roman"/>
                <w:color w:val="auto"/>
                <w:highlight w:val="none"/>
                <w:lang w:val="en-MY" w:eastAsia="en-US"/>
              </w:rPr>
              <w:t xml:space="preserve">. </w:t>
            </w:r>
            <w:r>
              <w:rPr>
                <w:rFonts w:hint="default" w:ascii="Times New Roman" w:hAnsi="Times New Roman" w:cs="Times New Roman"/>
                <w:color w:val="auto"/>
                <w:highlight w:val="none"/>
              </w:rPr>
              <w:t>Outside of work, I often ask my colleagues if they need help.</w:t>
            </w:r>
          </w:p>
        </w:tc>
        <w:tc>
          <w:tcPr>
            <w:tcW w:w="0" w:type="auto"/>
          </w:tcPr>
          <w:p w14:paraId="6AE49D14">
            <w:pPr>
              <w:spacing w:line="240" w:lineRule="auto"/>
              <w:jc w:val="left"/>
              <w:rPr>
                <w:rFonts w:hint="default" w:ascii="Times New Roman" w:hAnsi="Times New Roman" w:cs="Times New Roman"/>
                <w:color w:val="auto"/>
                <w:highlight w:val="none"/>
                <w:lang w:val="en-MY" w:eastAsia="en-US"/>
              </w:rPr>
            </w:pPr>
          </w:p>
        </w:tc>
        <w:tc>
          <w:tcPr>
            <w:tcW w:w="0" w:type="auto"/>
          </w:tcPr>
          <w:p w14:paraId="705C76B7">
            <w:pPr>
              <w:spacing w:line="240" w:lineRule="auto"/>
              <w:jc w:val="left"/>
              <w:rPr>
                <w:rFonts w:hint="default" w:ascii="Times New Roman" w:hAnsi="Times New Roman" w:cs="Times New Roman"/>
                <w:color w:val="auto"/>
                <w:highlight w:val="none"/>
                <w:lang w:val="en-MY" w:eastAsia="en-US"/>
              </w:rPr>
            </w:pPr>
          </w:p>
        </w:tc>
        <w:tc>
          <w:tcPr>
            <w:tcW w:w="0" w:type="auto"/>
          </w:tcPr>
          <w:p w14:paraId="0607EA9B">
            <w:pPr>
              <w:spacing w:line="240" w:lineRule="auto"/>
              <w:jc w:val="left"/>
              <w:rPr>
                <w:rFonts w:hint="default" w:ascii="Times New Roman" w:hAnsi="Times New Roman" w:cs="Times New Roman"/>
                <w:color w:val="auto"/>
                <w:highlight w:val="none"/>
                <w:lang w:val="en-MY" w:eastAsia="en-US"/>
              </w:rPr>
            </w:pPr>
          </w:p>
        </w:tc>
        <w:tc>
          <w:tcPr>
            <w:tcW w:w="0" w:type="auto"/>
          </w:tcPr>
          <w:p w14:paraId="69035DC3">
            <w:pPr>
              <w:spacing w:line="240" w:lineRule="auto"/>
              <w:jc w:val="left"/>
              <w:rPr>
                <w:rFonts w:hint="default" w:ascii="Times New Roman" w:hAnsi="Times New Roman" w:cs="Times New Roman"/>
                <w:color w:val="auto"/>
                <w:highlight w:val="none"/>
                <w:lang w:val="en-MY" w:eastAsia="en-US"/>
              </w:rPr>
            </w:pPr>
          </w:p>
        </w:tc>
        <w:tc>
          <w:tcPr>
            <w:tcW w:w="0" w:type="auto"/>
          </w:tcPr>
          <w:p w14:paraId="62064E6C">
            <w:pPr>
              <w:spacing w:line="240" w:lineRule="auto"/>
              <w:jc w:val="left"/>
              <w:rPr>
                <w:rFonts w:hint="default" w:ascii="Times New Roman" w:hAnsi="Times New Roman" w:cs="Times New Roman"/>
                <w:color w:val="auto"/>
                <w:highlight w:val="none"/>
                <w:lang w:val="en-MY" w:eastAsia="en-US"/>
              </w:rPr>
            </w:pPr>
          </w:p>
        </w:tc>
        <w:tc>
          <w:tcPr>
            <w:tcW w:w="0" w:type="auto"/>
            <w:vMerge w:val="continue"/>
          </w:tcPr>
          <w:p w14:paraId="6D9A5A53">
            <w:pPr>
              <w:spacing w:line="240" w:lineRule="auto"/>
              <w:jc w:val="left"/>
              <w:rPr>
                <w:rFonts w:hint="default" w:ascii="Times New Roman" w:hAnsi="Times New Roman" w:cs="Times New Roman"/>
                <w:color w:val="auto"/>
                <w:highlight w:val="none"/>
                <w:lang w:val="en-MY" w:eastAsia="en-US"/>
              </w:rPr>
            </w:pPr>
          </w:p>
        </w:tc>
      </w:tr>
      <w:tr w14:paraId="58618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0" w:type="auto"/>
            <w:gridSpan w:val="6"/>
            <w:shd w:val="clear" w:color="auto" w:fill="D8D8D8"/>
          </w:tcPr>
          <w:p w14:paraId="6D925777">
            <w:pPr>
              <w:spacing w:line="240" w:lineRule="auto"/>
              <w:jc w:val="left"/>
              <w:rPr>
                <w:rFonts w:hint="default" w:ascii="Times New Roman" w:hAnsi="Times New Roman" w:cs="Times New Roman"/>
                <w:color w:val="auto"/>
                <w:highlight w:val="none"/>
              </w:rPr>
            </w:pPr>
            <w:r>
              <w:rPr>
                <w:rFonts w:hint="default" w:ascii="Times New Roman" w:hAnsi="Times New Roman" w:cs="Times New Roman"/>
                <w:color w:val="auto"/>
                <w:highlight w:val="none"/>
              </w:rPr>
              <w:t>Loyalty behavior</w:t>
            </w:r>
          </w:p>
        </w:tc>
        <w:tc>
          <w:tcPr>
            <w:tcW w:w="0" w:type="auto"/>
            <w:shd w:val="clear" w:color="auto" w:fill="D8D8D8"/>
          </w:tcPr>
          <w:p w14:paraId="1AC7E965">
            <w:pPr>
              <w:spacing w:line="240" w:lineRule="auto"/>
              <w:jc w:val="left"/>
              <w:rPr>
                <w:rFonts w:hint="default" w:ascii="Times New Roman" w:hAnsi="Times New Roman" w:cs="Times New Roman"/>
                <w:color w:val="auto"/>
                <w:highlight w:val="none"/>
                <w:lang w:val="en-MY" w:eastAsia="en-US"/>
              </w:rPr>
            </w:pPr>
          </w:p>
        </w:tc>
      </w:tr>
      <w:tr w14:paraId="59631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0" w:type="auto"/>
          </w:tcPr>
          <w:p w14:paraId="2737F314">
            <w:pPr>
              <w:spacing w:line="240" w:lineRule="auto"/>
              <w:jc w:val="left"/>
              <w:rPr>
                <w:rFonts w:hint="default" w:ascii="Times New Roman" w:hAnsi="Times New Roman" w:eastAsia="Calibri" w:cs="Times New Roman"/>
                <w:color w:val="auto"/>
                <w:highlight w:val="none"/>
                <w:lang w:val="en-MY" w:eastAsia="en-US"/>
              </w:rPr>
            </w:pPr>
            <w:r>
              <w:rPr>
                <w:rFonts w:hint="default" w:ascii="Times New Roman" w:hAnsi="Times New Roman" w:cs="Times New Roman"/>
                <w:color w:val="auto"/>
                <w:highlight w:val="none"/>
              </w:rPr>
              <w:t>1</w:t>
            </w:r>
            <w:r>
              <w:rPr>
                <w:rFonts w:hint="default" w:ascii="Times New Roman" w:hAnsi="Times New Roman" w:eastAsia="Calibri" w:cs="Times New Roman"/>
                <w:color w:val="auto"/>
                <w:highlight w:val="none"/>
                <w:lang w:val="en-MY" w:eastAsia="en-US"/>
              </w:rPr>
              <w:t xml:space="preserve">. </w:t>
            </w:r>
            <w:r>
              <w:rPr>
                <w:rFonts w:hint="default" w:ascii="Times New Roman" w:hAnsi="Times New Roman" w:cs="Times New Roman"/>
                <w:color w:val="auto"/>
                <w:highlight w:val="none"/>
              </w:rPr>
              <w:t>I often think that my work is the best.</w:t>
            </w:r>
          </w:p>
        </w:tc>
        <w:tc>
          <w:tcPr>
            <w:tcW w:w="0" w:type="auto"/>
          </w:tcPr>
          <w:p w14:paraId="5DA4B326">
            <w:pPr>
              <w:spacing w:line="240" w:lineRule="auto"/>
              <w:jc w:val="left"/>
              <w:rPr>
                <w:rFonts w:hint="default" w:ascii="Times New Roman" w:hAnsi="Times New Roman" w:cs="Times New Roman"/>
                <w:color w:val="auto"/>
                <w:highlight w:val="none"/>
                <w:lang w:val="en-MY" w:eastAsia="en-US"/>
              </w:rPr>
            </w:pPr>
          </w:p>
        </w:tc>
        <w:tc>
          <w:tcPr>
            <w:tcW w:w="0" w:type="auto"/>
          </w:tcPr>
          <w:p w14:paraId="5548FD3D">
            <w:pPr>
              <w:spacing w:line="240" w:lineRule="auto"/>
              <w:jc w:val="left"/>
              <w:rPr>
                <w:rFonts w:hint="default" w:ascii="Times New Roman" w:hAnsi="Times New Roman" w:cs="Times New Roman"/>
                <w:color w:val="auto"/>
                <w:highlight w:val="none"/>
                <w:lang w:val="en-MY" w:eastAsia="en-US"/>
              </w:rPr>
            </w:pPr>
          </w:p>
        </w:tc>
        <w:tc>
          <w:tcPr>
            <w:tcW w:w="0" w:type="auto"/>
          </w:tcPr>
          <w:p w14:paraId="24F7DCF2">
            <w:pPr>
              <w:spacing w:line="240" w:lineRule="auto"/>
              <w:jc w:val="left"/>
              <w:rPr>
                <w:rFonts w:hint="default" w:ascii="Times New Roman" w:hAnsi="Times New Roman" w:cs="Times New Roman"/>
                <w:color w:val="auto"/>
                <w:highlight w:val="none"/>
                <w:lang w:val="en-MY" w:eastAsia="en-US"/>
              </w:rPr>
            </w:pPr>
          </w:p>
        </w:tc>
        <w:tc>
          <w:tcPr>
            <w:tcW w:w="0" w:type="auto"/>
          </w:tcPr>
          <w:p w14:paraId="4147AB64">
            <w:pPr>
              <w:spacing w:line="240" w:lineRule="auto"/>
              <w:jc w:val="left"/>
              <w:rPr>
                <w:rFonts w:hint="default" w:ascii="Times New Roman" w:hAnsi="Times New Roman" w:cs="Times New Roman"/>
                <w:color w:val="auto"/>
                <w:highlight w:val="none"/>
                <w:lang w:val="en-MY" w:eastAsia="en-US"/>
              </w:rPr>
            </w:pPr>
          </w:p>
        </w:tc>
        <w:tc>
          <w:tcPr>
            <w:tcW w:w="0" w:type="auto"/>
          </w:tcPr>
          <w:p w14:paraId="45B5395B">
            <w:pPr>
              <w:spacing w:line="240" w:lineRule="auto"/>
              <w:jc w:val="left"/>
              <w:rPr>
                <w:rFonts w:hint="default" w:ascii="Times New Roman" w:hAnsi="Times New Roman" w:cs="Times New Roman"/>
                <w:color w:val="auto"/>
                <w:highlight w:val="none"/>
                <w:lang w:val="en-MY" w:eastAsia="en-US"/>
              </w:rPr>
            </w:pPr>
          </w:p>
        </w:tc>
        <w:tc>
          <w:tcPr>
            <w:tcW w:w="0" w:type="auto"/>
            <w:vMerge w:val="restart"/>
          </w:tcPr>
          <w:p w14:paraId="637C0FE0">
            <w:pPr>
              <w:spacing w:line="240" w:lineRule="auto"/>
              <w:jc w:val="left"/>
              <w:rPr>
                <w:rFonts w:hint="default" w:ascii="Times New Roman" w:hAnsi="Times New Roman" w:cs="Times New Roman"/>
                <w:color w:val="auto"/>
                <w:highlight w:val="none"/>
                <w:lang w:val="en-MY" w:eastAsia="en-US"/>
              </w:rPr>
            </w:pPr>
          </w:p>
        </w:tc>
      </w:tr>
      <w:tr w14:paraId="3A745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0" w:type="auto"/>
          </w:tcPr>
          <w:p w14:paraId="330686A4">
            <w:pPr>
              <w:spacing w:line="240" w:lineRule="auto"/>
              <w:jc w:val="left"/>
              <w:rPr>
                <w:rFonts w:hint="default" w:ascii="Times New Roman" w:hAnsi="Times New Roman" w:eastAsia="Calibri" w:cs="Times New Roman"/>
                <w:color w:val="auto"/>
                <w:highlight w:val="none"/>
                <w:lang w:val="en-MY" w:eastAsia="en-US"/>
              </w:rPr>
            </w:pPr>
            <w:r>
              <w:rPr>
                <w:rFonts w:hint="default" w:ascii="Times New Roman" w:hAnsi="Times New Roman" w:eastAsia="Calibri" w:cs="Times New Roman"/>
                <w:color w:val="auto"/>
                <w:highlight w:val="none"/>
                <w:lang w:val="en-MY" w:eastAsia="en-US"/>
              </w:rPr>
              <w:t xml:space="preserve">2. </w:t>
            </w:r>
            <w:r>
              <w:rPr>
                <w:rFonts w:hint="default" w:ascii="Times New Roman" w:hAnsi="Times New Roman" w:cs="Times New Roman"/>
                <w:color w:val="auto"/>
                <w:highlight w:val="none"/>
              </w:rPr>
              <w:t>I will not leave the organization regardless of whether it is in good times or bad times.</w:t>
            </w:r>
          </w:p>
        </w:tc>
        <w:tc>
          <w:tcPr>
            <w:tcW w:w="0" w:type="auto"/>
          </w:tcPr>
          <w:p w14:paraId="668FE048">
            <w:pPr>
              <w:spacing w:line="240" w:lineRule="auto"/>
              <w:jc w:val="left"/>
              <w:rPr>
                <w:rFonts w:hint="default" w:ascii="Times New Roman" w:hAnsi="Times New Roman" w:cs="Times New Roman"/>
                <w:color w:val="auto"/>
                <w:highlight w:val="none"/>
                <w:lang w:val="en-MY" w:eastAsia="en-US"/>
              </w:rPr>
            </w:pPr>
          </w:p>
        </w:tc>
        <w:tc>
          <w:tcPr>
            <w:tcW w:w="0" w:type="auto"/>
          </w:tcPr>
          <w:p w14:paraId="108D74C3">
            <w:pPr>
              <w:spacing w:line="240" w:lineRule="auto"/>
              <w:jc w:val="left"/>
              <w:rPr>
                <w:rFonts w:hint="default" w:ascii="Times New Roman" w:hAnsi="Times New Roman" w:cs="Times New Roman"/>
                <w:color w:val="auto"/>
                <w:highlight w:val="none"/>
                <w:lang w:val="en-MY" w:eastAsia="en-US"/>
              </w:rPr>
            </w:pPr>
          </w:p>
        </w:tc>
        <w:tc>
          <w:tcPr>
            <w:tcW w:w="0" w:type="auto"/>
          </w:tcPr>
          <w:p w14:paraId="49B5CD6E">
            <w:pPr>
              <w:spacing w:line="240" w:lineRule="auto"/>
              <w:jc w:val="left"/>
              <w:rPr>
                <w:rFonts w:hint="default" w:ascii="Times New Roman" w:hAnsi="Times New Roman" w:cs="Times New Roman"/>
                <w:color w:val="auto"/>
                <w:highlight w:val="none"/>
                <w:lang w:val="en-MY" w:eastAsia="en-US"/>
              </w:rPr>
            </w:pPr>
          </w:p>
        </w:tc>
        <w:tc>
          <w:tcPr>
            <w:tcW w:w="0" w:type="auto"/>
          </w:tcPr>
          <w:p w14:paraId="4244F9AD">
            <w:pPr>
              <w:spacing w:line="240" w:lineRule="auto"/>
              <w:jc w:val="left"/>
              <w:rPr>
                <w:rFonts w:hint="default" w:ascii="Times New Roman" w:hAnsi="Times New Roman" w:cs="Times New Roman"/>
                <w:color w:val="auto"/>
                <w:highlight w:val="none"/>
                <w:lang w:val="en-MY" w:eastAsia="en-US"/>
              </w:rPr>
            </w:pPr>
          </w:p>
        </w:tc>
        <w:tc>
          <w:tcPr>
            <w:tcW w:w="0" w:type="auto"/>
          </w:tcPr>
          <w:p w14:paraId="399D279C">
            <w:pPr>
              <w:spacing w:line="240" w:lineRule="auto"/>
              <w:jc w:val="left"/>
              <w:rPr>
                <w:rFonts w:hint="default" w:ascii="Times New Roman" w:hAnsi="Times New Roman" w:cs="Times New Roman"/>
                <w:color w:val="auto"/>
                <w:highlight w:val="none"/>
                <w:lang w:val="en-MY" w:eastAsia="en-US"/>
              </w:rPr>
            </w:pPr>
          </w:p>
        </w:tc>
        <w:tc>
          <w:tcPr>
            <w:tcW w:w="0" w:type="auto"/>
            <w:vMerge w:val="continue"/>
          </w:tcPr>
          <w:p w14:paraId="55D99B52">
            <w:pPr>
              <w:spacing w:line="240" w:lineRule="auto"/>
              <w:jc w:val="left"/>
              <w:rPr>
                <w:rFonts w:hint="default" w:ascii="Times New Roman" w:hAnsi="Times New Roman" w:cs="Times New Roman"/>
                <w:color w:val="auto"/>
                <w:highlight w:val="none"/>
                <w:lang w:val="en-MY" w:eastAsia="en-US"/>
              </w:rPr>
            </w:pPr>
          </w:p>
        </w:tc>
      </w:tr>
      <w:tr w14:paraId="2B763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0" w:type="auto"/>
          </w:tcPr>
          <w:p w14:paraId="271D81BE">
            <w:pPr>
              <w:spacing w:line="240" w:lineRule="auto"/>
              <w:jc w:val="left"/>
              <w:rPr>
                <w:rFonts w:hint="default" w:ascii="Times New Roman" w:hAnsi="Times New Roman" w:eastAsia="Calibri" w:cs="Times New Roman"/>
                <w:color w:val="auto"/>
                <w:highlight w:val="none"/>
                <w:lang w:val="en-MY" w:eastAsia="en-US"/>
              </w:rPr>
            </w:pPr>
            <w:r>
              <w:rPr>
                <w:rFonts w:hint="default" w:ascii="Times New Roman" w:hAnsi="Times New Roman" w:cs="Times New Roman"/>
                <w:color w:val="auto"/>
                <w:highlight w:val="none"/>
              </w:rPr>
              <w:t>3</w:t>
            </w:r>
            <w:r>
              <w:rPr>
                <w:rFonts w:hint="default" w:ascii="Times New Roman" w:hAnsi="Times New Roman" w:eastAsia="Calibri" w:cs="Times New Roman"/>
                <w:color w:val="auto"/>
                <w:highlight w:val="none"/>
                <w:lang w:val="en-MY" w:eastAsia="en-US"/>
              </w:rPr>
              <w:t xml:space="preserve">. </w:t>
            </w:r>
            <w:r>
              <w:rPr>
                <w:rFonts w:hint="default" w:ascii="Times New Roman" w:hAnsi="Times New Roman" w:cs="Times New Roman"/>
                <w:color w:val="auto"/>
                <w:highlight w:val="none"/>
              </w:rPr>
              <w:t>I will always do my best to protect the reputation of the organization when others criticize it.</w:t>
            </w:r>
          </w:p>
        </w:tc>
        <w:tc>
          <w:tcPr>
            <w:tcW w:w="0" w:type="auto"/>
          </w:tcPr>
          <w:p w14:paraId="2A2FC983">
            <w:pPr>
              <w:spacing w:line="240" w:lineRule="auto"/>
              <w:jc w:val="left"/>
              <w:rPr>
                <w:rFonts w:hint="default" w:ascii="Times New Roman" w:hAnsi="Times New Roman" w:cs="Times New Roman"/>
                <w:color w:val="auto"/>
                <w:highlight w:val="none"/>
                <w:lang w:val="en-MY" w:eastAsia="en-US"/>
              </w:rPr>
            </w:pPr>
          </w:p>
        </w:tc>
        <w:tc>
          <w:tcPr>
            <w:tcW w:w="0" w:type="auto"/>
          </w:tcPr>
          <w:p w14:paraId="1FD7BF91">
            <w:pPr>
              <w:spacing w:line="240" w:lineRule="auto"/>
              <w:jc w:val="left"/>
              <w:rPr>
                <w:rFonts w:hint="default" w:ascii="Times New Roman" w:hAnsi="Times New Roman" w:cs="Times New Roman"/>
                <w:color w:val="auto"/>
                <w:highlight w:val="none"/>
                <w:lang w:val="en-MY" w:eastAsia="en-US"/>
              </w:rPr>
            </w:pPr>
          </w:p>
        </w:tc>
        <w:tc>
          <w:tcPr>
            <w:tcW w:w="0" w:type="auto"/>
          </w:tcPr>
          <w:p w14:paraId="0BC7003F">
            <w:pPr>
              <w:spacing w:line="240" w:lineRule="auto"/>
              <w:jc w:val="left"/>
              <w:rPr>
                <w:rFonts w:hint="default" w:ascii="Times New Roman" w:hAnsi="Times New Roman" w:cs="Times New Roman"/>
                <w:color w:val="auto"/>
                <w:highlight w:val="none"/>
                <w:lang w:val="en-MY" w:eastAsia="en-US"/>
              </w:rPr>
            </w:pPr>
          </w:p>
        </w:tc>
        <w:tc>
          <w:tcPr>
            <w:tcW w:w="0" w:type="auto"/>
          </w:tcPr>
          <w:p w14:paraId="4ECB8101">
            <w:pPr>
              <w:spacing w:line="240" w:lineRule="auto"/>
              <w:jc w:val="left"/>
              <w:rPr>
                <w:rFonts w:hint="default" w:ascii="Times New Roman" w:hAnsi="Times New Roman" w:cs="Times New Roman"/>
                <w:color w:val="auto"/>
                <w:highlight w:val="none"/>
                <w:lang w:val="en-MY" w:eastAsia="en-US"/>
              </w:rPr>
            </w:pPr>
          </w:p>
        </w:tc>
        <w:tc>
          <w:tcPr>
            <w:tcW w:w="0" w:type="auto"/>
          </w:tcPr>
          <w:p w14:paraId="45DE93D1">
            <w:pPr>
              <w:spacing w:line="240" w:lineRule="auto"/>
              <w:jc w:val="left"/>
              <w:rPr>
                <w:rFonts w:hint="default" w:ascii="Times New Roman" w:hAnsi="Times New Roman" w:cs="Times New Roman"/>
                <w:color w:val="auto"/>
                <w:highlight w:val="none"/>
                <w:lang w:val="en-MY" w:eastAsia="en-US"/>
              </w:rPr>
            </w:pPr>
          </w:p>
        </w:tc>
        <w:tc>
          <w:tcPr>
            <w:tcW w:w="0" w:type="auto"/>
            <w:vMerge w:val="continue"/>
          </w:tcPr>
          <w:p w14:paraId="426614F9">
            <w:pPr>
              <w:spacing w:line="240" w:lineRule="auto"/>
              <w:jc w:val="left"/>
              <w:rPr>
                <w:rFonts w:hint="default" w:ascii="Times New Roman" w:hAnsi="Times New Roman" w:cs="Times New Roman"/>
                <w:color w:val="auto"/>
                <w:highlight w:val="none"/>
                <w:lang w:val="en-MY" w:eastAsia="en-US"/>
              </w:rPr>
            </w:pPr>
          </w:p>
        </w:tc>
      </w:tr>
      <w:tr w14:paraId="3AA0D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0" w:type="auto"/>
          </w:tcPr>
          <w:p w14:paraId="334EE916">
            <w:pPr>
              <w:spacing w:line="240" w:lineRule="auto"/>
              <w:jc w:val="left"/>
              <w:rPr>
                <w:rFonts w:hint="default" w:ascii="Times New Roman" w:hAnsi="Times New Roman" w:eastAsia="Calibri" w:cs="Times New Roman"/>
                <w:color w:val="auto"/>
                <w:highlight w:val="none"/>
                <w:lang w:val="en-MY" w:eastAsia="en-US"/>
              </w:rPr>
            </w:pPr>
            <w:r>
              <w:rPr>
                <w:rFonts w:hint="default" w:ascii="Times New Roman" w:hAnsi="Times New Roman" w:cs="Times New Roman"/>
                <w:color w:val="auto"/>
                <w:highlight w:val="none"/>
              </w:rPr>
              <w:t>4</w:t>
            </w:r>
            <w:r>
              <w:rPr>
                <w:rFonts w:hint="default" w:ascii="Times New Roman" w:hAnsi="Times New Roman" w:eastAsia="Calibri" w:cs="Times New Roman"/>
                <w:color w:val="auto"/>
                <w:highlight w:val="none"/>
                <w:lang w:val="en-MY" w:eastAsia="en-US"/>
              </w:rPr>
              <w:t xml:space="preserve">. </w:t>
            </w:r>
            <w:r>
              <w:rPr>
                <w:rFonts w:hint="default" w:ascii="Times New Roman" w:hAnsi="Times New Roman" w:cs="Times New Roman"/>
                <w:color w:val="auto"/>
                <w:highlight w:val="none"/>
              </w:rPr>
              <w:t>I will not leave until the problems in the organization are resolved.</w:t>
            </w:r>
          </w:p>
        </w:tc>
        <w:tc>
          <w:tcPr>
            <w:tcW w:w="0" w:type="auto"/>
          </w:tcPr>
          <w:p w14:paraId="5F15769E">
            <w:pPr>
              <w:spacing w:line="240" w:lineRule="auto"/>
              <w:jc w:val="left"/>
              <w:rPr>
                <w:rFonts w:hint="default" w:ascii="Times New Roman" w:hAnsi="Times New Roman" w:cs="Times New Roman"/>
                <w:color w:val="auto"/>
                <w:highlight w:val="none"/>
                <w:lang w:val="en-MY" w:eastAsia="en-US"/>
              </w:rPr>
            </w:pPr>
          </w:p>
        </w:tc>
        <w:tc>
          <w:tcPr>
            <w:tcW w:w="0" w:type="auto"/>
          </w:tcPr>
          <w:p w14:paraId="75A43AA3">
            <w:pPr>
              <w:spacing w:line="240" w:lineRule="auto"/>
              <w:jc w:val="left"/>
              <w:rPr>
                <w:rFonts w:hint="default" w:ascii="Times New Roman" w:hAnsi="Times New Roman" w:cs="Times New Roman"/>
                <w:color w:val="auto"/>
                <w:highlight w:val="none"/>
                <w:lang w:val="en-MY" w:eastAsia="en-US"/>
              </w:rPr>
            </w:pPr>
          </w:p>
        </w:tc>
        <w:tc>
          <w:tcPr>
            <w:tcW w:w="0" w:type="auto"/>
          </w:tcPr>
          <w:p w14:paraId="21440558">
            <w:pPr>
              <w:spacing w:line="240" w:lineRule="auto"/>
              <w:jc w:val="left"/>
              <w:rPr>
                <w:rFonts w:hint="default" w:ascii="Times New Roman" w:hAnsi="Times New Roman" w:cs="Times New Roman"/>
                <w:color w:val="auto"/>
                <w:highlight w:val="none"/>
                <w:lang w:val="en-MY" w:eastAsia="en-US"/>
              </w:rPr>
            </w:pPr>
          </w:p>
        </w:tc>
        <w:tc>
          <w:tcPr>
            <w:tcW w:w="0" w:type="auto"/>
          </w:tcPr>
          <w:p w14:paraId="3C906EEA">
            <w:pPr>
              <w:spacing w:line="240" w:lineRule="auto"/>
              <w:jc w:val="left"/>
              <w:rPr>
                <w:rFonts w:hint="default" w:ascii="Times New Roman" w:hAnsi="Times New Roman" w:cs="Times New Roman"/>
                <w:color w:val="auto"/>
                <w:highlight w:val="none"/>
                <w:lang w:val="en-MY" w:eastAsia="en-US"/>
              </w:rPr>
            </w:pPr>
          </w:p>
        </w:tc>
        <w:tc>
          <w:tcPr>
            <w:tcW w:w="0" w:type="auto"/>
          </w:tcPr>
          <w:p w14:paraId="0A89D986">
            <w:pPr>
              <w:spacing w:line="240" w:lineRule="auto"/>
              <w:jc w:val="left"/>
              <w:rPr>
                <w:rFonts w:hint="default" w:ascii="Times New Roman" w:hAnsi="Times New Roman" w:cs="Times New Roman"/>
                <w:color w:val="auto"/>
                <w:highlight w:val="none"/>
                <w:lang w:val="en-MY" w:eastAsia="en-US"/>
              </w:rPr>
            </w:pPr>
          </w:p>
        </w:tc>
        <w:tc>
          <w:tcPr>
            <w:tcW w:w="0" w:type="auto"/>
            <w:vMerge w:val="continue"/>
          </w:tcPr>
          <w:p w14:paraId="2BB8C356">
            <w:pPr>
              <w:spacing w:line="240" w:lineRule="auto"/>
              <w:jc w:val="left"/>
              <w:rPr>
                <w:rFonts w:hint="default" w:ascii="Times New Roman" w:hAnsi="Times New Roman" w:cs="Times New Roman"/>
                <w:color w:val="auto"/>
                <w:highlight w:val="none"/>
                <w:lang w:val="en-MY" w:eastAsia="en-US"/>
              </w:rPr>
            </w:pPr>
          </w:p>
        </w:tc>
      </w:tr>
      <w:tr w14:paraId="2DBD0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trPr>
        <w:tc>
          <w:tcPr>
            <w:tcW w:w="0" w:type="auto"/>
            <w:gridSpan w:val="6"/>
            <w:shd w:val="clear" w:color="auto" w:fill="D8D8D8"/>
          </w:tcPr>
          <w:p w14:paraId="7270BF38">
            <w:pPr>
              <w:spacing w:line="240" w:lineRule="auto"/>
              <w:jc w:val="left"/>
              <w:rPr>
                <w:rFonts w:hint="default" w:ascii="Times New Roman" w:hAnsi="Times New Roman" w:cs="Times New Roman"/>
                <w:color w:val="auto"/>
                <w:highlight w:val="none"/>
              </w:rPr>
            </w:pPr>
            <w:r>
              <w:rPr>
                <w:rFonts w:hint="default" w:ascii="Times New Roman" w:hAnsi="Times New Roman" w:cs="Times New Roman"/>
                <w:color w:val="auto"/>
                <w:highlight w:val="none"/>
              </w:rPr>
              <w:t>Neglect behavior</w:t>
            </w:r>
          </w:p>
        </w:tc>
        <w:tc>
          <w:tcPr>
            <w:tcW w:w="0" w:type="auto"/>
            <w:shd w:val="clear" w:color="auto" w:fill="D8D8D8"/>
          </w:tcPr>
          <w:p w14:paraId="3B185623">
            <w:pPr>
              <w:spacing w:line="240" w:lineRule="auto"/>
              <w:jc w:val="left"/>
              <w:rPr>
                <w:rFonts w:hint="default" w:ascii="Times New Roman" w:hAnsi="Times New Roman" w:cs="Times New Roman"/>
                <w:color w:val="auto"/>
                <w:highlight w:val="none"/>
                <w:lang w:val="en-MY" w:eastAsia="en-US"/>
              </w:rPr>
            </w:pPr>
          </w:p>
        </w:tc>
      </w:tr>
      <w:tr w14:paraId="043BB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0" w:type="auto"/>
          </w:tcPr>
          <w:p w14:paraId="3086B363">
            <w:pPr>
              <w:spacing w:line="240" w:lineRule="auto"/>
              <w:jc w:val="left"/>
              <w:rPr>
                <w:rFonts w:hint="default" w:ascii="Times New Roman" w:hAnsi="Times New Roman" w:eastAsia="Calibri" w:cs="Times New Roman"/>
                <w:color w:val="auto"/>
                <w:highlight w:val="none"/>
                <w:lang w:val="en-MY" w:eastAsia="en-US"/>
              </w:rPr>
            </w:pPr>
            <w:r>
              <w:rPr>
                <w:rFonts w:hint="default" w:ascii="Times New Roman" w:hAnsi="Times New Roman" w:cs="Times New Roman"/>
                <w:color w:val="auto"/>
                <w:highlight w:val="none"/>
              </w:rPr>
              <w:t>1</w:t>
            </w:r>
            <w:r>
              <w:rPr>
                <w:rFonts w:hint="default" w:ascii="Times New Roman" w:hAnsi="Times New Roman" w:eastAsia="Calibri" w:cs="Times New Roman"/>
                <w:color w:val="auto"/>
                <w:highlight w:val="none"/>
                <w:lang w:val="en-MY" w:eastAsia="en-US"/>
              </w:rPr>
              <w:t xml:space="preserve">. </w:t>
            </w:r>
            <w:r>
              <w:rPr>
                <w:rFonts w:hint="default" w:ascii="Times New Roman" w:hAnsi="Times New Roman" w:cs="Times New Roman"/>
                <w:color w:val="auto"/>
                <w:highlight w:val="none"/>
              </w:rPr>
              <w:t>Sometimes, when I don't feel like working, I will call in sick or find other reasons not to work.</w:t>
            </w:r>
          </w:p>
        </w:tc>
        <w:tc>
          <w:tcPr>
            <w:tcW w:w="0" w:type="auto"/>
          </w:tcPr>
          <w:p w14:paraId="1B59BA60">
            <w:pPr>
              <w:spacing w:line="240" w:lineRule="auto"/>
              <w:jc w:val="left"/>
              <w:rPr>
                <w:rFonts w:hint="default" w:ascii="Times New Roman" w:hAnsi="Times New Roman" w:cs="Times New Roman"/>
                <w:color w:val="auto"/>
                <w:highlight w:val="none"/>
                <w:lang w:val="en-MY" w:eastAsia="en-US"/>
              </w:rPr>
            </w:pPr>
          </w:p>
        </w:tc>
        <w:tc>
          <w:tcPr>
            <w:tcW w:w="0" w:type="auto"/>
          </w:tcPr>
          <w:p w14:paraId="2D3C9A20">
            <w:pPr>
              <w:spacing w:line="240" w:lineRule="auto"/>
              <w:jc w:val="left"/>
              <w:rPr>
                <w:rFonts w:hint="default" w:ascii="Times New Roman" w:hAnsi="Times New Roman" w:cs="Times New Roman"/>
                <w:color w:val="auto"/>
                <w:highlight w:val="none"/>
                <w:lang w:val="en-MY" w:eastAsia="en-US"/>
              </w:rPr>
            </w:pPr>
          </w:p>
        </w:tc>
        <w:tc>
          <w:tcPr>
            <w:tcW w:w="0" w:type="auto"/>
          </w:tcPr>
          <w:p w14:paraId="0BA18565">
            <w:pPr>
              <w:spacing w:line="240" w:lineRule="auto"/>
              <w:jc w:val="left"/>
              <w:rPr>
                <w:rFonts w:hint="default" w:ascii="Times New Roman" w:hAnsi="Times New Roman" w:cs="Times New Roman"/>
                <w:color w:val="auto"/>
                <w:highlight w:val="none"/>
                <w:lang w:val="en-MY" w:eastAsia="en-US"/>
              </w:rPr>
            </w:pPr>
          </w:p>
        </w:tc>
        <w:tc>
          <w:tcPr>
            <w:tcW w:w="0" w:type="auto"/>
          </w:tcPr>
          <w:p w14:paraId="40CD3F30">
            <w:pPr>
              <w:spacing w:line="240" w:lineRule="auto"/>
              <w:jc w:val="left"/>
              <w:rPr>
                <w:rFonts w:hint="default" w:ascii="Times New Roman" w:hAnsi="Times New Roman" w:cs="Times New Roman"/>
                <w:color w:val="auto"/>
                <w:highlight w:val="none"/>
                <w:lang w:val="en-MY" w:eastAsia="en-US"/>
              </w:rPr>
            </w:pPr>
          </w:p>
        </w:tc>
        <w:tc>
          <w:tcPr>
            <w:tcW w:w="0" w:type="auto"/>
          </w:tcPr>
          <w:p w14:paraId="313FAEB9">
            <w:pPr>
              <w:spacing w:line="240" w:lineRule="auto"/>
              <w:jc w:val="left"/>
              <w:rPr>
                <w:rFonts w:hint="default" w:ascii="Times New Roman" w:hAnsi="Times New Roman" w:cs="Times New Roman"/>
                <w:color w:val="auto"/>
                <w:highlight w:val="none"/>
                <w:lang w:val="en-MY" w:eastAsia="en-US"/>
              </w:rPr>
            </w:pPr>
          </w:p>
        </w:tc>
        <w:tc>
          <w:tcPr>
            <w:tcW w:w="0" w:type="auto"/>
          </w:tcPr>
          <w:p w14:paraId="0EA67DE1">
            <w:pPr>
              <w:spacing w:line="240" w:lineRule="auto"/>
              <w:jc w:val="left"/>
              <w:rPr>
                <w:rFonts w:hint="default" w:ascii="Times New Roman" w:hAnsi="Times New Roman" w:cs="Times New Roman"/>
                <w:color w:val="auto"/>
                <w:highlight w:val="none"/>
                <w:lang w:val="en-MY" w:eastAsia="en-US"/>
              </w:rPr>
            </w:pPr>
          </w:p>
        </w:tc>
      </w:tr>
      <w:tr w14:paraId="63599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0" w:type="auto"/>
          </w:tcPr>
          <w:p w14:paraId="71E12617">
            <w:pPr>
              <w:spacing w:line="240" w:lineRule="auto"/>
              <w:jc w:val="left"/>
              <w:rPr>
                <w:rFonts w:hint="default" w:ascii="Times New Roman" w:hAnsi="Times New Roman" w:eastAsia="Calibri" w:cs="Times New Roman"/>
                <w:color w:val="auto"/>
                <w:highlight w:val="none"/>
                <w:lang w:val="en-MY" w:eastAsia="en-US"/>
              </w:rPr>
            </w:pPr>
            <w:r>
              <w:rPr>
                <w:rFonts w:hint="default" w:ascii="Times New Roman" w:hAnsi="Times New Roman" w:cs="Times New Roman"/>
                <w:color w:val="auto"/>
                <w:highlight w:val="none"/>
              </w:rPr>
              <w:t>2</w:t>
            </w:r>
            <w:r>
              <w:rPr>
                <w:rFonts w:hint="default" w:ascii="Times New Roman" w:hAnsi="Times New Roman" w:eastAsia="Calibri" w:cs="Times New Roman"/>
                <w:color w:val="auto"/>
                <w:highlight w:val="none"/>
                <w:lang w:val="en-MY" w:eastAsia="en-US"/>
              </w:rPr>
              <w:t xml:space="preserve">. </w:t>
            </w:r>
            <w:r>
              <w:rPr>
                <w:rFonts w:hint="default" w:ascii="Times New Roman" w:hAnsi="Times New Roman" w:cs="Times New Roman"/>
                <w:color w:val="auto"/>
                <w:highlight w:val="none"/>
              </w:rPr>
              <w:t>If I am not in the mood to work, I may be late for work.</w:t>
            </w:r>
          </w:p>
        </w:tc>
        <w:tc>
          <w:tcPr>
            <w:tcW w:w="0" w:type="auto"/>
          </w:tcPr>
          <w:p w14:paraId="390EF84C">
            <w:pPr>
              <w:spacing w:line="240" w:lineRule="auto"/>
              <w:jc w:val="left"/>
              <w:rPr>
                <w:rFonts w:hint="default" w:ascii="Times New Roman" w:hAnsi="Times New Roman" w:cs="Times New Roman"/>
                <w:color w:val="auto"/>
                <w:highlight w:val="none"/>
                <w:lang w:val="en-MY" w:eastAsia="en-US"/>
              </w:rPr>
            </w:pPr>
          </w:p>
        </w:tc>
        <w:tc>
          <w:tcPr>
            <w:tcW w:w="0" w:type="auto"/>
          </w:tcPr>
          <w:p w14:paraId="0ED845E6">
            <w:pPr>
              <w:spacing w:line="240" w:lineRule="auto"/>
              <w:jc w:val="left"/>
              <w:rPr>
                <w:rFonts w:hint="default" w:ascii="Times New Roman" w:hAnsi="Times New Roman" w:cs="Times New Roman"/>
                <w:color w:val="auto"/>
                <w:highlight w:val="none"/>
                <w:lang w:val="en-MY" w:eastAsia="en-US"/>
              </w:rPr>
            </w:pPr>
          </w:p>
        </w:tc>
        <w:tc>
          <w:tcPr>
            <w:tcW w:w="0" w:type="auto"/>
          </w:tcPr>
          <w:p w14:paraId="09DED3EA">
            <w:pPr>
              <w:spacing w:line="240" w:lineRule="auto"/>
              <w:jc w:val="left"/>
              <w:rPr>
                <w:rFonts w:hint="default" w:ascii="Times New Roman" w:hAnsi="Times New Roman" w:cs="Times New Roman"/>
                <w:color w:val="auto"/>
                <w:highlight w:val="none"/>
                <w:lang w:val="en-MY" w:eastAsia="en-US"/>
              </w:rPr>
            </w:pPr>
          </w:p>
        </w:tc>
        <w:tc>
          <w:tcPr>
            <w:tcW w:w="0" w:type="auto"/>
          </w:tcPr>
          <w:p w14:paraId="6FF00AC7">
            <w:pPr>
              <w:spacing w:line="240" w:lineRule="auto"/>
              <w:jc w:val="left"/>
              <w:rPr>
                <w:rFonts w:hint="default" w:ascii="Times New Roman" w:hAnsi="Times New Roman" w:cs="Times New Roman"/>
                <w:color w:val="auto"/>
                <w:highlight w:val="none"/>
                <w:lang w:val="en-MY" w:eastAsia="en-US"/>
              </w:rPr>
            </w:pPr>
          </w:p>
        </w:tc>
        <w:tc>
          <w:tcPr>
            <w:tcW w:w="0" w:type="auto"/>
          </w:tcPr>
          <w:p w14:paraId="0B1BCCCE">
            <w:pPr>
              <w:spacing w:line="240" w:lineRule="auto"/>
              <w:jc w:val="left"/>
              <w:rPr>
                <w:rFonts w:hint="default" w:ascii="Times New Roman" w:hAnsi="Times New Roman" w:cs="Times New Roman"/>
                <w:color w:val="auto"/>
                <w:highlight w:val="none"/>
                <w:lang w:val="en-MY" w:eastAsia="en-US"/>
              </w:rPr>
            </w:pPr>
          </w:p>
        </w:tc>
        <w:tc>
          <w:tcPr>
            <w:tcW w:w="0" w:type="auto"/>
          </w:tcPr>
          <w:p w14:paraId="1C9A0A14">
            <w:pPr>
              <w:spacing w:line="240" w:lineRule="auto"/>
              <w:jc w:val="left"/>
              <w:rPr>
                <w:rFonts w:hint="default" w:ascii="Times New Roman" w:hAnsi="Times New Roman" w:cs="Times New Roman"/>
                <w:color w:val="auto"/>
                <w:highlight w:val="none"/>
                <w:lang w:val="en-MY" w:eastAsia="en-US"/>
              </w:rPr>
            </w:pPr>
          </w:p>
        </w:tc>
      </w:tr>
      <w:tr w14:paraId="6D8F5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0" w:type="auto"/>
          </w:tcPr>
          <w:p w14:paraId="46168E06">
            <w:pPr>
              <w:spacing w:line="240" w:lineRule="auto"/>
              <w:jc w:val="left"/>
              <w:rPr>
                <w:rFonts w:hint="default" w:ascii="Times New Roman" w:hAnsi="Times New Roman" w:eastAsia="Calibri" w:cs="Times New Roman"/>
                <w:color w:val="auto"/>
                <w:highlight w:val="none"/>
                <w:lang w:val="en-MY" w:eastAsia="en-US"/>
              </w:rPr>
            </w:pPr>
            <w:r>
              <w:rPr>
                <w:rFonts w:hint="default" w:ascii="Times New Roman" w:hAnsi="Times New Roman" w:cs="Times New Roman"/>
                <w:color w:val="auto"/>
                <w:highlight w:val="none"/>
              </w:rPr>
              <w:t>3</w:t>
            </w:r>
            <w:r>
              <w:rPr>
                <w:rFonts w:hint="default" w:ascii="Times New Roman" w:hAnsi="Times New Roman" w:eastAsia="Calibri" w:cs="Times New Roman"/>
                <w:color w:val="auto"/>
                <w:highlight w:val="none"/>
                <w:lang w:val="en-MY" w:eastAsia="en-US"/>
              </w:rPr>
              <w:t xml:space="preserve">. </w:t>
            </w:r>
            <w:r>
              <w:rPr>
                <w:rFonts w:hint="default" w:ascii="Times New Roman" w:hAnsi="Times New Roman" w:cs="Times New Roman"/>
                <w:color w:val="auto"/>
                <w:highlight w:val="none"/>
              </w:rPr>
              <w:t>I will not work at full strength.</w:t>
            </w:r>
          </w:p>
        </w:tc>
        <w:tc>
          <w:tcPr>
            <w:tcW w:w="0" w:type="auto"/>
          </w:tcPr>
          <w:p w14:paraId="0C2E275F">
            <w:pPr>
              <w:spacing w:line="240" w:lineRule="auto"/>
              <w:jc w:val="left"/>
              <w:rPr>
                <w:rFonts w:hint="default" w:ascii="Times New Roman" w:hAnsi="Times New Roman" w:cs="Times New Roman"/>
                <w:color w:val="auto"/>
                <w:highlight w:val="none"/>
                <w:lang w:val="en-MY" w:eastAsia="en-US"/>
              </w:rPr>
            </w:pPr>
          </w:p>
        </w:tc>
        <w:tc>
          <w:tcPr>
            <w:tcW w:w="0" w:type="auto"/>
          </w:tcPr>
          <w:p w14:paraId="643CCD2E">
            <w:pPr>
              <w:spacing w:line="240" w:lineRule="auto"/>
              <w:jc w:val="left"/>
              <w:rPr>
                <w:rFonts w:hint="default" w:ascii="Times New Roman" w:hAnsi="Times New Roman" w:cs="Times New Roman"/>
                <w:color w:val="auto"/>
                <w:highlight w:val="none"/>
                <w:lang w:val="en-MY" w:eastAsia="en-US"/>
              </w:rPr>
            </w:pPr>
          </w:p>
        </w:tc>
        <w:tc>
          <w:tcPr>
            <w:tcW w:w="0" w:type="auto"/>
          </w:tcPr>
          <w:p w14:paraId="5946C351">
            <w:pPr>
              <w:spacing w:line="240" w:lineRule="auto"/>
              <w:jc w:val="left"/>
              <w:rPr>
                <w:rFonts w:hint="default" w:ascii="Times New Roman" w:hAnsi="Times New Roman" w:cs="Times New Roman"/>
                <w:color w:val="auto"/>
                <w:highlight w:val="none"/>
                <w:lang w:val="en-MY" w:eastAsia="en-US"/>
              </w:rPr>
            </w:pPr>
          </w:p>
        </w:tc>
        <w:tc>
          <w:tcPr>
            <w:tcW w:w="0" w:type="auto"/>
          </w:tcPr>
          <w:p w14:paraId="368F3530">
            <w:pPr>
              <w:spacing w:line="240" w:lineRule="auto"/>
              <w:jc w:val="left"/>
              <w:rPr>
                <w:rFonts w:hint="default" w:ascii="Times New Roman" w:hAnsi="Times New Roman" w:cs="Times New Roman"/>
                <w:color w:val="auto"/>
                <w:highlight w:val="none"/>
                <w:lang w:val="en-MY" w:eastAsia="en-US"/>
              </w:rPr>
            </w:pPr>
          </w:p>
        </w:tc>
        <w:tc>
          <w:tcPr>
            <w:tcW w:w="0" w:type="auto"/>
          </w:tcPr>
          <w:p w14:paraId="7756E54C">
            <w:pPr>
              <w:spacing w:line="240" w:lineRule="auto"/>
              <w:jc w:val="left"/>
              <w:rPr>
                <w:rFonts w:hint="default" w:ascii="Times New Roman" w:hAnsi="Times New Roman" w:cs="Times New Roman"/>
                <w:color w:val="auto"/>
                <w:highlight w:val="none"/>
                <w:lang w:val="en-MY" w:eastAsia="en-US"/>
              </w:rPr>
            </w:pPr>
          </w:p>
        </w:tc>
        <w:tc>
          <w:tcPr>
            <w:tcW w:w="0" w:type="auto"/>
          </w:tcPr>
          <w:p w14:paraId="7E0B34F3">
            <w:pPr>
              <w:spacing w:line="240" w:lineRule="auto"/>
              <w:jc w:val="left"/>
              <w:rPr>
                <w:rFonts w:hint="default" w:ascii="Times New Roman" w:hAnsi="Times New Roman" w:cs="Times New Roman"/>
                <w:color w:val="auto"/>
                <w:highlight w:val="none"/>
                <w:lang w:val="en-MY" w:eastAsia="en-US"/>
              </w:rPr>
            </w:pPr>
          </w:p>
        </w:tc>
      </w:tr>
      <w:tr w14:paraId="0EE14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0" w:type="auto"/>
          </w:tcPr>
          <w:p w14:paraId="709BDB8D">
            <w:pPr>
              <w:spacing w:line="240" w:lineRule="auto"/>
              <w:jc w:val="left"/>
              <w:rPr>
                <w:rFonts w:hint="default" w:ascii="Times New Roman" w:hAnsi="Times New Roman" w:eastAsia="Calibri" w:cs="Times New Roman"/>
                <w:color w:val="auto"/>
                <w:highlight w:val="none"/>
                <w:lang w:val="en-MY" w:eastAsia="en-US"/>
              </w:rPr>
            </w:pPr>
            <w:r>
              <w:rPr>
                <w:rFonts w:hint="default" w:ascii="Times New Roman" w:hAnsi="Times New Roman" w:cs="Times New Roman"/>
                <w:color w:val="auto"/>
                <w:highlight w:val="none"/>
              </w:rPr>
              <w:t>4</w:t>
            </w:r>
            <w:r>
              <w:rPr>
                <w:rFonts w:hint="default" w:ascii="Times New Roman" w:hAnsi="Times New Roman" w:eastAsia="Calibri" w:cs="Times New Roman"/>
                <w:color w:val="auto"/>
                <w:highlight w:val="none"/>
                <w:lang w:val="en-MY" w:eastAsia="en-US"/>
              </w:rPr>
              <w:t xml:space="preserve">. </w:t>
            </w:r>
            <w:r>
              <w:rPr>
                <w:rFonts w:hint="default" w:ascii="Times New Roman" w:hAnsi="Times New Roman" w:cs="Times New Roman"/>
                <w:color w:val="auto"/>
                <w:highlight w:val="none"/>
              </w:rPr>
              <w:t>I will often take breaks during work or not work at all.</w:t>
            </w:r>
          </w:p>
        </w:tc>
        <w:tc>
          <w:tcPr>
            <w:tcW w:w="0" w:type="auto"/>
          </w:tcPr>
          <w:p w14:paraId="12986218">
            <w:pPr>
              <w:spacing w:line="240" w:lineRule="auto"/>
              <w:jc w:val="left"/>
              <w:rPr>
                <w:rFonts w:hint="default" w:ascii="Times New Roman" w:hAnsi="Times New Roman" w:cs="Times New Roman"/>
                <w:color w:val="auto"/>
                <w:highlight w:val="none"/>
                <w:lang w:val="en-MY" w:eastAsia="en-US"/>
              </w:rPr>
            </w:pPr>
          </w:p>
        </w:tc>
        <w:tc>
          <w:tcPr>
            <w:tcW w:w="0" w:type="auto"/>
          </w:tcPr>
          <w:p w14:paraId="159A9C43">
            <w:pPr>
              <w:spacing w:line="240" w:lineRule="auto"/>
              <w:jc w:val="left"/>
              <w:rPr>
                <w:rFonts w:hint="default" w:ascii="Times New Roman" w:hAnsi="Times New Roman" w:cs="Times New Roman"/>
                <w:color w:val="auto"/>
                <w:highlight w:val="none"/>
                <w:lang w:val="en-MY" w:eastAsia="en-US"/>
              </w:rPr>
            </w:pPr>
          </w:p>
        </w:tc>
        <w:tc>
          <w:tcPr>
            <w:tcW w:w="0" w:type="auto"/>
          </w:tcPr>
          <w:p w14:paraId="0E5838AE">
            <w:pPr>
              <w:spacing w:line="240" w:lineRule="auto"/>
              <w:jc w:val="left"/>
              <w:rPr>
                <w:rFonts w:hint="default" w:ascii="Times New Roman" w:hAnsi="Times New Roman" w:cs="Times New Roman"/>
                <w:color w:val="auto"/>
                <w:highlight w:val="none"/>
                <w:lang w:val="en-MY" w:eastAsia="en-US"/>
              </w:rPr>
            </w:pPr>
          </w:p>
        </w:tc>
        <w:tc>
          <w:tcPr>
            <w:tcW w:w="0" w:type="auto"/>
          </w:tcPr>
          <w:p w14:paraId="0F5267AD">
            <w:pPr>
              <w:spacing w:line="240" w:lineRule="auto"/>
              <w:jc w:val="left"/>
              <w:rPr>
                <w:rFonts w:hint="default" w:ascii="Times New Roman" w:hAnsi="Times New Roman" w:cs="Times New Roman"/>
                <w:color w:val="auto"/>
                <w:highlight w:val="none"/>
                <w:lang w:val="en-MY" w:eastAsia="en-US"/>
              </w:rPr>
            </w:pPr>
          </w:p>
        </w:tc>
        <w:tc>
          <w:tcPr>
            <w:tcW w:w="0" w:type="auto"/>
          </w:tcPr>
          <w:p w14:paraId="70B2EFC6">
            <w:pPr>
              <w:spacing w:line="240" w:lineRule="auto"/>
              <w:jc w:val="left"/>
              <w:rPr>
                <w:rFonts w:hint="default" w:ascii="Times New Roman" w:hAnsi="Times New Roman" w:cs="Times New Roman"/>
                <w:color w:val="auto"/>
                <w:highlight w:val="none"/>
                <w:lang w:val="en-MY" w:eastAsia="en-US"/>
              </w:rPr>
            </w:pPr>
          </w:p>
        </w:tc>
        <w:tc>
          <w:tcPr>
            <w:tcW w:w="0" w:type="auto"/>
          </w:tcPr>
          <w:p w14:paraId="501A26A1">
            <w:pPr>
              <w:spacing w:line="240" w:lineRule="auto"/>
              <w:jc w:val="left"/>
              <w:rPr>
                <w:rFonts w:hint="default" w:ascii="Times New Roman" w:hAnsi="Times New Roman" w:cs="Times New Roman"/>
                <w:color w:val="auto"/>
                <w:highlight w:val="none"/>
                <w:lang w:val="en-MY" w:eastAsia="en-US"/>
              </w:rPr>
            </w:pPr>
          </w:p>
        </w:tc>
      </w:tr>
      <w:tr w14:paraId="4C3A0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0" w:type="auto"/>
          </w:tcPr>
          <w:p w14:paraId="7A400DA2">
            <w:pPr>
              <w:spacing w:line="240" w:lineRule="auto"/>
              <w:jc w:val="left"/>
              <w:rPr>
                <w:rFonts w:hint="default" w:ascii="Times New Roman" w:hAnsi="Times New Roman" w:eastAsia="Calibri" w:cs="Times New Roman"/>
                <w:color w:val="auto"/>
                <w:highlight w:val="none"/>
                <w:lang w:val="en-MY" w:eastAsia="en-US"/>
              </w:rPr>
            </w:pPr>
            <w:r>
              <w:rPr>
                <w:rFonts w:hint="default" w:ascii="Times New Roman" w:hAnsi="Times New Roman" w:cs="Times New Roman"/>
                <w:color w:val="auto"/>
                <w:highlight w:val="none"/>
              </w:rPr>
              <w:t>5</w:t>
            </w:r>
            <w:r>
              <w:rPr>
                <w:rFonts w:hint="default" w:ascii="Times New Roman" w:hAnsi="Times New Roman" w:eastAsia="Calibri" w:cs="Times New Roman"/>
                <w:color w:val="auto"/>
                <w:highlight w:val="none"/>
                <w:lang w:val="en-MY" w:eastAsia="en-US"/>
              </w:rPr>
              <w:t xml:space="preserve">. </w:t>
            </w:r>
            <w:r>
              <w:rPr>
                <w:rFonts w:hint="default" w:ascii="Times New Roman" w:hAnsi="Times New Roman" w:cs="Times New Roman"/>
                <w:color w:val="auto"/>
                <w:highlight w:val="none"/>
              </w:rPr>
              <w:t>I may lose motivation for work.</w:t>
            </w:r>
          </w:p>
        </w:tc>
        <w:tc>
          <w:tcPr>
            <w:tcW w:w="0" w:type="auto"/>
          </w:tcPr>
          <w:p w14:paraId="6BBBE7FE">
            <w:pPr>
              <w:spacing w:line="240" w:lineRule="auto"/>
              <w:jc w:val="left"/>
              <w:rPr>
                <w:rFonts w:hint="default" w:ascii="Times New Roman" w:hAnsi="Times New Roman" w:cs="Times New Roman"/>
                <w:color w:val="auto"/>
                <w:highlight w:val="none"/>
                <w:lang w:val="en-MY" w:eastAsia="en-US"/>
              </w:rPr>
            </w:pPr>
          </w:p>
        </w:tc>
        <w:tc>
          <w:tcPr>
            <w:tcW w:w="0" w:type="auto"/>
          </w:tcPr>
          <w:p w14:paraId="7C0D344F">
            <w:pPr>
              <w:spacing w:line="240" w:lineRule="auto"/>
              <w:jc w:val="left"/>
              <w:rPr>
                <w:rFonts w:hint="default" w:ascii="Times New Roman" w:hAnsi="Times New Roman" w:cs="Times New Roman"/>
                <w:color w:val="auto"/>
                <w:highlight w:val="none"/>
                <w:lang w:val="en-MY" w:eastAsia="en-US"/>
              </w:rPr>
            </w:pPr>
          </w:p>
        </w:tc>
        <w:tc>
          <w:tcPr>
            <w:tcW w:w="0" w:type="auto"/>
          </w:tcPr>
          <w:p w14:paraId="47431868">
            <w:pPr>
              <w:spacing w:line="240" w:lineRule="auto"/>
              <w:jc w:val="left"/>
              <w:rPr>
                <w:rFonts w:hint="default" w:ascii="Times New Roman" w:hAnsi="Times New Roman" w:cs="Times New Roman"/>
                <w:color w:val="auto"/>
                <w:highlight w:val="none"/>
                <w:lang w:val="en-MY" w:eastAsia="en-US"/>
              </w:rPr>
            </w:pPr>
          </w:p>
        </w:tc>
        <w:tc>
          <w:tcPr>
            <w:tcW w:w="0" w:type="auto"/>
          </w:tcPr>
          <w:p w14:paraId="19CB64F8">
            <w:pPr>
              <w:spacing w:line="240" w:lineRule="auto"/>
              <w:jc w:val="left"/>
              <w:rPr>
                <w:rFonts w:hint="default" w:ascii="Times New Roman" w:hAnsi="Times New Roman" w:cs="Times New Roman"/>
                <w:color w:val="auto"/>
                <w:highlight w:val="none"/>
                <w:lang w:val="en-MY" w:eastAsia="en-US"/>
              </w:rPr>
            </w:pPr>
          </w:p>
        </w:tc>
        <w:tc>
          <w:tcPr>
            <w:tcW w:w="0" w:type="auto"/>
          </w:tcPr>
          <w:p w14:paraId="639A5E94">
            <w:pPr>
              <w:spacing w:line="240" w:lineRule="auto"/>
              <w:jc w:val="left"/>
              <w:rPr>
                <w:rFonts w:hint="default" w:ascii="Times New Roman" w:hAnsi="Times New Roman" w:cs="Times New Roman"/>
                <w:color w:val="auto"/>
                <w:highlight w:val="none"/>
                <w:lang w:val="en-MY" w:eastAsia="en-US"/>
              </w:rPr>
            </w:pPr>
          </w:p>
        </w:tc>
        <w:tc>
          <w:tcPr>
            <w:tcW w:w="0" w:type="auto"/>
          </w:tcPr>
          <w:p w14:paraId="18D539E7">
            <w:pPr>
              <w:spacing w:line="240" w:lineRule="auto"/>
              <w:jc w:val="left"/>
              <w:rPr>
                <w:rFonts w:hint="default" w:ascii="Times New Roman" w:hAnsi="Times New Roman" w:cs="Times New Roman"/>
                <w:color w:val="auto"/>
                <w:highlight w:val="none"/>
                <w:lang w:val="en-MY" w:eastAsia="en-US"/>
              </w:rPr>
            </w:pPr>
          </w:p>
        </w:tc>
      </w:tr>
      <w:tr w14:paraId="22EB3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0" w:type="auto"/>
            <w:gridSpan w:val="6"/>
            <w:shd w:val="clear" w:color="auto" w:fill="D8D8D8"/>
          </w:tcPr>
          <w:p w14:paraId="62BBCE87">
            <w:pPr>
              <w:spacing w:line="240" w:lineRule="auto"/>
              <w:jc w:val="left"/>
              <w:rPr>
                <w:rFonts w:hint="default" w:ascii="Times New Roman" w:hAnsi="Times New Roman" w:cs="Times New Roman"/>
                <w:color w:val="auto"/>
                <w:highlight w:val="none"/>
                <w:lang w:val="en-MY" w:eastAsia="en-US"/>
              </w:rPr>
            </w:pPr>
            <w:r>
              <w:rPr>
                <w:rFonts w:hint="default" w:ascii="Times New Roman" w:hAnsi="Times New Roman" w:cs="Times New Roman"/>
                <w:color w:val="auto"/>
                <w:highlight w:val="none"/>
                <w:lang w:val="en-MY" w:eastAsia="en-US"/>
              </w:rPr>
              <w:t>Internal Job Dissatisfaction</w:t>
            </w:r>
          </w:p>
        </w:tc>
        <w:tc>
          <w:tcPr>
            <w:tcW w:w="0" w:type="auto"/>
            <w:shd w:val="clear" w:color="auto" w:fill="D8D8D8"/>
          </w:tcPr>
          <w:p w14:paraId="33ABC823">
            <w:pPr>
              <w:spacing w:line="240" w:lineRule="auto"/>
              <w:jc w:val="left"/>
              <w:rPr>
                <w:rFonts w:hint="default" w:ascii="Times New Roman" w:hAnsi="Times New Roman" w:cs="Times New Roman"/>
                <w:color w:val="auto"/>
                <w:highlight w:val="none"/>
                <w:lang w:val="en-MY" w:eastAsia="en-US"/>
              </w:rPr>
            </w:pPr>
          </w:p>
        </w:tc>
      </w:tr>
      <w:tr w14:paraId="006D8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0" w:type="auto"/>
          </w:tcPr>
          <w:p w14:paraId="6A83D99C">
            <w:pPr>
              <w:numPr>
                <w:ilvl w:val="0"/>
                <w:numId w:val="0"/>
              </w:numPr>
              <w:spacing w:line="240" w:lineRule="auto"/>
              <w:jc w:val="left"/>
              <w:rPr>
                <w:rFonts w:hint="default" w:ascii="Times New Roman" w:hAnsi="Times New Roman" w:eastAsia="Calibri" w:cs="Times New Roman"/>
                <w:color w:val="auto"/>
                <w:highlight w:val="none"/>
                <w:lang w:val="en-MY" w:eastAsia="en-US"/>
              </w:rPr>
            </w:pPr>
            <w:r>
              <w:rPr>
                <w:rFonts w:hint="default" w:ascii="Times New Roman" w:hAnsi="Times New Roman" w:cs="Times New Roman"/>
                <w:color w:val="auto"/>
                <w:highlight w:val="none"/>
                <w:lang w:val="en-US" w:eastAsia="zh-CN"/>
              </w:rPr>
              <w:t>1.</w:t>
            </w:r>
            <w:r>
              <w:rPr>
                <w:rFonts w:hint="default" w:ascii="Times New Roman" w:hAnsi="Times New Roman" w:cs="Times New Roman"/>
                <w:color w:val="auto"/>
                <w:highlight w:val="none"/>
              </w:rPr>
              <w:t>My opportunity for advancement.</w:t>
            </w:r>
          </w:p>
        </w:tc>
        <w:tc>
          <w:tcPr>
            <w:tcW w:w="0" w:type="auto"/>
          </w:tcPr>
          <w:p w14:paraId="21222947">
            <w:pPr>
              <w:spacing w:line="240" w:lineRule="auto"/>
              <w:jc w:val="left"/>
              <w:rPr>
                <w:rFonts w:hint="default" w:ascii="Times New Roman" w:hAnsi="Times New Roman" w:cs="Times New Roman"/>
                <w:color w:val="auto"/>
                <w:highlight w:val="none"/>
                <w:lang w:val="en-MY" w:eastAsia="en-US"/>
              </w:rPr>
            </w:pPr>
          </w:p>
        </w:tc>
        <w:tc>
          <w:tcPr>
            <w:tcW w:w="0" w:type="auto"/>
          </w:tcPr>
          <w:p w14:paraId="20C2C11B">
            <w:pPr>
              <w:spacing w:line="240" w:lineRule="auto"/>
              <w:jc w:val="left"/>
              <w:rPr>
                <w:rFonts w:hint="default" w:ascii="Times New Roman" w:hAnsi="Times New Roman" w:cs="Times New Roman"/>
                <w:color w:val="auto"/>
                <w:highlight w:val="none"/>
                <w:lang w:val="en-MY" w:eastAsia="en-US"/>
              </w:rPr>
            </w:pPr>
          </w:p>
        </w:tc>
        <w:tc>
          <w:tcPr>
            <w:tcW w:w="0" w:type="auto"/>
          </w:tcPr>
          <w:p w14:paraId="3D168992">
            <w:pPr>
              <w:spacing w:line="240" w:lineRule="auto"/>
              <w:jc w:val="left"/>
              <w:rPr>
                <w:rFonts w:hint="default" w:ascii="Times New Roman" w:hAnsi="Times New Roman" w:cs="Times New Roman"/>
                <w:color w:val="auto"/>
                <w:highlight w:val="none"/>
                <w:lang w:val="en-MY" w:eastAsia="en-US"/>
              </w:rPr>
            </w:pPr>
          </w:p>
        </w:tc>
        <w:tc>
          <w:tcPr>
            <w:tcW w:w="0" w:type="auto"/>
          </w:tcPr>
          <w:p w14:paraId="3AEABB6F">
            <w:pPr>
              <w:spacing w:line="240" w:lineRule="auto"/>
              <w:jc w:val="left"/>
              <w:rPr>
                <w:rFonts w:hint="default" w:ascii="Times New Roman" w:hAnsi="Times New Roman" w:cs="Times New Roman"/>
                <w:color w:val="auto"/>
                <w:highlight w:val="none"/>
                <w:lang w:val="en-MY" w:eastAsia="en-US"/>
              </w:rPr>
            </w:pPr>
          </w:p>
        </w:tc>
        <w:tc>
          <w:tcPr>
            <w:tcW w:w="0" w:type="auto"/>
          </w:tcPr>
          <w:p w14:paraId="18FA6D33">
            <w:pPr>
              <w:spacing w:line="240" w:lineRule="auto"/>
              <w:jc w:val="left"/>
              <w:rPr>
                <w:rFonts w:hint="default" w:ascii="Times New Roman" w:hAnsi="Times New Roman" w:cs="Times New Roman"/>
                <w:color w:val="auto"/>
                <w:highlight w:val="none"/>
                <w:lang w:val="en-MY" w:eastAsia="en-US"/>
              </w:rPr>
            </w:pPr>
          </w:p>
        </w:tc>
        <w:tc>
          <w:tcPr>
            <w:tcW w:w="0" w:type="auto"/>
          </w:tcPr>
          <w:p w14:paraId="5A0D5968">
            <w:pPr>
              <w:spacing w:line="240" w:lineRule="auto"/>
              <w:jc w:val="left"/>
              <w:rPr>
                <w:rFonts w:hint="default" w:ascii="Times New Roman" w:hAnsi="Times New Roman" w:cs="Times New Roman"/>
                <w:color w:val="auto"/>
                <w:highlight w:val="none"/>
                <w:lang w:val="en-MY" w:eastAsia="en-US"/>
              </w:rPr>
            </w:pPr>
          </w:p>
        </w:tc>
      </w:tr>
      <w:tr w14:paraId="0319E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0" w:type="auto"/>
          </w:tcPr>
          <w:p w14:paraId="637B291C">
            <w:pPr>
              <w:spacing w:line="240" w:lineRule="auto"/>
              <w:jc w:val="left"/>
              <w:rPr>
                <w:rFonts w:hint="default" w:ascii="Times New Roman" w:hAnsi="Times New Roman" w:eastAsia="Calibri" w:cs="Times New Roman"/>
                <w:color w:val="auto"/>
                <w:highlight w:val="none"/>
                <w:lang w:val="en-MY" w:eastAsia="en-US"/>
              </w:rPr>
            </w:pPr>
            <w:r>
              <w:rPr>
                <w:rFonts w:hint="default" w:ascii="Times New Roman" w:hAnsi="Times New Roman" w:cs="Times New Roman"/>
                <w:color w:val="auto"/>
                <w:highlight w:val="none"/>
                <w:lang w:val="en-US" w:eastAsia="zh-CN"/>
              </w:rPr>
              <w:t>2.</w:t>
            </w:r>
            <w:r>
              <w:rPr>
                <w:rFonts w:hint="default" w:ascii="Times New Roman" w:hAnsi="Times New Roman" w:cs="Times New Roman"/>
                <w:color w:val="auto"/>
                <w:highlight w:val="none"/>
              </w:rPr>
              <w:t>The degree to which my suggestions are recognized seriously.</w:t>
            </w:r>
          </w:p>
        </w:tc>
        <w:tc>
          <w:tcPr>
            <w:tcW w:w="0" w:type="auto"/>
          </w:tcPr>
          <w:p w14:paraId="45D6B74E">
            <w:pPr>
              <w:spacing w:line="240" w:lineRule="auto"/>
              <w:jc w:val="left"/>
              <w:rPr>
                <w:rFonts w:hint="default" w:ascii="Times New Roman" w:hAnsi="Times New Roman" w:cs="Times New Roman"/>
                <w:color w:val="auto"/>
                <w:highlight w:val="none"/>
                <w:lang w:val="en-MY" w:eastAsia="en-US"/>
              </w:rPr>
            </w:pPr>
          </w:p>
        </w:tc>
        <w:tc>
          <w:tcPr>
            <w:tcW w:w="0" w:type="auto"/>
          </w:tcPr>
          <w:p w14:paraId="4DDC92BC">
            <w:pPr>
              <w:spacing w:line="240" w:lineRule="auto"/>
              <w:jc w:val="left"/>
              <w:rPr>
                <w:rFonts w:hint="default" w:ascii="Times New Roman" w:hAnsi="Times New Roman" w:cs="Times New Roman"/>
                <w:color w:val="auto"/>
                <w:highlight w:val="none"/>
                <w:lang w:val="en-MY" w:eastAsia="en-US"/>
              </w:rPr>
            </w:pPr>
          </w:p>
        </w:tc>
        <w:tc>
          <w:tcPr>
            <w:tcW w:w="0" w:type="auto"/>
          </w:tcPr>
          <w:p w14:paraId="37E42D88">
            <w:pPr>
              <w:spacing w:line="240" w:lineRule="auto"/>
              <w:jc w:val="left"/>
              <w:rPr>
                <w:rFonts w:hint="default" w:ascii="Times New Roman" w:hAnsi="Times New Roman" w:cs="Times New Roman"/>
                <w:color w:val="auto"/>
                <w:highlight w:val="none"/>
                <w:lang w:val="en-MY" w:eastAsia="en-US"/>
              </w:rPr>
            </w:pPr>
          </w:p>
        </w:tc>
        <w:tc>
          <w:tcPr>
            <w:tcW w:w="0" w:type="auto"/>
          </w:tcPr>
          <w:p w14:paraId="1F95658A">
            <w:pPr>
              <w:spacing w:line="240" w:lineRule="auto"/>
              <w:jc w:val="left"/>
              <w:rPr>
                <w:rFonts w:hint="default" w:ascii="Times New Roman" w:hAnsi="Times New Roman" w:cs="Times New Roman"/>
                <w:color w:val="auto"/>
                <w:highlight w:val="none"/>
                <w:lang w:val="en-MY" w:eastAsia="en-US"/>
              </w:rPr>
            </w:pPr>
          </w:p>
        </w:tc>
        <w:tc>
          <w:tcPr>
            <w:tcW w:w="0" w:type="auto"/>
          </w:tcPr>
          <w:p w14:paraId="123DA36E">
            <w:pPr>
              <w:spacing w:line="240" w:lineRule="auto"/>
              <w:jc w:val="left"/>
              <w:rPr>
                <w:rFonts w:hint="default" w:ascii="Times New Roman" w:hAnsi="Times New Roman" w:cs="Times New Roman"/>
                <w:color w:val="auto"/>
                <w:highlight w:val="none"/>
                <w:lang w:val="en-MY" w:eastAsia="en-US"/>
              </w:rPr>
            </w:pPr>
          </w:p>
        </w:tc>
        <w:tc>
          <w:tcPr>
            <w:tcW w:w="0" w:type="auto"/>
          </w:tcPr>
          <w:p w14:paraId="18EB95E6">
            <w:pPr>
              <w:spacing w:line="240" w:lineRule="auto"/>
              <w:jc w:val="left"/>
              <w:rPr>
                <w:rFonts w:hint="default" w:ascii="Times New Roman" w:hAnsi="Times New Roman" w:cs="Times New Roman"/>
                <w:color w:val="auto"/>
                <w:highlight w:val="none"/>
                <w:lang w:val="en-MY" w:eastAsia="en-US"/>
              </w:rPr>
            </w:pPr>
          </w:p>
        </w:tc>
      </w:tr>
      <w:tr w14:paraId="1BA0C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0" w:type="auto"/>
          </w:tcPr>
          <w:p w14:paraId="7B728F87">
            <w:pPr>
              <w:numPr>
                <w:ilvl w:val="0"/>
                <w:numId w:val="1"/>
              </w:numPr>
              <w:spacing w:line="240" w:lineRule="auto"/>
              <w:jc w:val="left"/>
              <w:rPr>
                <w:rFonts w:hint="default" w:ascii="Times New Roman" w:hAnsi="Times New Roman" w:eastAsia="Calibri" w:cs="Times New Roman"/>
                <w:color w:val="auto"/>
                <w:highlight w:val="none"/>
                <w:lang w:val="en-MY" w:eastAsia="en-US"/>
              </w:rPr>
            </w:pPr>
            <w:r>
              <w:rPr>
                <w:rFonts w:hint="default" w:ascii="Times New Roman" w:hAnsi="Times New Roman" w:cs="Times New Roman"/>
                <w:color w:val="auto"/>
                <w:highlight w:val="none"/>
              </w:rPr>
              <w:t>My salary grade.</w:t>
            </w:r>
          </w:p>
        </w:tc>
        <w:tc>
          <w:tcPr>
            <w:tcW w:w="0" w:type="auto"/>
          </w:tcPr>
          <w:p w14:paraId="04EBB718">
            <w:pPr>
              <w:spacing w:line="240" w:lineRule="auto"/>
              <w:jc w:val="left"/>
              <w:rPr>
                <w:rFonts w:hint="default" w:ascii="Times New Roman" w:hAnsi="Times New Roman" w:cs="Times New Roman"/>
                <w:color w:val="auto"/>
                <w:highlight w:val="none"/>
                <w:lang w:val="en-MY" w:eastAsia="en-US"/>
              </w:rPr>
            </w:pPr>
          </w:p>
        </w:tc>
        <w:tc>
          <w:tcPr>
            <w:tcW w:w="0" w:type="auto"/>
          </w:tcPr>
          <w:p w14:paraId="4EAE7E5E">
            <w:pPr>
              <w:spacing w:line="240" w:lineRule="auto"/>
              <w:jc w:val="left"/>
              <w:rPr>
                <w:rFonts w:hint="default" w:ascii="Times New Roman" w:hAnsi="Times New Roman" w:cs="Times New Roman"/>
                <w:color w:val="auto"/>
                <w:highlight w:val="none"/>
                <w:lang w:val="en-MY" w:eastAsia="en-US"/>
              </w:rPr>
            </w:pPr>
          </w:p>
        </w:tc>
        <w:tc>
          <w:tcPr>
            <w:tcW w:w="0" w:type="auto"/>
          </w:tcPr>
          <w:p w14:paraId="529715F6">
            <w:pPr>
              <w:spacing w:line="240" w:lineRule="auto"/>
              <w:jc w:val="left"/>
              <w:rPr>
                <w:rFonts w:hint="default" w:ascii="Times New Roman" w:hAnsi="Times New Roman" w:cs="Times New Roman"/>
                <w:color w:val="auto"/>
                <w:highlight w:val="none"/>
                <w:lang w:val="en-MY" w:eastAsia="en-US"/>
              </w:rPr>
            </w:pPr>
          </w:p>
        </w:tc>
        <w:tc>
          <w:tcPr>
            <w:tcW w:w="0" w:type="auto"/>
          </w:tcPr>
          <w:p w14:paraId="4D63DBCB">
            <w:pPr>
              <w:spacing w:line="240" w:lineRule="auto"/>
              <w:jc w:val="left"/>
              <w:rPr>
                <w:rFonts w:hint="default" w:ascii="Times New Roman" w:hAnsi="Times New Roman" w:cs="Times New Roman"/>
                <w:color w:val="auto"/>
                <w:highlight w:val="none"/>
                <w:lang w:val="en-MY" w:eastAsia="en-US"/>
              </w:rPr>
            </w:pPr>
          </w:p>
        </w:tc>
        <w:tc>
          <w:tcPr>
            <w:tcW w:w="0" w:type="auto"/>
          </w:tcPr>
          <w:p w14:paraId="0E959D11">
            <w:pPr>
              <w:spacing w:line="240" w:lineRule="auto"/>
              <w:jc w:val="left"/>
              <w:rPr>
                <w:rFonts w:hint="default" w:ascii="Times New Roman" w:hAnsi="Times New Roman" w:cs="Times New Roman"/>
                <w:color w:val="auto"/>
                <w:highlight w:val="none"/>
                <w:lang w:val="en-MY" w:eastAsia="en-US"/>
              </w:rPr>
            </w:pPr>
          </w:p>
        </w:tc>
        <w:tc>
          <w:tcPr>
            <w:tcW w:w="0" w:type="auto"/>
          </w:tcPr>
          <w:p w14:paraId="1E82BA3B">
            <w:pPr>
              <w:spacing w:line="240" w:lineRule="auto"/>
              <w:jc w:val="left"/>
              <w:rPr>
                <w:rFonts w:hint="default" w:ascii="Times New Roman" w:hAnsi="Times New Roman" w:cs="Times New Roman"/>
                <w:color w:val="auto"/>
                <w:highlight w:val="none"/>
                <w:lang w:val="en-MY" w:eastAsia="en-US"/>
              </w:rPr>
            </w:pPr>
          </w:p>
        </w:tc>
      </w:tr>
      <w:tr w14:paraId="50A3B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0" w:type="auto"/>
            <w:gridSpan w:val="6"/>
            <w:shd w:val="clear" w:color="auto" w:fill="D8D8D8"/>
          </w:tcPr>
          <w:p w14:paraId="1148CD8E">
            <w:pPr>
              <w:spacing w:line="240" w:lineRule="auto"/>
              <w:jc w:val="left"/>
              <w:rPr>
                <w:rFonts w:hint="default" w:ascii="Times New Roman" w:hAnsi="Times New Roman" w:cs="Times New Roman"/>
                <w:color w:val="auto"/>
                <w:highlight w:val="none"/>
                <w:lang w:val="en-MY" w:eastAsia="en-US"/>
              </w:rPr>
            </w:pPr>
            <w:r>
              <w:rPr>
                <w:rFonts w:hint="default" w:ascii="Times New Roman" w:hAnsi="Times New Roman" w:cs="Times New Roman"/>
                <w:color w:val="auto"/>
                <w:highlight w:val="none"/>
                <w:lang w:val="en-MY" w:eastAsia="en-US"/>
              </w:rPr>
              <w:t>External Job Dissatisfaction</w:t>
            </w:r>
          </w:p>
        </w:tc>
        <w:tc>
          <w:tcPr>
            <w:tcW w:w="0" w:type="auto"/>
            <w:shd w:val="clear" w:color="auto" w:fill="D8D8D8"/>
          </w:tcPr>
          <w:p w14:paraId="1FB5A93F">
            <w:pPr>
              <w:spacing w:line="240" w:lineRule="auto"/>
              <w:jc w:val="left"/>
              <w:rPr>
                <w:rFonts w:hint="default" w:ascii="Times New Roman" w:hAnsi="Times New Roman" w:cs="Times New Roman"/>
                <w:color w:val="auto"/>
                <w:highlight w:val="none"/>
                <w:lang w:val="en-MY" w:eastAsia="en-US"/>
              </w:rPr>
            </w:pPr>
          </w:p>
        </w:tc>
      </w:tr>
      <w:tr w14:paraId="47A51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0" w:type="auto"/>
          </w:tcPr>
          <w:p w14:paraId="17E1644F">
            <w:pPr>
              <w:spacing w:line="240" w:lineRule="auto"/>
              <w:jc w:val="left"/>
              <w:rPr>
                <w:rFonts w:hint="default" w:ascii="Times New Roman" w:hAnsi="Times New Roman" w:eastAsia="Calibri" w:cs="Times New Roman"/>
                <w:color w:val="auto"/>
                <w:highlight w:val="none"/>
                <w:lang w:val="en-MY" w:eastAsia="en-US"/>
              </w:rPr>
            </w:pPr>
            <w:r>
              <w:rPr>
                <w:rFonts w:hint="default" w:ascii="Times New Roman" w:hAnsi="Times New Roman" w:cs="Times New Roman"/>
                <w:color w:val="auto"/>
                <w:highlight w:val="none"/>
                <w:lang w:val="en-US" w:eastAsia="zh-CN"/>
              </w:rPr>
              <w:t>1.</w:t>
            </w:r>
            <w:r>
              <w:rPr>
                <w:rFonts w:hint="default" w:ascii="Times New Roman" w:hAnsi="Times New Roman" w:cs="Times New Roman"/>
                <w:color w:val="auto"/>
                <w:highlight w:val="none"/>
              </w:rPr>
              <w:t>Dissatisfaction with my direct superior.</w:t>
            </w:r>
          </w:p>
        </w:tc>
        <w:tc>
          <w:tcPr>
            <w:tcW w:w="0" w:type="auto"/>
          </w:tcPr>
          <w:p w14:paraId="74183FC5">
            <w:pPr>
              <w:spacing w:line="240" w:lineRule="auto"/>
              <w:jc w:val="left"/>
              <w:rPr>
                <w:rFonts w:hint="default" w:ascii="Times New Roman" w:hAnsi="Times New Roman" w:cs="Times New Roman"/>
                <w:color w:val="auto"/>
                <w:highlight w:val="none"/>
                <w:lang w:val="en-MY" w:eastAsia="en-US"/>
              </w:rPr>
            </w:pPr>
          </w:p>
        </w:tc>
        <w:tc>
          <w:tcPr>
            <w:tcW w:w="0" w:type="auto"/>
          </w:tcPr>
          <w:p w14:paraId="00A13BCF">
            <w:pPr>
              <w:spacing w:line="240" w:lineRule="auto"/>
              <w:jc w:val="left"/>
              <w:rPr>
                <w:rFonts w:hint="default" w:ascii="Times New Roman" w:hAnsi="Times New Roman" w:cs="Times New Roman"/>
                <w:color w:val="auto"/>
                <w:highlight w:val="none"/>
                <w:lang w:val="en-MY" w:eastAsia="en-US"/>
              </w:rPr>
            </w:pPr>
          </w:p>
        </w:tc>
        <w:tc>
          <w:tcPr>
            <w:tcW w:w="0" w:type="auto"/>
          </w:tcPr>
          <w:p w14:paraId="53015A8A">
            <w:pPr>
              <w:spacing w:line="240" w:lineRule="auto"/>
              <w:jc w:val="left"/>
              <w:rPr>
                <w:rFonts w:hint="default" w:ascii="Times New Roman" w:hAnsi="Times New Roman" w:cs="Times New Roman"/>
                <w:color w:val="auto"/>
                <w:highlight w:val="none"/>
                <w:lang w:val="en-MY" w:eastAsia="en-US"/>
              </w:rPr>
            </w:pPr>
          </w:p>
        </w:tc>
        <w:tc>
          <w:tcPr>
            <w:tcW w:w="0" w:type="auto"/>
          </w:tcPr>
          <w:p w14:paraId="11D35E4D">
            <w:pPr>
              <w:spacing w:line="240" w:lineRule="auto"/>
              <w:jc w:val="left"/>
              <w:rPr>
                <w:rFonts w:hint="default" w:ascii="Times New Roman" w:hAnsi="Times New Roman" w:cs="Times New Roman"/>
                <w:color w:val="auto"/>
                <w:highlight w:val="none"/>
                <w:lang w:val="en-MY" w:eastAsia="en-US"/>
              </w:rPr>
            </w:pPr>
          </w:p>
        </w:tc>
        <w:tc>
          <w:tcPr>
            <w:tcW w:w="0" w:type="auto"/>
          </w:tcPr>
          <w:p w14:paraId="6CBA9159">
            <w:pPr>
              <w:spacing w:line="240" w:lineRule="auto"/>
              <w:jc w:val="left"/>
              <w:rPr>
                <w:rFonts w:hint="default" w:ascii="Times New Roman" w:hAnsi="Times New Roman" w:cs="Times New Roman"/>
                <w:color w:val="auto"/>
                <w:highlight w:val="none"/>
                <w:lang w:val="en-MY" w:eastAsia="en-US"/>
              </w:rPr>
            </w:pPr>
          </w:p>
        </w:tc>
        <w:tc>
          <w:tcPr>
            <w:tcW w:w="0" w:type="auto"/>
          </w:tcPr>
          <w:p w14:paraId="42F198EB">
            <w:pPr>
              <w:spacing w:line="240" w:lineRule="auto"/>
              <w:jc w:val="left"/>
              <w:rPr>
                <w:rFonts w:hint="default" w:ascii="Times New Roman" w:hAnsi="Times New Roman" w:cs="Times New Roman"/>
                <w:color w:val="auto"/>
                <w:highlight w:val="none"/>
                <w:lang w:val="en-MY" w:eastAsia="en-US"/>
              </w:rPr>
            </w:pPr>
          </w:p>
        </w:tc>
      </w:tr>
      <w:tr w14:paraId="03B9F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0" w:type="auto"/>
          </w:tcPr>
          <w:p w14:paraId="3E8F6942">
            <w:pPr>
              <w:spacing w:line="240" w:lineRule="auto"/>
              <w:jc w:val="left"/>
              <w:rPr>
                <w:rFonts w:hint="default" w:ascii="Times New Roman" w:hAnsi="Times New Roman" w:eastAsia="Calibri" w:cs="Times New Roman"/>
                <w:color w:val="auto"/>
                <w:highlight w:val="none"/>
                <w:lang w:val="en-MY" w:eastAsia="en-US"/>
              </w:rPr>
            </w:pPr>
            <w:r>
              <w:rPr>
                <w:rFonts w:hint="default" w:ascii="Times New Roman" w:hAnsi="Times New Roman" w:cs="Times New Roman"/>
                <w:color w:val="auto"/>
                <w:highlight w:val="none"/>
                <w:lang w:val="en-US" w:eastAsia="zh-CN"/>
              </w:rPr>
              <w:t>2.</w:t>
            </w:r>
            <w:r>
              <w:rPr>
                <w:rFonts w:hint="default" w:ascii="Times New Roman" w:hAnsi="Times New Roman" w:cs="Times New Roman"/>
                <w:color w:val="auto"/>
                <w:highlight w:val="none"/>
              </w:rPr>
              <w:t>Dissatisfaction with my colleagues.</w:t>
            </w:r>
          </w:p>
        </w:tc>
        <w:tc>
          <w:tcPr>
            <w:tcW w:w="0" w:type="auto"/>
          </w:tcPr>
          <w:p w14:paraId="5665CE93">
            <w:pPr>
              <w:spacing w:line="240" w:lineRule="auto"/>
              <w:jc w:val="left"/>
              <w:rPr>
                <w:rFonts w:hint="default" w:ascii="Times New Roman" w:hAnsi="Times New Roman" w:cs="Times New Roman"/>
                <w:color w:val="auto"/>
                <w:highlight w:val="none"/>
                <w:lang w:val="en-MY" w:eastAsia="en-US"/>
              </w:rPr>
            </w:pPr>
          </w:p>
        </w:tc>
        <w:tc>
          <w:tcPr>
            <w:tcW w:w="0" w:type="auto"/>
          </w:tcPr>
          <w:p w14:paraId="5D501D3B">
            <w:pPr>
              <w:spacing w:line="240" w:lineRule="auto"/>
              <w:jc w:val="left"/>
              <w:rPr>
                <w:rFonts w:hint="default" w:ascii="Times New Roman" w:hAnsi="Times New Roman" w:cs="Times New Roman"/>
                <w:color w:val="auto"/>
                <w:highlight w:val="none"/>
                <w:lang w:val="en-MY" w:eastAsia="en-US"/>
              </w:rPr>
            </w:pPr>
          </w:p>
        </w:tc>
        <w:tc>
          <w:tcPr>
            <w:tcW w:w="0" w:type="auto"/>
          </w:tcPr>
          <w:p w14:paraId="6F853C76">
            <w:pPr>
              <w:spacing w:line="240" w:lineRule="auto"/>
              <w:jc w:val="left"/>
              <w:rPr>
                <w:rFonts w:hint="default" w:ascii="Times New Roman" w:hAnsi="Times New Roman" w:cs="Times New Roman"/>
                <w:color w:val="auto"/>
                <w:highlight w:val="none"/>
                <w:lang w:val="en-MY" w:eastAsia="en-US"/>
              </w:rPr>
            </w:pPr>
          </w:p>
        </w:tc>
        <w:tc>
          <w:tcPr>
            <w:tcW w:w="0" w:type="auto"/>
          </w:tcPr>
          <w:p w14:paraId="296AAAC9">
            <w:pPr>
              <w:spacing w:line="240" w:lineRule="auto"/>
              <w:jc w:val="left"/>
              <w:rPr>
                <w:rFonts w:hint="default" w:ascii="Times New Roman" w:hAnsi="Times New Roman" w:cs="Times New Roman"/>
                <w:color w:val="auto"/>
                <w:highlight w:val="none"/>
                <w:lang w:val="en-MY" w:eastAsia="en-US"/>
              </w:rPr>
            </w:pPr>
          </w:p>
        </w:tc>
        <w:tc>
          <w:tcPr>
            <w:tcW w:w="0" w:type="auto"/>
          </w:tcPr>
          <w:p w14:paraId="3D04C044">
            <w:pPr>
              <w:spacing w:line="240" w:lineRule="auto"/>
              <w:jc w:val="left"/>
              <w:rPr>
                <w:rFonts w:hint="default" w:ascii="Times New Roman" w:hAnsi="Times New Roman" w:cs="Times New Roman"/>
                <w:color w:val="auto"/>
                <w:highlight w:val="none"/>
                <w:lang w:val="en-MY" w:eastAsia="en-US"/>
              </w:rPr>
            </w:pPr>
          </w:p>
        </w:tc>
        <w:tc>
          <w:tcPr>
            <w:tcW w:w="0" w:type="auto"/>
          </w:tcPr>
          <w:p w14:paraId="6757F5B9">
            <w:pPr>
              <w:spacing w:line="240" w:lineRule="auto"/>
              <w:jc w:val="left"/>
              <w:rPr>
                <w:rFonts w:hint="default" w:ascii="Times New Roman" w:hAnsi="Times New Roman" w:cs="Times New Roman"/>
                <w:color w:val="auto"/>
                <w:highlight w:val="none"/>
                <w:lang w:val="en-MY" w:eastAsia="en-US"/>
              </w:rPr>
            </w:pPr>
          </w:p>
        </w:tc>
      </w:tr>
    </w:tbl>
    <w:p w14:paraId="6054F2B7">
      <w:pPr>
        <w:spacing w:line="240" w:lineRule="auto"/>
        <w:jc w:val="left"/>
        <w:rPr>
          <w:rFonts w:hint="default" w:ascii="Times New Roman" w:hAnsi="Times New Roman" w:cs="Times New Roman"/>
          <w:color w:val="auto"/>
          <w:highlight w:val="none"/>
        </w:rPr>
      </w:pPr>
    </w:p>
    <w:p w14:paraId="1ED4C8EE">
      <w:pPr>
        <w:spacing w:line="240" w:lineRule="auto"/>
        <w:jc w:val="left"/>
        <w:rPr>
          <w:rFonts w:hint="default" w:ascii="Times New Roman" w:hAnsi="Times New Roman" w:cs="Times New Roman"/>
          <w:color w:val="auto"/>
          <w:highlight w:val="none"/>
          <w:lang w:val="en-MY" w:eastAsia="en-US"/>
        </w:rPr>
      </w:pPr>
      <w:r>
        <w:rPr>
          <w:rFonts w:hint="default" w:ascii="Times New Roman" w:hAnsi="Times New Roman" w:cs="Times New Roman"/>
          <w:color w:val="auto"/>
          <w:highlight w:val="none"/>
          <w:lang w:val="en-MY" w:eastAsia="en-US"/>
        </w:rPr>
        <w:t>Demographic information</w:t>
      </w:r>
    </w:p>
    <w:tbl>
      <w:tblPr>
        <w:tblStyle w:val="6"/>
        <w:tblW w:w="8712" w:type="dxa"/>
        <w:tblInd w:w="1"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790"/>
        <w:gridCol w:w="4922"/>
      </w:tblGrid>
      <w:tr w14:paraId="3E5C3FF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790" w:type="dxa"/>
            <w:tcBorders>
              <w:top w:val="single" w:color="auto" w:sz="4" w:space="0"/>
              <w:bottom w:val="single" w:color="auto" w:sz="4" w:space="0"/>
            </w:tcBorders>
          </w:tcPr>
          <w:p w14:paraId="02BD1738">
            <w:pPr>
              <w:spacing w:line="240" w:lineRule="auto"/>
              <w:jc w:val="left"/>
              <w:rPr>
                <w:rFonts w:hint="default" w:ascii="Times New Roman" w:hAnsi="Times New Roman" w:cs="Times New Roman"/>
                <w:color w:val="auto"/>
                <w:highlight w:val="none"/>
                <w:lang w:val="en-MY" w:eastAsia="en-US"/>
              </w:rPr>
            </w:pPr>
            <w:r>
              <w:rPr>
                <w:rFonts w:hint="default" w:ascii="Times New Roman" w:hAnsi="Times New Roman" w:cs="Times New Roman"/>
                <w:color w:val="auto"/>
                <w:highlight w:val="none"/>
                <w:lang w:val="en-MY" w:eastAsia="en-US"/>
              </w:rPr>
              <w:t>1. Gender:</w:t>
            </w:r>
          </w:p>
          <w:p w14:paraId="5874D917">
            <w:pPr>
              <w:pStyle w:val="10"/>
              <w:numPr>
                <w:ilvl w:val="0"/>
                <w:numId w:val="2"/>
              </w:numPr>
              <w:spacing w:line="240" w:lineRule="auto"/>
              <w:jc w:val="left"/>
              <w:rPr>
                <w:rFonts w:hint="default" w:ascii="Times New Roman" w:hAnsi="Times New Roman" w:eastAsia="Calibri" w:cs="Times New Roman"/>
                <w:color w:val="auto"/>
                <w:highlight w:val="none"/>
                <w:lang w:val="en-MY" w:eastAsia="en-US"/>
              </w:rPr>
            </w:pPr>
            <w:r>
              <w:rPr>
                <w:rFonts w:hint="default" w:ascii="Times New Roman" w:hAnsi="Times New Roman" w:cs="Times New Roman"/>
                <w:color w:val="auto"/>
                <w:highlight w:val="none"/>
              </w:rPr>
              <w:t>Male</w:t>
            </w:r>
          </w:p>
          <w:p w14:paraId="3366DB69">
            <w:pPr>
              <w:pStyle w:val="10"/>
              <w:numPr>
                <w:ilvl w:val="0"/>
                <w:numId w:val="2"/>
              </w:numPr>
              <w:spacing w:line="240" w:lineRule="auto"/>
              <w:jc w:val="left"/>
              <w:rPr>
                <w:rFonts w:hint="default" w:ascii="Times New Roman" w:hAnsi="Times New Roman" w:eastAsia="Calibri" w:cs="Times New Roman"/>
                <w:color w:val="auto"/>
                <w:highlight w:val="none"/>
                <w:lang w:val="en-MY" w:eastAsia="en-US"/>
              </w:rPr>
            </w:pPr>
            <w:r>
              <w:rPr>
                <w:rFonts w:hint="default" w:ascii="Times New Roman" w:hAnsi="Times New Roman" w:cs="Times New Roman"/>
                <w:color w:val="auto"/>
                <w:highlight w:val="none"/>
              </w:rPr>
              <w:t>Female</w:t>
            </w:r>
          </w:p>
        </w:tc>
        <w:tc>
          <w:tcPr>
            <w:tcW w:w="4922" w:type="dxa"/>
            <w:tcBorders>
              <w:top w:val="single" w:color="auto" w:sz="4" w:space="0"/>
              <w:bottom w:val="single" w:color="auto" w:sz="4" w:space="0"/>
            </w:tcBorders>
          </w:tcPr>
          <w:p w14:paraId="4199F11F">
            <w:pPr>
              <w:spacing w:line="240" w:lineRule="auto"/>
              <w:jc w:val="left"/>
              <w:rPr>
                <w:rFonts w:hint="default" w:ascii="Times New Roman" w:hAnsi="Times New Roman" w:cs="Times New Roman"/>
                <w:color w:val="auto"/>
                <w:highlight w:val="none"/>
                <w:lang w:val="en-MY" w:eastAsia="en-US"/>
              </w:rPr>
            </w:pPr>
            <w:r>
              <w:rPr>
                <w:rFonts w:hint="default" w:ascii="Times New Roman" w:hAnsi="Times New Roman" w:cs="Times New Roman"/>
                <w:color w:val="auto"/>
                <w:highlight w:val="none"/>
                <w:lang w:val="en-MY" w:eastAsia="en-US"/>
              </w:rPr>
              <w:t xml:space="preserve">2. Age </w:t>
            </w:r>
            <w:r>
              <w:rPr>
                <w:rFonts w:hint="default" w:ascii="Times New Roman" w:hAnsi="Times New Roman" w:cs="Times New Roman"/>
                <w:color w:val="auto"/>
                <w:highlight w:val="none"/>
              </w:rPr>
              <w:t>(</w:t>
            </w:r>
            <w:r>
              <w:rPr>
                <w:rFonts w:hint="default" w:ascii="Times New Roman" w:hAnsi="Times New Roman" w:cs="Times New Roman"/>
                <w:color w:val="auto"/>
                <w:highlight w:val="none"/>
                <w:lang w:val="en-MY" w:eastAsia="en-US"/>
              </w:rPr>
              <w:t>In Years)</w:t>
            </w:r>
          </w:p>
          <w:p w14:paraId="544C8955">
            <w:pPr>
              <w:pStyle w:val="10"/>
              <w:numPr>
                <w:ilvl w:val="0"/>
                <w:numId w:val="3"/>
              </w:numPr>
              <w:spacing w:line="240" w:lineRule="auto"/>
              <w:jc w:val="left"/>
              <w:rPr>
                <w:rFonts w:hint="default" w:ascii="Times New Roman" w:hAnsi="Times New Roman" w:cs="Times New Roman"/>
                <w:color w:val="auto"/>
                <w:highlight w:val="none"/>
                <w:lang w:val="en-MY" w:eastAsia="en-US"/>
              </w:rPr>
            </w:pPr>
            <w:r>
              <w:rPr>
                <w:rFonts w:hint="default" w:ascii="Times New Roman" w:hAnsi="Times New Roman" w:cs="Times New Roman"/>
                <w:color w:val="auto"/>
                <w:highlight w:val="none"/>
                <w:lang w:val="en-MY" w:eastAsia="en-US"/>
              </w:rPr>
              <w:t>&lt;20</w:t>
            </w:r>
          </w:p>
          <w:p w14:paraId="04C6A566">
            <w:pPr>
              <w:pStyle w:val="10"/>
              <w:numPr>
                <w:ilvl w:val="0"/>
                <w:numId w:val="3"/>
              </w:numPr>
              <w:spacing w:line="240" w:lineRule="auto"/>
              <w:jc w:val="left"/>
              <w:rPr>
                <w:rFonts w:hint="default" w:ascii="Times New Roman" w:hAnsi="Times New Roman" w:cs="Times New Roman"/>
                <w:color w:val="auto"/>
                <w:highlight w:val="none"/>
                <w:lang w:val="en-MY" w:eastAsia="en-US"/>
              </w:rPr>
            </w:pPr>
            <w:r>
              <w:rPr>
                <w:rFonts w:hint="default" w:ascii="Times New Roman" w:hAnsi="Times New Roman" w:cs="Times New Roman"/>
                <w:color w:val="auto"/>
                <w:highlight w:val="none"/>
                <w:lang w:val="en-MY" w:eastAsia="en-US"/>
              </w:rPr>
              <w:t>20—29</w:t>
            </w:r>
          </w:p>
          <w:p w14:paraId="6CCD590C">
            <w:pPr>
              <w:pStyle w:val="10"/>
              <w:numPr>
                <w:ilvl w:val="0"/>
                <w:numId w:val="3"/>
              </w:numPr>
              <w:spacing w:line="240" w:lineRule="auto"/>
              <w:jc w:val="left"/>
              <w:rPr>
                <w:rFonts w:hint="default" w:ascii="Times New Roman" w:hAnsi="Times New Roman" w:cs="Times New Roman"/>
                <w:color w:val="auto"/>
                <w:highlight w:val="none"/>
                <w:lang w:val="en-MY" w:eastAsia="en-US"/>
              </w:rPr>
            </w:pPr>
            <w:r>
              <w:rPr>
                <w:rFonts w:hint="default" w:ascii="Times New Roman" w:hAnsi="Times New Roman" w:cs="Times New Roman"/>
                <w:color w:val="auto"/>
                <w:highlight w:val="none"/>
                <w:lang w:val="en-MY" w:eastAsia="en-US"/>
              </w:rPr>
              <w:t>30—39</w:t>
            </w:r>
          </w:p>
          <w:p w14:paraId="7BC08835">
            <w:pPr>
              <w:pStyle w:val="10"/>
              <w:numPr>
                <w:ilvl w:val="0"/>
                <w:numId w:val="3"/>
              </w:numPr>
              <w:spacing w:line="240" w:lineRule="auto"/>
              <w:jc w:val="left"/>
              <w:rPr>
                <w:rFonts w:hint="default" w:ascii="Times New Roman" w:hAnsi="Times New Roman" w:cs="Times New Roman"/>
                <w:color w:val="auto"/>
                <w:highlight w:val="none"/>
                <w:lang w:val="en-MY" w:eastAsia="en-US"/>
              </w:rPr>
            </w:pPr>
            <w:r>
              <w:rPr>
                <w:rFonts w:hint="default" w:ascii="Times New Roman" w:hAnsi="Times New Roman" w:cs="Times New Roman"/>
                <w:color w:val="auto"/>
                <w:highlight w:val="none"/>
                <w:lang w:val="en-MY" w:eastAsia="en-US"/>
              </w:rPr>
              <w:t>≥40</w:t>
            </w:r>
          </w:p>
        </w:tc>
      </w:tr>
      <w:tr w14:paraId="2B1B3F4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790" w:type="dxa"/>
            <w:tcBorders>
              <w:top w:val="single" w:color="auto" w:sz="4" w:space="0"/>
              <w:bottom w:val="single" w:color="auto" w:sz="4" w:space="0"/>
            </w:tcBorders>
          </w:tcPr>
          <w:p w14:paraId="6043904F">
            <w:pPr>
              <w:spacing w:line="240" w:lineRule="auto"/>
              <w:jc w:val="left"/>
              <w:rPr>
                <w:rFonts w:hint="default" w:ascii="Times New Roman" w:hAnsi="Times New Roman" w:cs="Times New Roman"/>
                <w:color w:val="auto"/>
                <w:highlight w:val="none"/>
                <w:lang w:val="en-MY" w:eastAsia="en-US"/>
              </w:rPr>
            </w:pPr>
            <w:r>
              <w:rPr>
                <w:rFonts w:hint="default" w:ascii="Times New Roman" w:hAnsi="Times New Roman" w:cs="Times New Roman"/>
                <w:color w:val="auto"/>
                <w:highlight w:val="none"/>
                <w:lang w:val="en-MY" w:eastAsia="en-US"/>
              </w:rPr>
              <w:t>3. Marital Status</w:t>
            </w:r>
          </w:p>
          <w:p w14:paraId="42674DB9">
            <w:pPr>
              <w:pStyle w:val="10"/>
              <w:numPr>
                <w:ilvl w:val="0"/>
                <w:numId w:val="4"/>
              </w:numPr>
              <w:spacing w:line="240" w:lineRule="auto"/>
              <w:jc w:val="left"/>
              <w:rPr>
                <w:rFonts w:hint="default" w:ascii="Times New Roman" w:hAnsi="Times New Roman" w:cs="Times New Roman"/>
                <w:color w:val="auto"/>
                <w:highlight w:val="none"/>
                <w:lang w:val="en-MY" w:eastAsia="en-US"/>
              </w:rPr>
            </w:pPr>
            <w:r>
              <w:rPr>
                <w:rFonts w:hint="default" w:ascii="Times New Roman" w:hAnsi="Times New Roman" w:cs="Times New Roman"/>
                <w:color w:val="auto"/>
                <w:highlight w:val="none"/>
                <w:lang w:val="en-MY" w:eastAsia="en-US"/>
              </w:rPr>
              <w:t>Unmarried/Divorced</w:t>
            </w:r>
          </w:p>
          <w:p w14:paraId="1C7BD0CC">
            <w:pPr>
              <w:pStyle w:val="10"/>
              <w:numPr>
                <w:ilvl w:val="0"/>
                <w:numId w:val="4"/>
              </w:numPr>
              <w:spacing w:line="240" w:lineRule="auto"/>
              <w:jc w:val="left"/>
              <w:rPr>
                <w:rFonts w:hint="default" w:ascii="Times New Roman" w:hAnsi="Times New Roman" w:cs="Times New Roman"/>
                <w:color w:val="auto"/>
                <w:highlight w:val="none"/>
                <w:lang w:val="en-MY" w:eastAsia="en-US"/>
              </w:rPr>
            </w:pPr>
            <w:r>
              <w:rPr>
                <w:rFonts w:hint="default" w:ascii="Times New Roman" w:hAnsi="Times New Roman" w:cs="Times New Roman"/>
                <w:color w:val="auto"/>
                <w:highlight w:val="none"/>
                <w:lang w:val="en-MY" w:eastAsia="en-US"/>
              </w:rPr>
              <w:t>Married</w:t>
            </w:r>
          </w:p>
        </w:tc>
        <w:tc>
          <w:tcPr>
            <w:tcW w:w="4922" w:type="dxa"/>
            <w:tcBorders>
              <w:top w:val="single" w:color="auto" w:sz="4" w:space="0"/>
              <w:bottom w:val="single" w:color="auto" w:sz="4" w:space="0"/>
            </w:tcBorders>
          </w:tcPr>
          <w:p w14:paraId="330AC590">
            <w:pPr>
              <w:spacing w:line="240" w:lineRule="auto"/>
              <w:jc w:val="left"/>
              <w:rPr>
                <w:rFonts w:hint="default" w:ascii="Times New Roman" w:hAnsi="Times New Roman" w:cs="Times New Roman"/>
                <w:color w:val="auto"/>
                <w:highlight w:val="none"/>
                <w:lang w:val="en-MY" w:eastAsia="en-US"/>
              </w:rPr>
            </w:pPr>
            <w:r>
              <w:rPr>
                <w:rFonts w:hint="default" w:ascii="Times New Roman" w:hAnsi="Times New Roman" w:cs="Times New Roman"/>
                <w:color w:val="auto"/>
                <w:highlight w:val="none"/>
                <w:lang w:val="en-MY" w:eastAsia="en-US"/>
              </w:rPr>
              <w:t>4. Education Level</w:t>
            </w:r>
          </w:p>
          <w:p w14:paraId="2E1D86A7">
            <w:pPr>
              <w:pStyle w:val="10"/>
              <w:numPr>
                <w:ilvl w:val="0"/>
                <w:numId w:val="5"/>
              </w:numPr>
              <w:spacing w:line="240" w:lineRule="auto"/>
              <w:jc w:val="left"/>
              <w:rPr>
                <w:rFonts w:hint="default" w:ascii="Times New Roman" w:hAnsi="Times New Roman" w:cs="Times New Roman"/>
                <w:color w:val="auto"/>
                <w:highlight w:val="none"/>
                <w:lang w:val="en-MY" w:eastAsia="en-US"/>
              </w:rPr>
            </w:pPr>
            <w:r>
              <w:rPr>
                <w:rFonts w:hint="default" w:ascii="Times New Roman" w:hAnsi="Times New Roman" w:cs="Times New Roman"/>
                <w:color w:val="auto"/>
                <w:highlight w:val="none"/>
                <w:lang w:val="en-MY" w:eastAsia="en-US"/>
              </w:rPr>
              <w:t>Junior College (Diploma)</w:t>
            </w:r>
          </w:p>
          <w:p w14:paraId="5E928052">
            <w:pPr>
              <w:pStyle w:val="10"/>
              <w:numPr>
                <w:ilvl w:val="0"/>
                <w:numId w:val="5"/>
              </w:numPr>
              <w:spacing w:line="240" w:lineRule="auto"/>
              <w:jc w:val="left"/>
              <w:rPr>
                <w:rFonts w:hint="default" w:ascii="Times New Roman" w:hAnsi="Times New Roman" w:cs="Times New Roman"/>
                <w:color w:val="auto"/>
                <w:highlight w:val="none"/>
                <w:lang w:val="en-MY" w:eastAsia="en-US"/>
              </w:rPr>
            </w:pPr>
            <w:r>
              <w:rPr>
                <w:rFonts w:hint="default" w:ascii="Times New Roman" w:hAnsi="Times New Roman" w:cs="Times New Roman"/>
                <w:color w:val="auto"/>
                <w:highlight w:val="none"/>
                <w:lang w:val="en-MY" w:eastAsia="en-US"/>
              </w:rPr>
              <w:t>Bachelor’s Degree</w:t>
            </w:r>
          </w:p>
          <w:p w14:paraId="1CBD8910">
            <w:pPr>
              <w:pStyle w:val="10"/>
              <w:numPr>
                <w:ilvl w:val="0"/>
                <w:numId w:val="5"/>
              </w:numPr>
              <w:spacing w:line="240" w:lineRule="auto"/>
              <w:jc w:val="left"/>
              <w:rPr>
                <w:rFonts w:hint="default" w:ascii="Times New Roman" w:hAnsi="Times New Roman" w:cs="Times New Roman"/>
                <w:color w:val="auto"/>
                <w:highlight w:val="none"/>
                <w:lang w:val="en-MY" w:eastAsia="en-US"/>
              </w:rPr>
            </w:pPr>
            <w:r>
              <w:rPr>
                <w:rFonts w:hint="default" w:ascii="Times New Roman" w:hAnsi="Times New Roman" w:cs="Times New Roman"/>
                <w:color w:val="auto"/>
                <w:highlight w:val="none"/>
                <w:lang w:val="en-MY" w:eastAsia="en-US"/>
              </w:rPr>
              <w:t>Master’s Degree</w:t>
            </w:r>
          </w:p>
          <w:p w14:paraId="6EF21295">
            <w:pPr>
              <w:pStyle w:val="10"/>
              <w:numPr>
                <w:ilvl w:val="0"/>
                <w:numId w:val="5"/>
              </w:numPr>
              <w:spacing w:line="240" w:lineRule="auto"/>
              <w:jc w:val="left"/>
              <w:rPr>
                <w:rFonts w:hint="default" w:ascii="Times New Roman" w:hAnsi="Times New Roman" w:cs="Times New Roman"/>
                <w:color w:val="auto"/>
                <w:highlight w:val="none"/>
                <w:lang w:val="en-MY" w:eastAsia="en-US"/>
              </w:rPr>
            </w:pPr>
            <w:r>
              <w:rPr>
                <w:rFonts w:hint="default" w:ascii="Times New Roman" w:hAnsi="Times New Roman" w:cs="Times New Roman"/>
                <w:color w:val="auto"/>
                <w:highlight w:val="none"/>
                <w:lang w:val="en-MY" w:eastAsia="en-US"/>
              </w:rPr>
              <w:t>PhD</w:t>
            </w:r>
          </w:p>
        </w:tc>
      </w:tr>
      <w:tr w14:paraId="03B5DD6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790" w:type="dxa"/>
            <w:tcBorders>
              <w:top w:val="single" w:color="auto" w:sz="4" w:space="0"/>
              <w:bottom w:val="single" w:color="auto" w:sz="4" w:space="0"/>
            </w:tcBorders>
          </w:tcPr>
          <w:p w14:paraId="659C387A">
            <w:pPr>
              <w:spacing w:line="240" w:lineRule="auto"/>
              <w:jc w:val="left"/>
              <w:rPr>
                <w:rFonts w:hint="default" w:ascii="Times New Roman" w:hAnsi="Times New Roman" w:cs="Times New Roman"/>
                <w:color w:val="auto"/>
                <w:highlight w:val="none"/>
                <w:lang w:val="en-MY" w:eastAsia="en-US"/>
              </w:rPr>
            </w:pPr>
            <w:r>
              <w:rPr>
                <w:rFonts w:hint="default" w:ascii="Times New Roman" w:hAnsi="Times New Roman" w:cs="Times New Roman"/>
                <w:color w:val="auto"/>
                <w:highlight w:val="none"/>
                <w:lang w:val="en-MY" w:eastAsia="en-US"/>
              </w:rPr>
              <w:t>5.Work Duration (In Years)</w:t>
            </w:r>
          </w:p>
          <w:p w14:paraId="5F098E47">
            <w:pPr>
              <w:pStyle w:val="10"/>
              <w:numPr>
                <w:ilvl w:val="0"/>
                <w:numId w:val="6"/>
              </w:numPr>
              <w:spacing w:line="240" w:lineRule="auto"/>
              <w:jc w:val="left"/>
              <w:rPr>
                <w:rFonts w:hint="default" w:ascii="Times New Roman" w:hAnsi="Times New Roman" w:cs="Times New Roman"/>
                <w:color w:val="auto"/>
                <w:highlight w:val="none"/>
                <w:lang w:val="en-MY" w:eastAsia="en-US"/>
              </w:rPr>
            </w:pPr>
            <w:r>
              <w:rPr>
                <w:rFonts w:hint="default" w:ascii="Times New Roman" w:hAnsi="Times New Roman" w:cs="Times New Roman"/>
                <w:color w:val="auto"/>
                <w:highlight w:val="none"/>
                <w:lang w:val="en-MY" w:eastAsia="en-US"/>
              </w:rPr>
              <w:t>&lt;5</w:t>
            </w:r>
          </w:p>
          <w:p w14:paraId="3725034F">
            <w:pPr>
              <w:pStyle w:val="10"/>
              <w:numPr>
                <w:ilvl w:val="0"/>
                <w:numId w:val="6"/>
              </w:numPr>
              <w:spacing w:line="240" w:lineRule="auto"/>
              <w:jc w:val="left"/>
              <w:rPr>
                <w:rFonts w:hint="default" w:ascii="Times New Roman" w:hAnsi="Times New Roman" w:cs="Times New Roman"/>
                <w:color w:val="auto"/>
                <w:highlight w:val="none"/>
                <w:lang w:val="en-MY" w:eastAsia="en-US"/>
              </w:rPr>
            </w:pPr>
            <w:r>
              <w:rPr>
                <w:rFonts w:hint="default" w:ascii="Times New Roman" w:hAnsi="Times New Roman" w:cs="Times New Roman"/>
                <w:color w:val="auto"/>
                <w:highlight w:val="none"/>
                <w:lang w:val="en-MY" w:eastAsia="en-US"/>
              </w:rPr>
              <w:t>5—10</w:t>
            </w:r>
          </w:p>
          <w:p w14:paraId="5C685C70">
            <w:pPr>
              <w:pStyle w:val="10"/>
              <w:numPr>
                <w:ilvl w:val="0"/>
                <w:numId w:val="6"/>
              </w:numPr>
              <w:spacing w:line="240" w:lineRule="auto"/>
              <w:jc w:val="left"/>
              <w:rPr>
                <w:rFonts w:hint="default" w:ascii="Times New Roman" w:hAnsi="Times New Roman" w:cs="Times New Roman"/>
                <w:color w:val="auto"/>
                <w:highlight w:val="none"/>
                <w:lang w:val="en-MY" w:eastAsia="en-US"/>
              </w:rPr>
            </w:pPr>
            <w:r>
              <w:rPr>
                <w:rFonts w:hint="default" w:ascii="Times New Roman" w:hAnsi="Times New Roman" w:cs="Times New Roman"/>
                <w:color w:val="auto"/>
                <w:highlight w:val="none"/>
                <w:lang w:val="en-MY" w:eastAsia="en-US"/>
              </w:rPr>
              <w:t>11—15</w:t>
            </w:r>
          </w:p>
          <w:p w14:paraId="38689166">
            <w:pPr>
              <w:pStyle w:val="10"/>
              <w:numPr>
                <w:ilvl w:val="0"/>
                <w:numId w:val="6"/>
              </w:numPr>
              <w:spacing w:line="240" w:lineRule="auto"/>
              <w:jc w:val="left"/>
              <w:rPr>
                <w:rFonts w:hint="default" w:ascii="Times New Roman" w:hAnsi="Times New Roman" w:cs="Times New Roman"/>
                <w:color w:val="auto"/>
                <w:highlight w:val="none"/>
                <w:lang w:val="en-MY" w:eastAsia="en-US"/>
              </w:rPr>
            </w:pPr>
            <w:r>
              <w:rPr>
                <w:rFonts w:hint="default" w:ascii="Times New Roman" w:hAnsi="Times New Roman" w:cs="Times New Roman"/>
                <w:color w:val="auto"/>
                <w:highlight w:val="none"/>
                <w:lang w:val="en-MY" w:eastAsia="en-US"/>
              </w:rPr>
              <w:t>16—19</w:t>
            </w:r>
          </w:p>
          <w:p w14:paraId="16BCCB9B">
            <w:pPr>
              <w:pStyle w:val="10"/>
              <w:numPr>
                <w:ilvl w:val="0"/>
                <w:numId w:val="6"/>
              </w:numPr>
              <w:spacing w:line="240" w:lineRule="auto"/>
              <w:jc w:val="left"/>
              <w:rPr>
                <w:rFonts w:hint="default" w:ascii="Times New Roman" w:hAnsi="Times New Roman" w:cs="Times New Roman"/>
                <w:color w:val="auto"/>
                <w:highlight w:val="none"/>
                <w:lang w:val="en-MY" w:eastAsia="en-US"/>
              </w:rPr>
            </w:pPr>
            <w:r>
              <w:rPr>
                <w:rFonts w:hint="default" w:ascii="Times New Roman" w:hAnsi="Times New Roman" w:cs="Times New Roman"/>
                <w:color w:val="auto"/>
                <w:highlight w:val="none"/>
                <w:lang w:val="en-MY" w:eastAsia="en-US"/>
              </w:rPr>
              <w:t>≥20</w:t>
            </w:r>
          </w:p>
        </w:tc>
        <w:tc>
          <w:tcPr>
            <w:tcW w:w="4922" w:type="dxa"/>
            <w:tcBorders>
              <w:top w:val="single" w:color="auto" w:sz="4" w:space="0"/>
              <w:bottom w:val="single" w:color="auto" w:sz="4" w:space="0"/>
            </w:tcBorders>
          </w:tcPr>
          <w:p w14:paraId="04488ABF">
            <w:pPr>
              <w:spacing w:line="240" w:lineRule="auto"/>
              <w:jc w:val="left"/>
              <w:rPr>
                <w:rFonts w:hint="default" w:ascii="Times New Roman" w:hAnsi="Times New Roman" w:cs="Times New Roman"/>
                <w:color w:val="auto"/>
                <w:highlight w:val="none"/>
                <w:lang w:val="en-MY" w:eastAsia="en-US"/>
              </w:rPr>
            </w:pPr>
            <w:r>
              <w:rPr>
                <w:rFonts w:hint="default" w:ascii="Times New Roman" w:hAnsi="Times New Roman" w:cs="Times New Roman"/>
                <w:color w:val="auto"/>
                <w:highlight w:val="none"/>
                <w:lang w:val="en-MY" w:eastAsia="en-US"/>
              </w:rPr>
              <w:t>6. Title</w:t>
            </w:r>
          </w:p>
          <w:p w14:paraId="2A4DF7D5">
            <w:pPr>
              <w:pStyle w:val="10"/>
              <w:numPr>
                <w:ilvl w:val="0"/>
                <w:numId w:val="7"/>
              </w:numPr>
              <w:spacing w:line="240" w:lineRule="auto"/>
              <w:jc w:val="left"/>
              <w:rPr>
                <w:rFonts w:hint="default" w:ascii="Times New Roman" w:hAnsi="Times New Roman" w:cs="Times New Roman"/>
                <w:color w:val="auto"/>
                <w:highlight w:val="none"/>
                <w:lang w:val="en-MY" w:eastAsia="en-US"/>
              </w:rPr>
            </w:pPr>
            <w:r>
              <w:rPr>
                <w:rFonts w:hint="default" w:ascii="Times New Roman" w:hAnsi="Times New Roman" w:cs="Times New Roman"/>
                <w:color w:val="auto"/>
                <w:highlight w:val="none"/>
                <w:lang w:val="en-MY" w:eastAsia="en-US"/>
              </w:rPr>
              <w:t>Nurse</w:t>
            </w:r>
          </w:p>
          <w:p w14:paraId="54DC53C0">
            <w:pPr>
              <w:pStyle w:val="10"/>
              <w:numPr>
                <w:ilvl w:val="0"/>
                <w:numId w:val="7"/>
              </w:numPr>
              <w:spacing w:line="240" w:lineRule="auto"/>
              <w:jc w:val="left"/>
              <w:rPr>
                <w:rFonts w:hint="default" w:ascii="Times New Roman" w:hAnsi="Times New Roman" w:cs="Times New Roman"/>
                <w:color w:val="auto"/>
                <w:highlight w:val="none"/>
                <w:lang w:val="en-MY" w:eastAsia="en-US"/>
              </w:rPr>
            </w:pPr>
            <w:r>
              <w:rPr>
                <w:rFonts w:hint="default" w:ascii="Times New Roman" w:hAnsi="Times New Roman" w:cs="Times New Roman"/>
                <w:color w:val="auto"/>
                <w:highlight w:val="none"/>
                <w:lang w:val="en-MY" w:eastAsia="en-US"/>
              </w:rPr>
              <w:t>Nurse Practitioner</w:t>
            </w:r>
          </w:p>
          <w:p w14:paraId="020EE3C0">
            <w:pPr>
              <w:pStyle w:val="10"/>
              <w:numPr>
                <w:ilvl w:val="0"/>
                <w:numId w:val="7"/>
              </w:numPr>
              <w:spacing w:line="240" w:lineRule="auto"/>
              <w:jc w:val="left"/>
              <w:rPr>
                <w:rFonts w:hint="default" w:ascii="Times New Roman" w:hAnsi="Times New Roman" w:cs="Times New Roman"/>
                <w:color w:val="auto"/>
                <w:highlight w:val="none"/>
                <w:lang w:val="en-MY" w:eastAsia="en-US"/>
              </w:rPr>
            </w:pPr>
            <w:r>
              <w:rPr>
                <w:rFonts w:hint="default" w:ascii="Times New Roman" w:hAnsi="Times New Roman" w:cs="Times New Roman"/>
                <w:color w:val="auto"/>
                <w:highlight w:val="none"/>
                <w:lang w:val="en-MY" w:eastAsia="en-US"/>
              </w:rPr>
              <w:t>Supervising Nurse Practitioner</w:t>
            </w:r>
          </w:p>
          <w:p w14:paraId="1542E29D">
            <w:pPr>
              <w:pStyle w:val="10"/>
              <w:numPr>
                <w:ilvl w:val="0"/>
                <w:numId w:val="7"/>
              </w:numPr>
              <w:spacing w:line="240" w:lineRule="auto"/>
              <w:jc w:val="left"/>
              <w:rPr>
                <w:rFonts w:hint="default" w:ascii="Times New Roman" w:hAnsi="Times New Roman" w:cs="Times New Roman"/>
                <w:color w:val="auto"/>
                <w:highlight w:val="none"/>
                <w:lang w:val="en-MY" w:eastAsia="en-US"/>
              </w:rPr>
            </w:pPr>
            <w:r>
              <w:rPr>
                <w:rFonts w:hint="default" w:ascii="Times New Roman" w:hAnsi="Times New Roman" w:cs="Times New Roman"/>
                <w:color w:val="auto"/>
                <w:highlight w:val="none"/>
                <w:lang w:val="en-MY" w:eastAsia="en-US"/>
              </w:rPr>
              <w:t>Associate Director of Nurse Practitioners</w:t>
            </w:r>
          </w:p>
        </w:tc>
      </w:tr>
      <w:tr w14:paraId="61DAB7D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790" w:type="dxa"/>
            <w:tcBorders>
              <w:top w:val="single" w:color="auto" w:sz="4" w:space="0"/>
              <w:bottom w:val="single" w:color="auto" w:sz="4" w:space="0"/>
            </w:tcBorders>
          </w:tcPr>
          <w:p w14:paraId="718AE146">
            <w:pPr>
              <w:spacing w:line="240" w:lineRule="auto"/>
              <w:jc w:val="left"/>
              <w:rPr>
                <w:rFonts w:hint="default" w:ascii="Times New Roman" w:hAnsi="Times New Roman" w:cs="Times New Roman"/>
                <w:color w:val="auto"/>
                <w:highlight w:val="none"/>
                <w:lang w:val="en-MY" w:eastAsia="en-US"/>
              </w:rPr>
            </w:pPr>
            <w:r>
              <w:rPr>
                <w:rFonts w:hint="default" w:ascii="Times New Roman" w:hAnsi="Times New Roman" w:cs="Times New Roman"/>
                <w:color w:val="auto"/>
                <w:highlight w:val="none"/>
                <w:lang w:val="en-MY" w:eastAsia="en-US"/>
              </w:rPr>
              <w:t>7. Ranking</w:t>
            </w:r>
          </w:p>
          <w:p w14:paraId="038C5A32">
            <w:pPr>
              <w:pStyle w:val="10"/>
              <w:numPr>
                <w:ilvl w:val="0"/>
                <w:numId w:val="8"/>
              </w:numPr>
              <w:spacing w:line="240" w:lineRule="auto"/>
              <w:jc w:val="left"/>
              <w:rPr>
                <w:rFonts w:hint="default" w:ascii="Times New Roman" w:hAnsi="Times New Roman" w:cs="Times New Roman"/>
                <w:color w:val="auto"/>
                <w:highlight w:val="none"/>
                <w:lang w:val="en-MY" w:eastAsia="en-US"/>
              </w:rPr>
            </w:pPr>
            <w:r>
              <w:rPr>
                <w:rFonts w:hint="default" w:ascii="Times New Roman" w:hAnsi="Times New Roman" w:cs="Times New Roman"/>
                <w:color w:val="auto"/>
                <w:highlight w:val="none"/>
                <w:lang w:val="en-MY" w:eastAsia="en-US"/>
              </w:rPr>
              <w:t>N0</w:t>
            </w:r>
          </w:p>
          <w:p w14:paraId="0AC49ECC">
            <w:pPr>
              <w:pStyle w:val="10"/>
              <w:numPr>
                <w:ilvl w:val="0"/>
                <w:numId w:val="8"/>
              </w:numPr>
              <w:spacing w:line="240" w:lineRule="auto"/>
              <w:jc w:val="left"/>
              <w:rPr>
                <w:rFonts w:hint="default" w:ascii="Times New Roman" w:hAnsi="Times New Roman" w:cs="Times New Roman"/>
                <w:color w:val="auto"/>
                <w:highlight w:val="none"/>
                <w:lang w:val="en-MY" w:eastAsia="en-US"/>
              </w:rPr>
            </w:pPr>
            <w:r>
              <w:rPr>
                <w:rFonts w:hint="default" w:ascii="Times New Roman" w:hAnsi="Times New Roman" w:cs="Times New Roman"/>
                <w:color w:val="auto"/>
                <w:highlight w:val="none"/>
                <w:lang w:val="en-MY" w:eastAsia="en-US"/>
              </w:rPr>
              <w:t>N1</w:t>
            </w:r>
          </w:p>
          <w:p w14:paraId="6ACA90E7">
            <w:pPr>
              <w:pStyle w:val="10"/>
              <w:numPr>
                <w:ilvl w:val="0"/>
                <w:numId w:val="8"/>
              </w:numPr>
              <w:spacing w:line="240" w:lineRule="auto"/>
              <w:jc w:val="left"/>
              <w:rPr>
                <w:rFonts w:hint="default" w:ascii="Times New Roman" w:hAnsi="Times New Roman" w:cs="Times New Roman"/>
                <w:color w:val="auto"/>
                <w:highlight w:val="none"/>
                <w:lang w:val="en-MY" w:eastAsia="en-US"/>
              </w:rPr>
            </w:pPr>
            <w:r>
              <w:rPr>
                <w:rFonts w:hint="default" w:ascii="Times New Roman" w:hAnsi="Times New Roman" w:cs="Times New Roman"/>
                <w:color w:val="auto"/>
                <w:highlight w:val="none"/>
                <w:lang w:val="en-MY" w:eastAsia="en-US"/>
              </w:rPr>
              <w:t>N2</w:t>
            </w:r>
          </w:p>
          <w:p w14:paraId="02963F91">
            <w:pPr>
              <w:pStyle w:val="10"/>
              <w:numPr>
                <w:ilvl w:val="0"/>
                <w:numId w:val="8"/>
              </w:numPr>
              <w:spacing w:line="240" w:lineRule="auto"/>
              <w:jc w:val="left"/>
              <w:rPr>
                <w:rFonts w:hint="default" w:ascii="Times New Roman" w:hAnsi="Times New Roman" w:cs="Times New Roman"/>
                <w:color w:val="auto"/>
                <w:highlight w:val="none"/>
                <w:lang w:val="en-MY" w:eastAsia="en-US"/>
              </w:rPr>
            </w:pPr>
            <w:r>
              <w:rPr>
                <w:rFonts w:hint="default" w:ascii="Times New Roman" w:hAnsi="Times New Roman" w:cs="Times New Roman"/>
                <w:color w:val="auto"/>
                <w:highlight w:val="none"/>
                <w:lang w:val="en-MY" w:eastAsia="en-US"/>
              </w:rPr>
              <w:t>N3</w:t>
            </w:r>
          </w:p>
        </w:tc>
        <w:tc>
          <w:tcPr>
            <w:tcW w:w="4922" w:type="dxa"/>
            <w:tcBorders>
              <w:top w:val="single" w:color="auto" w:sz="4" w:space="0"/>
              <w:bottom w:val="single" w:color="auto" w:sz="4" w:space="0"/>
            </w:tcBorders>
          </w:tcPr>
          <w:p w14:paraId="396AADA4">
            <w:pPr>
              <w:spacing w:line="240" w:lineRule="auto"/>
              <w:jc w:val="left"/>
              <w:rPr>
                <w:rFonts w:hint="default" w:ascii="Times New Roman" w:hAnsi="Times New Roman" w:cs="Times New Roman"/>
                <w:color w:val="auto"/>
                <w:highlight w:val="none"/>
                <w:lang w:val="en-MY" w:eastAsia="en-US"/>
              </w:rPr>
            </w:pPr>
            <w:r>
              <w:rPr>
                <w:rFonts w:hint="default" w:ascii="Times New Roman" w:hAnsi="Times New Roman" w:cs="Times New Roman"/>
                <w:color w:val="auto"/>
                <w:highlight w:val="none"/>
              </w:rPr>
              <w:t>8</w:t>
            </w:r>
            <w:r>
              <w:rPr>
                <w:rFonts w:hint="default" w:ascii="Times New Roman" w:hAnsi="Times New Roman" w:cs="Times New Roman"/>
                <w:color w:val="auto"/>
                <w:highlight w:val="none"/>
                <w:lang w:val="en-MY" w:eastAsia="en-US"/>
              </w:rPr>
              <w:t>. Position</w:t>
            </w:r>
          </w:p>
          <w:p w14:paraId="2566B871">
            <w:pPr>
              <w:pStyle w:val="10"/>
              <w:numPr>
                <w:ilvl w:val="0"/>
                <w:numId w:val="9"/>
              </w:numPr>
              <w:spacing w:line="240" w:lineRule="auto"/>
              <w:jc w:val="left"/>
              <w:rPr>
                <w:rFonts w:hint="default" w:ascii="Times New Roman" w:hAnsi="Times New Roman" w:cs="Times New Roman"/>
                <w:color w:val="auto"/>
                <w:highlight w:val="none"/>
                <w:lang w:val="en-MY" w:eastAsia="en-US"/>
              </w:rPr>
            </w:pPr>
            <w:r>
              <w:rPr>
                <w:rFonts w:hint="default" w:ascii="Times New Roman" w:hAnsi="Times New Roman" w:cs="Times New Roman"/>
                <w:color w:val="auto"/>
                <w:highlight w:val="none"/>
                <w:lang w:val="en-MY" w:eastAsia="en-US"/>
              </w:rPr>
              <w:t>Nurse</w:t>
            </w:r>
          </w:p>
          <w:p w14:paraId="51247B53">
            <w:pPr>
              <w:pStyle w:val="10"/>
              <w:numPr>
                <w:ilvl w:val="0"/>
                <w:numId w:val="9"/>
              </w:numPr>
              <w:spacing w:line="240" w:lineRule="auto"/>
              <w:jc w:val="left"/>
              <w:rPr>
                <w:rFonts w:hint="default" w:ascii="Times New Roman" w:hAnsi="Times New Roman" w:cs="Times New Roman"/>
                <w:color w:val="auto"/>
                <w:highlight w:val="none"/>
                <w:lang w:val="en-MY" w:eastAsia="en-US"/>
              </w:rPr>
            </w:pPr>
            <w:r>
              <w:rPr>
                <w:rFonts w:hint="default" w:ascii="Times New Roman" w:hAnsi="Times New Roman" w:cs="Times New Roman"/>
                <w:color w:val="auto"/>
                <w:highlight w:val="none"/>
                <w:lang w:val="en-MY" w:eastAsia="en-US"/>
              </w:rPr>
              <w:t>Nurse Manager</w:t>
            </w:r>
          </w:p>
          <w:p w14:paraId="6CD9703A">
            <w:pPr>
              <w:pStyle w:val="10"/>
              <w:numPr>
                <w:ilvl w:val="0"/>
                <w:numId w:val="9"/>
              </w:numPr>
              <w:spacing w:line="240" w:lineRule="auto"/>
              <w:jc w:val="left"/>
              <w:rPr>
                <w:rFonts w:hint="default" w:ascii="Times New Roman" w:hAnsi="Times New Roman" w:cs="Times New Roman"/>
                <w:color w:val="auto"/>
                <w:highlight w:val="none"/>
                <w:lang w:val="en-MY" w:eastAsia="en-US"/>
              </w:rPr>
            </w:pPr>
            <w:r>
              <w:rPr>
                <w:rFonts w:hint="default" w:ascii="Times New Roman" w:hAnsi="Times New Roman" w:cs="Times New Roman"/>
                <w:color w:val="auto"/>
                <w:highlight w:val="none"/>
                <w:lang w:val="en-MY" w:eastAsia="en-US"/>
              </w:rPr>
              <w:t>Section Nurse Manager</w:t>
            </w:r>
          </w:p>
        </w:tc>
      </w:tr>
      <w:tr w14:paraId="2278F79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790" w:type="dxa"/>
            <w:tcBorders>
              <w:top w:val="single" w:color="auto" w:sz="4" w:space="0"/>
              <w:bottom w:val="single" w:color="auto" w:sz="4" w:space="0"/>
            </w:tcBorders>
          </w:tcPr>
          <w:p w14:paraId="31E85D64">
            <w:pPr>
              <w:spacing w:line="240" w:lineRule="auto"/>
              <w:jc w:val="left"/>
              <w:rPr>
                <w:rFonts w:hint="default" w:ascii="Times New Roman" w:hAnsi="Times New Roman" w:cs="Times New Roman"/>
                <w:color w:val="auto"/>
                <w:highlight w:val="none"/>
              </w:rPr>
            </w:pPr>
            <w:r>
              <w:rPr>
                <w:rFonts w:hint="default" w:ascii="Times New Roman" w:hAnsi="Times New Roman" w:cs="Times New Roman"/>
                <w:color w:val="auto"/>
                <w:highlight w:val="none"/>
              </w:rPr>
              <w:t>9</w:t>
            </w:r>
            <w:r>
              <w:rPr>
                <w:rFonts w:hint="default" w:ascii="Times New Roman" w:hAnsi="Times New Roman" w:eastAsia="Calibri" w:cs="Times New Roman"/>
                <w:color w:val="auto"/>
                <w:highlight w:val="none"/>
                <w:lang w:val="en-MY" w:eastAsia="en-US"/>
              </w:rPr>
              <w:t xml:space="preserve">. </w:t>
            </w:r>
            <w:r>
              <w:rPr>
                <w:rFonts w:hint="default" w:ascii="Times New Roman" w:hAnsi="Times New Roman" w:cs="Times New Roman"/>
                <w:color w:val="auto"/>
                <w:highlight w:val="none"/>
              </w:rPr>
              <w:t>Unit Establishment</w:t>
            </w:r>
          </w:p>
          <w:p w14:paraId="3790FF2F">
            <w:pPr>
              <w:pStyle w:val="10"/>
              <w:numPr>
                <w:ilvl w:val="0"/>
                <w:numId w:val="10"/>
              </w:numPr>
              <w:spacing w:line="240" w:lineRule="auto"/>
              <w:jc w:val="left"/>
              <w:rPr>
                <w:rFonts w:hint="default" w:ascii="Times New Roman" w:hAnsi="Times New Roman" w:cs="Times New Roman"/>
                <w:color w:val="auto"/>
                <w:highlight w:val="none"/>
                <w:lang w:bidi="ar"/>
              </w:rPr>
            </w:pPr>
            <w:r>
              <w:rPr>
                <w:rFonts w:hint="default" w:ascii="Times New Roman" w:hAnsi="Times New Roman" w:cs="Times New Roman"/>
                <w:color w:val="auto"/>
                <w:highlight w:val="none"/>
                <w:lang w:bidi="ar"/>
              </w:rPr>
              <w:t>Contractual</w:t>
            </w:r>
          </w:p>
          <w:p w14:paraId="21C8A88B">
            <w:pPr>
              <w:pStyle w:val="10"/>
              <w:numPr>
                <w:ilvl w:val="0"/>
                <w:numId w:val="10"/>
              </w:numPr>
              <w:spacing w:line="240" w:lineRule="auto"/>
              <w:jc w:val="left"/>
              <w:rPr>
                <w:rFonts w:hint="default" w:ascii="Times New Roman" w:hAnsi="Times New Roman" w:cs="Times New Roman"/>
                <w:color w:val="auto"/>
                <w:highlight w:val="none"/>
                <w:lang w:bidi="ar"/>
              </w:rPr>
            </w:pPr>
            <w:r>
              <w:rPr>
                <w:rFonts w:hint="default" w:ascii="Times New Roman" w:hAnsi="Times New Roman" w:cs="Times New Roman"/>
                <w:color w:val="auto"/>
                <w:highlight w:val="none"/>
                <w:lang w:bidi="ar"/>
              </w:rPr>
              <w:t>Personnel Agency</w:t>
            </w:r>
          </w:p>
          <w:p w14:paraId="7B122566">
            <w:pPr>
              <w:pStyle w:val="10"/>
              <w:numPr>
                <w:ilvl w:val="0"/>
                <w:numId w:val="10"/>
              </w:numPr>
              <w:spacing w:line="240" w:lineRule="auto"/>
              <w:jc w:val="left"/>
              <w:rPr>
                <w:rFonts w:hint="default" w:ascii="Times New Roman" w:hAnsi="Times New Roman" w:cs="Times New Roman"/>
                <w:color w:val="auto"/>
                <w:highlight w:val="none"/>
              </w:rPr>
            </w:pPr>
            <w:r>
              <w:rPr>
                <w:rFonts w:hint="default" w:ascii="Times New Roman" w:hAnsi="Times New Roman" w:cs="Times New Roman"/>
                <w:color w:val="auto"/>
                <w:highlight w:val="none"/>
                <w:lang w:bidi="ar"/>
              </w:rPr>
              <w:t>Official Establishment</w:t>
            </w:r>
          </w:p>
        </w:tc>
        <w:tc>
          <w:tcPr>
            <w:tcW w:w="4922" w:type="dxa"/>
            <w:tcBorders>
              <w:top w:val="single" w:color="auto" w:sz="4" w:space="0"/>
              <w:bottom w:val="single" w:color="auto" w:sz="4" w:space="0"/>
            </w:tcBorders>
          </w:tcPr>
          <w:p w14:paraId="5F8A4A9B">
            <w:pPr>
              <w:spacing w:line="240" w:lineRule="auto"/>
              <w:jc w:val="left"/>
              <w:rPr>
                <w:rFonts w:hint="default" w:ascii="Times New Roman" w:hAnsi="Times New Roman" w:cs="Times New Roman"/>
                <w:color w:val="auto"/>
                <w:highlight w:val="none"/>
                <w:lang w:val="en-MY" w:eastAsia="en-US"/>
              </w:rPr>
            </w:pPr>
            <w:r>
              <w:rPr>
                <w:rFonts w:hint="default" w:ascii="Times New Roman" w:hAnsi="Times New Roman" w:cs="Times New Roman"/>
                <w:color w:val="auto"/>
                <w:highlight w:val="none"/>
              </w:rPr>
              <w:t>10</w:t>
            </w:r>
            <w:r>
              <w:rPr>
                <w:rFonts w:hint="default" w:ascii="Times New Roman" w:hAnsi="Times New Roman" w:cs="Times New Roman"/>
                <w:color w:val="auto"/>
                <w:highlight w:val="none"/>
                <w:lang w:val="en-MY" w:eastAsia="en-US"/>
              </w:rPr>
              <w:t>. Salary Level</w:t>
            </w:r>
          </w:p>
          <w:p w14:paraId="2B80484A">
            <w:pPr>
              <w:pStyle w:val="10"/>
              <w:numPr>
                <w:ilvl w:val="0"/>
                <w:numId w:val="11"/>
              </w:numPr>
              <w:spacing w:line="240" w:lineRule="auto"/>
              <w:jc w:val="left"/>
              <w:rPr>
                <w:rFonts w:hint="default" w:ascii="Times New Roman" w:hAnsi="Times New Roman" w:cs="Times New Roman"/>
                <w:color w:val="auto"/>
                <w:highlight w:val="none"/>
                <w:lang w:bidi="ar"/>
              </w:rPr>
            </w:pPr>
            <w:r>
              <w:rPr>
                <w:rFonts w:hint="default" w:ascii="Times New Roman" w:hAnsi="Times New Roman" w:cs="Times New Roman"/>
                <w:color w:val="auto"/>
                <w:highlight w:val="none"/>
                <w:lang w:bidi="ar"/>
              </w:rPr>
              <w:t>&lt;4000</w:t>
            </w:r>
          </w:p>
          <w:p w14:paraId="2DD01C77">
            <w:pPr>
              <w:pStyle w:val="10"/>
              <w:numPr>
                <w:ilvl w:val="0"/>
                <w:numId w:val="11"/>
              </w:numPr>
              <w:spacing w:line="240" w:lineRule="auto"/>
              <w:jc w:val="left"/>
              <w:rPr>
                <w:rFonts w:hint="default" w:ascii="Times New Roman" w:hAnsi="Times New Roman" w:cs="Times New Roman"/>
                <w:color w:val="auto"/>
                <w:highlight w:val="none"/>
                <w:lang w:bidi="ar"/>
              </w:rPr>
            </w:pPr>
            <w:r>
              <w:rPr>
                <w:rFonts w:hint="default" w:ascii="Times New Roman" w:hAnsi="Times New Roman" w:cs="Times New Roman"/>
                <w:color w:val="auto"/>
                <w:highlight w:val="none"/>
                <w:lang w:bidi="ar"/>
              </w:rPr>
              <w:t>4000—7999</w:t>
            </w:r>
          </w:p>
          <w:p w14:paraId="244C585A">
            <w:pPr>
              <w:pStyle w:val="10"/>
              <w:numPr>
                <w:ilvl w:val="0"/>
                <w:numId w:val="11"/>
              </w:numPr>
              <w:spacing w:line="240" w:lineRule="auto"/>
              <w:jc w:val="left"/>
              <w:rPr>
                <w:rFonts w:hint="default" w:ascii="Times New Roman" w:hAnsi="Times New Roman" w:cs="Times New Roman"/>
                <w:color w:val="auto"/>
                <w:highlight w:val="none"/>
                <w:lang w:val="en-MY" w:eastAsia="en-US"/>
              </w:rPr>
            </w:pPr>
            <w:r>
              <w:rPr>
                <w:rFonts w:hint="default" w:ascii="Times New Roman" w:hAnsi="Times New Roman" w:cs="Times New Roman"/>
                <w:color w:val="auto"/>
                <w:highlight w:val="none"/>
                <w:lang w:bidi="ar"/>
              </w:rPr>
              <w:t>≥8000</w:t>
            </w:r>
          </w:p>
        </w:tc>
      </w:tr>
      <w:tr w14:paraId="41B94B5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790" w:type="dxa"/>
            <w:tcBorders>
              <w:top w:val="single" w:color="auto" w:sz="4" w:space="0"/>
              <w:bottom w:val="single" w:color="auto" w:sz="4" w:space="0"/>
            </w:tcBorders>
          </w:tcPr>
          <w:p w14:paraId="0A5A687E">
            <w:pPr>
              <w:spacing w:line="240" w:lineRule="auto"/>
              <w:jc w:val="left"/>
              <w:rPr>
                <w:rFonts w:hint="default" w:ascii="Times New Roman" w:hAnsi="Times New Roman" w:cs="Times New Roman"/>
                <w:color w:val="auto"/>
                <w:highlight w:val="none"/>
              </w:rPr>
            </w:pPr>
            <w:r>
              <w:rPr>
                <w:rFonts w:hint="default" w:ascii="Times New Roman" w:hAnsi="Times New Roman" w:cs="Times New Roman"/>
                <w:color w:val="auto"/>
                <w:highlight w:val="none"/>
              </w:rPr>
              <w:t>11. Section</w:t>
            </w:r>
          </w:p>
          <w:p w14:paraId="272F65EF">
            <w:pPr>
              <w:pStyle w:val="10"/>
              <w:numPr>
                <w:ilvl w:val="0"/>
                <w:numId w:val="10"/>
              </w:numPr>
              <w:spacing w:line="240" w:lineRule="auto"/>
              <w:jc w:val="left"/>
              <w:rPr>
                <w:rFonts w:hint="default" w:ascii="Times New Roman" w:hAnsi="Times New Roman" w:cs="Times New Roman"/>
                <w:color w:val="auto"/>
                <w:highlight w:val="none"/>
                <w:lang w:bidi="ar"/>
              </w:rPr>
            </w:pPr>
            <w:r>
              <w:rPr>
                <w:rFonts w:hint="default" w:ascii="Times New Roman" w:hAnsi="Times New Roman" w:cs="Times New Roman"/>
                <w:color w:val="auto"/>
                <w:highlight w:val="none"/>
                <w:lang w:bidi="ar"/>
              </w:rPr>
              <w:t>Internal Medicine</w:t>
            </w:r>
          </w:p>
          <w:p w14:paraId="3FC28E0F">
            <w:pPr>
              <w:pStyle w:val="10"/>
              <w:numPr>
                <w:ilvl w:val="0"/>
                <w:numId w:val="10"/>
              </w:numPr>
              <w:spacing w:line="240" w:lineRule="auto"/>
              <w:jc w:val="left"/>
              <w:rPr>
                <w:rFonts w:hint="default" w:ascii="Times New Roman" w:hAnsi="Times New Roman" w:cs="Times New Roman"/>
                <w:color w:val="auto"/>
                <w:highlight w:val="none"/>
                <w:lang w:bidi="ar"/>
              </w:rPr>
            </w:pPr>
            <w:r>
              <w:rPr>
                <w:rFonts w:hint="default" w:ascii="Times New Roman" w:hAnsi="Times New Roman" w:cs="Times New Roman"/>
                <w:color w:val="auto"/>
                <w:highlight w:val="none"/>
                <w:lang w:bidi="ar"/>
              </w:rPr>
              <w:t>Surgery</w:t>
            </w:r>
          </w:p>
          <w:p w14:paraId="605F0665">
            <w:pPr>
              <w:pStyle w:val="10"/>
              <w:numPr>
                <w:ilvl w:val="0"/>
                <w:numId w:val="10"/>
              </w:numPr>
              <w:spacing w:line="240" w:lineRule="auto"/>
              <w:jc w:val="left"/>
              <w:rPr>
                <w:rFonts w:hint="default" w:ascii="Times New Roman" w:hAnsi="Times New Roman" w:cs="Times New Roman"/>
                <w:color w:val="auto"/>
                <w:highlight w:val="none"/>
                <w:lang w:bidi="ar"/>
              </w:rPr>
            </w:pPr>
            <w:r>
              <w:rPr>
                <w:rFonts w:hint="default" w:ascii="Times New Roman" w:hAnsi="Times New Roman" w:cs="Times New Roman"/>
                <w:color w:val="auto"/>
                <w:highlight w:val="none"/>
                <w:lang w:bidi="ar"/>
              </w:rPr>
              <w:t>Outpatient</w:t>
            </w:r>
          </w:p>
          <w:p w14:paraId="0F83B63D">
            <w:pPr>
              <w:pStyle w:val="10"/>
              <w:numPr>
                <w:ilvl w:val="0"/>
                <w:numId w:val="10"/>
              </w:numPr>
              <w:spacing w:line="240" w:lineRule="auto"/>
              <w:jc w:val="left"/>
              <w:rPr>
                <w:rFonts w:hint="default" w:ascii="Times New Roman" w:hAnsi="Times New Roman" w:cs="Times New Roman"/>
                <w:color w:val="auto"/>
                <w:highlight w:val="none"/>
                <w:lang w:bidi="ar"/>
              </w:rPr>
            </w:pPr>
            <w:r>
              <w:rPr>
                <w:rFonts w:hint="default" w:ascii="Times New Roman" w:hAnsi="Times New Roman" w:cs="Times New Roman"/>
                <w:color w:val="auto"/>
                <w:highlight w:val="none"/>
                <w:lang w:bidi="ar"/>
              </w:rPr>
              <w:t>Operating Room</w:t>
            </w:r>
          </w:p>
          <w:p w14:paraId="161F185C">
            <w:pPr>
              <w:pStyle w:val="10"/>
              <w:numPr>
                <w:ilvl w:val="0"/>
                <w:numId w:val="10"/>
              </w:numPr>
              <w:spacing w:line="240" w:lineRule="auto"/>
              <w:jc w:val="left"/>
              <w:rPr>
                <w:rFonts w:hint="default" w:ascii="Times New Roman" w:hAnsi="Times New Roman" w:cs="Times New Roman"/>
                <w:color w:val="auto"/>
                <w:highlight w:val="none"/>
              </w:rPr>
            </w:pPr>
            <w:r>
              <w:rPr>
                <w:rFonts w:hint="default" w:ascii="Times New Roman" w:hAnsi="Times New Roman" w:cs="Times New Roman"/>
                <w:color w:val="auto"/>
                <w:highlight w:val="none"/>
                <w:lang w:bidi="ar"/>
              </w:rPr>
              <w:t>Others</w:t>
            </w:r>
          </w:p>
        </w:tc>
        <w:tc>
          <w:tcPr>
            <w:tcW w:w="4922" w:type="dxa"/>
            <w:tcBorders>
              <w:top w:val="single" w:color="auto" w:sz="4" w:space="0"/>
              <w:bottom w:val="single" w:color="auto" w:sz="4" w:space="0"/>
            </w:tcBorders>
          </w:tcPr>
          <w:p w14:paraId="0694AEAC">
            <w:pPr>
              <w:spacing w:line="240" w:lineRule="auto"/>
              <w:jc w:val="left"/>
              <w:rPr>
                <w:rFonts w:hint="default" w:ascii="Times New Roman" w:hAnsi="Times New Roman" w:cs="Times New Roman"/>
                <w:color w:val="auto"/>
                <w:highlight w:val="none"/>
              </w:rPr>
            </w:pPr>
            <w:r>
              <w:rPr>
                <w:rFonts w:hint="default" w:ascii="Times New Roman" w:hAnsi="Times New Roman" w:cs="Times New Roman"/>
                <w:color w:val="auto"/>
                <w:highlight w:val="none"/>
              </w:rPr>
              <w:t>12</w:t>
            </w:r>
            <w:r>
              <w:rPr>
                <w:rFonts w:hint="default" w:ascii="Times New Roman" w:hAnsi="Times New Roman" w:eastAsia="Calibri" w:cs="Times New Roman"/>
                <w:color w:val="auto"/>
                <w:highlight w:val="none"/>
                <w:lang w:val="en-MY" w:eastAsia="en-US"/>
              </w:rPr>
              <w:t xml:space="preserve">. </w:t>
            </w:r>
            <w:r>
              <w:rPr>
                <w:rFonts w:hint="default" w:ascii="Times New Roman" w:hAnsi="Times New Roman" w:cs="Times New Roman"/>
                <w:color w:val="auto"/>
                <w:highlight w:val="none"/>
              </w:rPr>
              <w:t>Which region of Chongqing does your hospital belong to (38 districts and counties)?</w:t>
            </w:r>
          </w:p>
          <w:p w14:paraId="37FC7E54">
            <w:pPr>
              <w:pStyle w:val="10"/>
              <w:numPr>
                <w:ilvl w:val="0"/>
                <w:numId w:val="10"/>
              </w:numPr>
              <w:spacing w:line="240" w:lineRule="auto"/>
              <w:jc w:val="left"/>
              <w:rPr>
                <w:rFonts w:hint="default" w:ascii="Times New Roman" w:hAnsi="Times New Roman" w:cs="Times New Roman"/>
                <w:color w:val="auto"/>
                <w:highlight w:val="none"/>
              </w:rPr>
            </w:pPr>
            <w:r>
              <w:rPr>
                <w:rFonts w:hint="default" w:ascii="Times New Roman" w:hAnsi="Times New Roman" w:cs="Times New Roman"/>
                <w:color w:val="auto"/>
                <w:highlight w:val="none"/>
                <w:lang w:bidi="ar"/>
              </w:rPr>
              <w:t>9 districts in Chongqing's main city (Note: Yuzhong District, Jiangbei District, Nan'an District, Beibei District, Yubei District, Shapingba, Jiulongpo, Dadukou, Banan District)</w:t>
            </w:r>
          </w:p>
          <w:p w14:paraId="2C8CF4CE">
            <w:pPr>
              <w:pStyle w:val="10"/>
              <w:numPr>
                <w:ilvl w:val="0"/>
                <w:numId w:val="10"/>
              </w:numPr>
              <w:spacing w:line="240" w:lineRule="auto"/>
              <w:jc w:val="left"/>
              <w:rPr>
                <w:rFonts w:hint="default" w:ascii="Times New Roman" w:hAnsi="Times New Roman" w:cs="Times New Roman"/>
                <w:color w:val="auto"/>
                <w:highlight w:val="none"/>
              </w:rPr>
            </w:pPr>
            <w:r>
              <w:rPr>
                <w:rFonts w:hint="default" w:ascii="Times New Roman" w:hAnsi="Times New Roman" w:cs="Times New Roman"/>
                <w:color w:val="auto"/>
                <w:highlight w:val="none"/>
                <w:lang w:bidi="ar"/>
              </w:rPr>
              <w:t>12 districts in Chongqing's new urban area (Note: Bishan District, Jiangjin District, Changshou District, Nanchuan District, Fulingba, Yongchuan District, Hechuan District, Qijiang District-Wanshengfa Economic Development Zone,Rongchangba, Dazupo, Tongliang District, Tongnan District)</w:t>
            </w:r>
          </w:p>
          <w:p w14:paraId="26626ADB">
            <w:pPr>
              <w:pStyle w:val="10"/>
              <w:numPr>
                <w:ilvl w:val="0"/>
                <w:numId w:val="10"/>
              </w:numPr>
              <w:spacing w:line="240" w:lineRule="auto"/>
              <w:jc w:val="left"/>
              <w:rPr>
                <w:rFonts w:hint="default" w:ascii="Times New Roman" w:hAnsi="Times New Roman" w:cs="Times New Roman"/>
                <w:color w:val="auto"/>
                <w:highlight w:val="none"/>
                <w:lang w:val="en-MY" w:eastAsia="en-US"/>
              </w:rPr>
            </w:pPr>
            <w:r>
              <w:rPr>
                <w:rFonts w:hint="default" w:ascii="Times New Roman" w:hAnsi="Times New Roman" w:cs="Times New Roman"/>
                <w:color w:val="auto"/>
                <w:highlight w:val="none"/>
                <w:lang w:bidi="ar"/>
              </w:rPr>
              <w:t>The remaining 17 districts and counties in Chongqing (Note: Wanzhou District, Qianjiang District, Kaizhou District, Liangping District, Wulong District, Chengkou County, Fengdu County, Dianjiang County, Zhong County, Yunyang County, Fengjie County, Wushan County, Wuxi County, Shizhu Tujia Autonomous County, Xiushan Tujia and Miao Autonomous County, Youyang Tujia and Miao Autonomous County, Pengshui Miao and Tujia Autonomous County)</w:t>
            </w:r>
          </w:p>
        </w:tc>
      </w:tr>
    </w:tbl>
    <w:p w14:paraId="638D68D6">
      <w:pPr>
        <w:spacing w:line="480" w:lineRule="auto"/>
        <w:jc w:val="left"/>
        <w:rPr>
          <w:rFonts w:hint="default" w:ascii="Times New Roman" w:hAnsi="Times New Roman" w:cs="Times New Roman"/>
          <w:b/>
          <w:color w:val="auto"/>
          <w:highlight w:val="none"/>
        </w:rPr>
      </w:pPr>
      <w:r>
        <w:rPr>
          <w:rFonts w:hint="default" w:ascii="Times New Roman" w:hAnsi="Times New Roman" w:cs="Times New Roman"/>
          <w:b/>
          <w:color w:val="auto"/>
          <w:highlight w:val="none"/>
          <w:lang w:val="en-US" w:eastAsia="zh-CN"/>
        </w:rPr>
        <w:t>Appendix 1</w:t>
      </w:r>
      <w:r>
        <w:rPr>
          <w:rFonts w:hint="eastAsia" w:ascii="Times New Roman" w:hAnsi="Times New Roman" w:cs="Times New Roman"/>
          <w:b/>
          <w:color w:val="auto"/>
          <w:highlight w:val="none"/>
          <w:lang w:val="en-US" w:eastAsia="zh-CN"/>
        </w:rPr>
        <w:t>2</w:t>
      </w:r>
      <w:r>
        <w:rPr>
          <w:rFonts w:hint="default" w:ascii="Times New Roman" w:hAnsi="Times New Roman" w:cs="Times New Roman"/>
          <w:b/>
          <w:color w:val="auto"/>
          <w:highlight w:val="none"/>
          <w:lang w:val="en-US" w:eastAsia="zh-CN"/>
        </w:rPr>
        <w:t xml:space="preserve"> </w:t>
      </w:r>
      <w:r>
        <w:rPr>
          <w:rFonts w:hint="default" w:ascii="Times New Roman" w:hAnsi="Times New Roman" w:cs="Times New Roman"/>
          <w:b w:val="0"/>
          <w:bCs/>
          <w:color w:val="auto"/>
          <w:highlight w:val="none"/>
        </w:rPr>
        <w:t>CONSENT TO PARTICIPATE IN RESEARCH</w:t>
      </w:r>
    </w:p>
    <w:p w14:paraId="35A0CB65">
      <w:pPr>
        <w:spacing w:line="240" w:lineRule="auto"/>
        <w:jc w:val="both"/>
        <w:rPr>
          <w:rFonts w:hint="default" w:ascii="Times New Roman" w:hAnsi="Times New Roman" w:cs="Times New Roman"/>
          <w:b/>
          <w:color w:val="auto"/>
          <w:highlight w:val="none"/>
        </w:rPr>
      </w:pPr>
    </w:p>
    <w:p w14:paraId="5CA7D634">
      <w:pPr>
        <w:spacing w:line="24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I have read and understand the information provided about the above study. I agree to participate in this study.</w:t>
      </w:r>
    </w:p>
    <w:p w14:paraId="72D3AA81">
      <w:pPr>
        <w:spacing w:line="240" w:lineRule="auto"/>
        <w:rPr>
          <w:rFonts w:hint="default" w:ascii="Times New Roman" w:hAnsi="Times New Roman" w:cs="Times New Roman"/>
          <w:color w:val="auto"/>
          <w:highlight w:val="none"/>
        </w:rPr>
      </w:pPr>
    </w:p>
    <w:p w14:paraId="24E4EB71">
      <w:pPr>
        <w:spacing w:line="24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 xml:space="preserve">I understand that information obtained from this research may be used in future research and published. However, my right to privacy will be retained, i.e. my personal details will not be revealed.  </w:t>
      </w:r>
    </w:p>
    <w:p w14:paraId="4E7C67FD">
      <w:pPr>
        <w:spacing w:line="240" w:lineRule="auto"/>
        <w:rPr>
          <w:rFonts w:hint="default" w:ascii="Times New Roman" w:hAnsi="Times New Roman" w:cs="Times New Roman"/>
          <w:color w:val="auto"/>
          <w:highlight w:val="none"/>
        </w:rPr>
      </w:pPr>
    </w:p>
    <w:p w14:paraId="3F0AA5D1">
      <w:pPr>
        <w:spacing w:line="24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 xml:space="preserve">The procedure as set out in the attached information sheet has been fully explained. I understand the benefit and risks involved. My participation in the project is voluntary.  </w:t>
      </w:r>
    </w:p>
    <w:p w14:paraId="29BD17CE">
      <w:pPr>
        <w:spacing w:line="240" w:lineRule="auto"/>
        <w:rPr>
          <w:rFonts w:hint="default" w:ascii="Times New Roman" w:hAnsi="Times New Roman" w:cs="Times New Roman"/>
          <w:color w:val="auto"/>
          <w:highlight w:val="none"/>
        </w:rPr>
      </w:pPr>
    </w:p>
    <w:p w14:paraId="10D3C0A2">
      <w:pPr>
        <w:spacing w:line="24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I acknowledge that I have the right to question any part of the procedure and can refuse participation without penalty of any kind.</w:t>
      </w:r>
    </w:p>
    <w:p w14:paraId="514C9B1D">
      <w:pPr>
        <w:spacing w:line="240" w:lineRule="auto"/>
        <w:rPr>
          <w:rFonts w:hint="default" w:ascii="Times New Roman" w:hAnsi="Times New Roman" w:cs="Times New Roman"/>
          <w:color w:val="auto"/>
          <w:highlight w:val="none"/>
        </w:rPr>
      </w:pPr>
    </w:p>
    <w:p w14:paraId="6AF6AEA4">
      <w:pPr>
        <w:spacing w:line="240" w:lineRule="auto"/>
        <w:rPr>
          <w:rFonts w:hint="default" w:ascii="Times New Roman" w:hAnsi="Times New Roman" w:cs="Times New Roman"/>
          <w:color w:val="auto"/>
          <w:highlight w:val="none"/>
        </w:rPr>
      </w:pPr>
    </w:p>
    <w:p w14:paraId="18BE19B1">
      <w:pPr>
        <w:spacing w:line="24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 xml:space="preserve">                     </w:t>
      </w:r>
      <w:r>
        <w:rPr>
          <w:rFonts w:hint="default" w:ascii="Times New Roman" w:hAnsi="Times New Roman" w:cs="Times New Roman"/>
          <w:color w:val="auto"/>
          <w:highlight w:val="none"/>
        </w:rPr>
        <w:tab/>
      </w:r>
      <w:r>
        <w:rPr>
          <w:rFonts w:hint="default" w:ascii="Times New Roman" w:hAnsi="Times New Roman" w:cs="Times New Roman"/>
          <w:color w:val="auto"/>
          <w:highlight w:val="none"/>
        </w:rPr>
        <w:t xml:space="preserve">                     </w:t>
      </w:r>
      <w:r>
        <w:rPr>
          <w:rFonts w:hint="default" w:ascii="Times New Roman" w:hAnsi="Times New Roman" w:cs="Times New Roman"/>
          <w:color w:val="auto"/>
          <w:highlight w:val="none"/>
        </w:rPr>
        <w:tab/>
      </w:r>
      <w:r>
        <w:rPr>
          <w:rFonts w:hint="default" w:ascii="Times New Roman" w:hAnsi="Times New Roman" w:cs="Times New Roman"/>
          <w:color w:val="auto"/>
          <w:highlight w:val="none"/>
        </w:rPr>
        <w:t xml:space="preserve">                     </w:t>
      </w:r>
    </w:p>
    <w:p w14:paraId="6A6DE947">
      <w:pPr>
        <w:spacing w:line="24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 xml:space="preserve">Name of participant      </w:t>
      </w:r>
      <w:r>
        <w:rPr>
          <w:rFonts w:hint="default" w:ascii="Times New Roman" w:hAnsi="Times New Roman" w:cs="Times New Roman"/>
          <w:color w:val="auto"/>
          <w:highlight w:val="none"/>
        </w:rPr>
        <w:tab/>
      </w:r>
      <w:r>
        <w:rPr>
          <w:rFonts w:hint="default" w:ascii="Times New Roman" w:hAnsi="Times New Roman" w:cs="Times New Roman"/>
          <w:color w:val="auto"/>
          <w:highlight w:val="none"/>
        </w:rPr>
        <w:t xml:space="preserve">Signature of participant   </w:t>
      </w:r>
      <w:r>
        <w:rPr>
          <w:rFonts w:hint="default" w:ascii="Times New Roman" w:hAnsi="Times New Roman" w:cs="Times New Roman"/>
          <w:color w:val="auto"/>
          <w:highlight w:val="none"/>
        </w:rPr>
        <w:tab/>
      </w:r>
      <w:r>
        <w:rPr>
          <w:rFonts w:hint="default" w:ascii="Times New Roman" w:hAnsi="Times New Roman" w:cs="Times New Roman"/>
          <w:color w:val="auto"/>
          <w:highlight w:val="none"/>
        </w:rPr>
        <w:t>Date</w:t>
      </w:r>
    </w:p>
    <w:p w14:paraId="0BE920FB">
      <w:pPr>
        <w:spacing w:line="240" w:lineRule="auto"/>
        <w:rPr>
          <w:rFonts w:hint="default" w:ascii="Times New Roman" w:hAnsi="Times New Roman" w:cs="Times New Roman"/>
          <w:color w:val="auto"/>
          <w:highlight w:val="none"/>
        </w:rPr>
      </w:pPr>
    </w:p>
    <w:p w14:paraId="7379A03C">
      <w:pPr>
        <w:spacing w:line="240" w:lineRule="auto"/>
        <w:rPr>
          <w:rFonts w:hint="default" w:ascii="Times New Roman" w:hAnsi="Times New Roman" w:cs="Times New Roman"/>
          <w:color w:val="auto"/>
          <w:highlight w:val="none"/>
        </w:rPr>
      </w:pPr>
    </w:p>
    <w:p w14:paraId="28535B39">
      <w:pPr>
        <w:spacing w:line="24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 xml:space="preserve">                 </w:t>
      </w:r>
      <w:r>
        <w:rPr>
          <w:rFonts w:hint="default" w:ascii="Times New Roman" w:hAnsi="Times New Roman" w:cs="Times New Roman"/>
          <w:color w:val="auto"/>
          <w:highlight w:val="none"/>
        </w:rPr>
        <w:tab/>
      </w:r>
      <w:r>
        <w:rPr>
          <w:rFonts w:hint="default" w:ascii="Times New Roman" w:hAnsi="Times New Roman" w:cs="Times New Roman"/>
          <w:color w:val="auto"/>
          <w:highlight w:val="none"/>
        </w:rPr>
        <w:t xml:space="preserve">                     </w:t>
      </w:r>
      <w:r>
        <w:rPr>
          <w:rFonts w:hint="default" w:ascii="Times New Roman" w:hAnsi="Times New Roman" w:cs="Times New Roman"/>
          <w:color w:val="auto"/>
          <w:highlight w:val="none"/>
        </w:rPr>
        <w:tab/>
      </w:r>
      <w:r>
        <w:rPr>
          <w:rFonts w:hint="default" w:ascii="Times New Roman" w:hAnsi="Times New Roman" w:cs="Times New Roman"/>
          <w:color w:val="auto"/>
          <w:highlight w:val="none"/>
        </w:rPr>
        <w:t xml:space="preserve">                     </w:t>
      </w:r>
    </w:p>
    <w:p w14:paraId="2A846E73">
      <w:pPr>
        <w:spacing w:line="24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 xml:space="preserve">Name of investigator     </w:t>
      </w:r>
      <w:r>
        <w:rPr>
          <w:rFonts w:hint="default" w:ascii="Times New Roman" w:hAnsi="Times New Roman" w:cs="Times New Roman"/>
          <w:color w:val="auto"/>
          <w:highlight w:val="none"/>
        </w:rPr>
        <w:tab/>
      </w:r>
      <w:r>
        <w:rPr>
          <w:rFonts w:hint="default" w:ascii="Times New Roman" w:hAnsi="Times New Roman" w:cs="Times New Roman"/>
          <w:color w:val="auto"/>
          <w:highlight w:val="none"/>
        </w:rPr>
        <w:t xml:space="preserve">Signature of investigator  </w:t>
      </w:r>
      <w:r>
        <w:rPr>
          <w:rFonts w:hint="default" w:ascii="Times New Roman" w:hAnsi="Times New Roman" w:cs="Times New Roman"/>
          <w:color w:val="auto"/>
          <w:highlight w:val="none"/>
        </w:rPr>
        <w:tab/>
      </w:r>
      <w:r>
        <w:rPr>
          <w:rFonts w:hint="default" w:ascii="Times New Roman" w:hAnsi="Times New Roman" w:cs="Times New Roman"/>
          <w:color w:val="auto"/>
          <w:highlight w:val="none"/>
        </w:rPr>
        <w:t>Date</w:t>
      </w:r>
    </w:p>
    <w:p w14:paraId="5AB1774A">
      <w:pPr>
        <w:rPr>
          <w:rFonts w:hint="default" w:ascii="Times New Roman" w:hAnsi="Times New Roman" w:cs="Times New Roman"/>
          <w:color w:val="auto"/>
          <w:sz w:val="21"/>
          <w:szCs w:val="21"/>
          <w:highlight w:val="none"/>
          <w:lang w:val="en-US" w:eastAsia="zh-CN"/>
        </w:rPr>
      </w:pPr>
    </w:p>
    <w:p w14:paraId="250C6708">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default" w:ascii="Times New Roman" w:hAnsi="Times New Roman" w:cs="Times New Roman"/>
          <w:color w:val="auto"/>
          <w:kern w:val="0"/>
          <w:sz w:val="21"/>
          <w:szCs w:val="21"/>
          <w:highlight w:val="none"/>
        </w:rPr>
      </w:pPr>
      <w:r>
        <w:rPr>
          <w:rFonts w:hint="default" w:ascii="Times New Roman" w:hAnsi="Times New Roman" w:cs="Times New Roman"/>
          <w:b/>
          <w:bCs w:val="0"/>
          <w:color w:val="auto"/>
          <w:kern w:val="0"/>
          <w:sz w:val="21"/>
          <w:szCs w:val="21"/>
          <w:highlight w:val="none"/>
          <w:lang w:val="en-US" w:eastAsia="zh-CN"/>
        </w:rPr>
        <w:t>Reference</w:t>
      </w:r>
      <w:r>
        <w:rPr>
          <w:rFonts w:hint="default" w:ascii="Times New Roman" w:hAnsi="Times New Roman" w:cs="Times New Roman"/>
          <w:color w:val="auto"/>
          <w:kern w:val="0"/>
          <w:sz w:val="21"/>
          <w:szCs w:val="21"/>
          <w:highlight w:val="none"/>
          <w:lang w:val="en-US" w:eastAsia="zh-CN"/>
        </w:rPr>
        <w:t xml:space="preserve"> </w:t>
      </w:r>
    </w:p>
    <w:p w14:paraId="183A76A2">
      <w:pPr>
        <w:keepNext w:val="0"/>
        <w:keepLines w:val="0"/>
        <w:pageBreakBefore w:val="0"/>
        <w:widowControl w:val="0"/>
        <w:kinsoku/>
        <w:wordWrap/>
        <w:overflowPunct/>
        <w:topLinePunct w:val="0"/>
        <w:autoSpaceDE w:val="0"/>
        <w:autoSpaceDN w:val="0"/>
        <w:bidi w:val="0"/>
        <w:adjustRightInd w:val="0"/>
        <w:snapToGrid/>
        <w:spacing w:line="240" w:lineRule="auto"/>
        <w:ind w:left="360" w:hanging="420" w:hangingChars="200"/>
        <w:textAlignment w:val="auto"/>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Barber, B. M., &amp; Odean, T. (2001).Boys will be Boys: Gender, Overconfidence, and Common Stock Investment.</w:t>
      </w:r>
      <w:r>
        <w:rPr>
          <w:rFonts w:hint="default" w:ascii="Times New Roman" w:hAnsi="Times New Roman" w:cs="Times New Roman"/>
          <w:i/>
          <w:iCs/>
          <w:color w:val="auto"/>
          <w:kern w:val="0"/>
          <w:sz w:val="21"/>
          <w:szCs w:val="21"/>
          <w:highlight w:val="none"/>
        </w:rPr>
        <w:t>The Quarterly Journal of Economics,116</w:t>
      </w:r>
      <w:r>
        <w:rPr>
          <w:rFonts w:hint="default" w:ascii="Times New Roman" w:hAnsi="Times New Roman" w:cs="Times New Roman"/>
          <w:color w:val="auto"/>
          <w:kern w:val="0"/>
          <w:sz w:val="21"/>
          <w:szCs w:val="21"/>
          <w:highlight w:val="none"/>
        </w:rPr>
        <w:t>(1),261-292.</w:t>
      </w:r>
      <w:r>
        <w:rPr>
          <w:rFonts w:hint="default" w:ascii="Times New Roman" w:hAnsi="Times New Roman" w:cs="Times New Roman"/>
          <w:color w:val="auto"/>
          <w:kern w:val="0"/>
          <w:sz w:val="21"/>
          <w:szCs w:val="21"/>
          <w:highlight w:val="none"/>
          <w:lang w:val="en-US" w:eastAsia="zh-CN"/>
        </w:rPr>
        <w:t xml:space="preserve"> </w:t>
      </w:r>
      <w:r>
        <w:rPr>
          <w:rFonts w:hint="default" w:ascii="Times New Roman" w:hAnsi="Times New Roman" w:cs="Times New Roman"/>
          <w:color w:val="auto"/>
          <w:kern w:val="0"/>
          <w:sz w:val="21"/>
          <w:szCs w:val="21"/>
          <w:highlight w:val="none"/>
          <w:u w:val="none"/>
          <w:lang w:val="en-US" w:eastAsia="zh-CN"/>
        </w:rPr>
        <w:fldChar w:fldCharType="begin"/>
      </w:r>
      <w:r>
        <w:rPr>
          <w:rFonts w:hint="default" w:ascii="Times New Roman" w:hAnsi="Times New Roman" w:cs="Times New Roman"/>
          <w:color w:val="auto"/>
          <w:kern w:val="0"/>
          <w:sz w:val="21"/>
          <w:szCs w:val="21"/>
          <w:highlight w:val="none"/>
          <w:u w:val="none"/>
          <w:lang w:val="en-US" w:eastAsia="zh-CN"/>
        </w:rPr>
        <w:instrText xml:space="preserve"> HYPERLINK "https://doi.org/10.1162/003355301556400" </w:instrText>
      </w:r>
      <w:r>
        <w:rPr>
          <w:rFonts w:hint="default" w:ascii="Times New Roman" w:hAnsi="Times New Roman" w:cs="Times New Roman"/>
          <w:color w:val="auto"/>
          <w:kern w:val="0"/>
          <w:sz w:val="21"/>
          <w:szCs w:val="21"/>
          <w:highlight w:val="none"/>
          <w:u w:val="none"/>
          <w:lang w:val="en-US" w:eastAsia="zh-CN"/>
        </w:rPr>
        <w:fldChar w:fldCharType="separate"/>
      </w:r>
      <w:r>
        <w:rPr>
          <w:rStyle w:val="8"/>
          <w:rFonts w:hint="default" w:ascii="Times New Roman" w:hAnsi="Times New Roman" w:cs="Times New Roman"/>
          <w:color w:val="auto"/>
          <w:kern w:val="0"/>
          <w:sz w:val="21"/>
          <w:szCs w:val="21"/>
          <w:highlight w:val="none"/>
          <w:u w:val="none"/>
          <w:lang w:val="en-US" w:eastAsia="zh-CN"/>
        </w:rPr>
        <w:t>https://doi.org/10.1162/003355301556400</w:t>
      </w:r>
      <w:r>
        <w:rPr>
          <w:rFonts w:hint="default" w:ascii="Times New Roman" w:hAnsi="Times New Roman" w:cs="Times New Roman"/>
          <w:color w:val="auto"/>
          <w:kern w:val="0"/>
          <w:sz w:val="21"/>
          <w:szCs w:val="21"/>
          <w:highlight w:val="none"/>
          <w:u w:val="none"/>
          <w:lang w:val="en-US" w:eastAsia="zh-CN"/>
        </w:rPr>
        <w:fldChar w:fldCharType="end"/>
      </w:r>
    </w:p>
    <w:p w14:paraId="200C92C2">
      <w:pPr>
        <w:keepNext w:val="0"/>
        <w:keepLines w:val="0"/>
        <w:pageBreakBefore w:val="0"/>
        <w:widowControl w:val="0"/>
        <w:kinsoku/>
        <w:wordWrap/>
        <w:overflowPunct/>
        <w:topLinePunct w:val="0"/>
        <w:autoSpaceDE w:val="0"/>
        <w:autoSpaceDN w:val="0"/>
        <w:bidi w:val="0"/>
        <w:adjustRightInd w:val="0"/>
        <w:snapToGrid/>
        <w:spacing w:line="240" w:lineRule="auto"/>
        <w:ind w:left="360" w:hanging="420" w:hangingChars="200"/>
        <w:textAlignment w:val="auto"/>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Burkhard, B., Sirén, C., &amp; Shepherd, D. A. (2023).Nothing Ventured, Nothing Gained: A Meta-Analysis of CEO Overconfidence, Strategic Risk Taking, and Performance.</w:t>
      </w:r>
      <w:r>
        <w:rPr>
          <w:rFonts w:hint="default" w:ascii="Times New Roman" w:hAnsi="Times New Roman" w:cs="Times New Roman"/>
          <w:i/>
          <w:iCs/>
          <w:color w:val="auto"/>
          <w:kern w:val="0"/>
          <w:sz w:val="21"/>
          <w:szCs w:val="21"/>
          <w:highlight w:val="none"/>
        </w:rPr>
        <w:t>Journal of Management,49</w:t>
      </w:r>
      <w:r>
        <w:rPr>
          <w:rFonts w:hint="default" w:ascii="Times New Roman" w:hAnsi="Times New Roman" w:cs="Times New Roman"/>
          <w:color w:val="auto"/>
          <w:kern w:val="0"/>
          <w:sz w:val="21"/>
          <w:szCs w:val="21"/>
          <w:highlight w:val="none"/>
        </w:rPr>
        <w:t>(8).</w:t>
      </w:r>
      <w:r>
        <w:rPr>
          <w:rFonts w:hint="default" w:ascii="Times New Roman" w:hAnsi="Times New Roman" w:cs="Times New Roman"/>
          <w:color w:val="auto"/>
          <w:kern w:val="0"/>
          <w:sz w:val="21"/>
          <w:szCs w:val="21"/>
          <w:highlight w:val="none"/>
          <w:lang w:val="en-US" w:eastAsia="zh-CN"/>
        </w:rPr>
        <w:t xml:space="preserve"> </w:t>
      </w:r>
      <w:r>
        <w:rPr>
          <w:rFonts w:hint="default" w:ascii="Times New Roman" w:hAnsi="Times New Roman" w:cs="Times New Roman"/>
          <w:color w:val="auto"/>
          <w:kern w:val="0"/>
          <w:sz w:val="21"/>
          <w:szCs w:val="21"/>
          <w:highlight w:val="none"/>
          <w:u w:val="none"/>
          <w:lang w:val="en-US" w:eastAsia="zh-CN"/>
        </w:rPr>
        <w:fldChar w:fldCharType="begin"/>
      </w:r>
      <w:r>
        <w:rPr>
          <w:rFonts w:hint="default" w:ascii="Times New Roman" w:hAnsi="Times New Roman" w:cs="Times New Roman"/>
          <w:color w:val="auto"/>
          <w:kern w:val="0"/>
          <w:sz w:val="21"/>
          <w:szCs w:val="21"/>
          <w:highlight w:val="none"/>
          <w:u w:val="none"/>
          <w:lang w:val="en-US" w:eastAsia="zh-CN"/>
        </w:rPr>
        <w:instrText xml:space="preserve"> HYPERLINK "https://doi.org/10.1177/01492063221110203" </w:instrText>
      </w:r>
      <w:r>
        <w:rPr>
          <w:rFonts w:hint="default" w:ascii="Times New Roman" w:hAnsi="Times New Roman" w:cs="Times New Roman"/>
          <w:color w:val="auto"/>
          <w:kern w:val="0"/>
          <w:sz w:val="21"/>
          <w:szCs w:val="21"/>
          <w:highlight w:val="none"/>
          <w:u w:val="none"/>
          <w:lang w:val="en-US" w:eastAsia="zh-CN"/>
        </w:rPr>
        <w:fldChar w:fldCharType="separate"/>
      </w:r>
      <w:r>
        <w:rPr>
          <w:rStyle w:val="8"/>
          <w:rFonts w:hint="default" w:ascii="Times New Roman" w:hAnsi="Times New Roman" w:cs="Times New Roman"/>
          <w:color w:val="auto"/>
          <w:kern w:val="0"/>
          <w:sz w:val="21"/>
          <w:szCs w:val="21"/>
          <w:highlight w:val="none"/>
          <w:u w:val="none"/>
          <w:lang w:val="en-US" w:eastAsia="zh-CN"/>
        </w:rPr>
        <w:t>https://doi.org/10.1177/01492063221110203</w:t>
      </w:r>
      <w:r>
        <w:rPr>
          <w:rFonts w:hint="default" w:ascii="Times New Roman" w:hAnsi="Times New Roman" w:cs="Times New Roman"/>
          <w:color w:val="auto"/>
          <w:kern w:val="0"/>
          <w:sz w:val="21"/>
          <w:szCs w:val="21"/>
          <w:highlight w:val="none"/>
          <w:u w:val="none"/>
          <w:lang w:val="en-US" w:eastAsia="zh-CN"/>
        </w:rPr>
        <w:fldChar w:fldCharType="end"/>
      </w:r>
      <w:r>
        <w:rPr>
          <w:rFonts w:hint="default" w:ascii="Times New Roman" w:hAnsi="Times New Roman" w:cs="Times New Roman"/>
          <w:color w:val="auto"/>
          <w:kern w:val="0"/>
          <w:sz w:val="21"/>
          <w:szCs w:val="21"/>
          <w:highlight w:val="none"/>
          <w:lang w:val="en-US" w:eastAsia="zh-CN"/>
        </w:rPr>
        <w:t xml:space="preserve"> </w:t>
      </w:r>
    </w:p>
    <w:p w14:paraId="19BCFB5B">
      <w:pPr>
        <w:keepNext w:val="0"/>
        <w:keepLines w:val="0"/>
        <w:pageBreakBefore w:val="0"/>
        <w:widowControl w:val="0"/>
        <w:kinsoku/>
        <w:wordWrap/>
        <w:overflowPunct/>
        <w:topLinePunct w:val="0"/>
        <w:autoSpaceDE w:val="0"/>
        <w:autoSpaceDN w:val="0"/>
        <w:bidi w:val="0"/>
        <w:adjustRightInd w:val="0"/>
        <w:snapToGrid/>
        <w:spacing w:line="240" w:lineRule="auto"/>
        <w:ind w:left="360" w:hanging="420" w:hangingChars="200"/>
        <w:textAlignment w:val="auto"/>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 xml:space="preserve">Byrnes, J. P., Miller, D. C., &amp; Schafer, W. D. (1999). Gender differences in risk taking: A meta-analysis. </w:t>
      </w:r>
      <w:r>
        <w:rPr>
          <w:rFonts w:hint="default" w:ascii="Times New Roman" w:hAnsi="Times New Roman" w:cs="Times New Roman"/>
          <w:i/>
          <w:iCs/>
          <w:color w:val="auto"/>
          <w:kern w:val="0"/>
          <w:sz w:val="21"/>
          <w:szCs w:val="21"/>
          <w:highlight w:val="none"/>
        </w:rPr>
        <w:t>Psychological Bulletin, 125</w:t>
      </w:r>
      <w:r>
        <w:rPr>
          <w:rFonts w:hint="default" w:ascii="Times New Roman" w:hAnsi="Times New Roman" w:cs="Times New Roman"/>
          <w:color w:val="auto"/>
          <w:kern w:val="0"/>
          <w:sz w:val="21"/>
          <w:szCs w:val="21"/>
          <w:highlight w:val="none"/>
        </w:rPr>
        <w:t>(3), 367–383.</w:t>
      </w:r>
      <w:r>
        <w:rPr>
          <w:rFonts w:hint="default" w:ascii="Times New Roman" w:hAnsi="Times New Roman" w:cs="Times New Roman"/>
          <w:color w:val="auto"/>
          <w:kern w:val="0"/>
          <w:sz w:val="21"/>
          <w:szCs w:val="21"/>
          <w:highlight w:val="none"/>
          <w:lang w:val="en-US" w:eastAsia="zh-CN"/>
        </w:rPr>
        <w:t xml:space="preserve"> </w:t>
      </w:r>
      <w:r>
        <w:rPr>
          <w:rFonts w:hint="default" w:ascii="Times New Roman" w:hAnsi="Times New Roman" w:cs="Times New Roman"/>
          <w:color w:val="auto"/>
          <w:kern w:val="0"/>
          <w:sz w:val="21"/>
          <w:szCs w:val="21"/>
          <w:highlight w:val="none"/>
          <w:u w:val="none"/>
        </w:rPr>
        <w:fldChar w:fldCharType="begin"/>
      </w:r>
      <w:r>
        <w:rPr>
          <w:rFonts w:hint="default" w:ascii="Times New Roman" w:hAnsi="Times New Roman" w:cs="Times New Roman"/>
          <w:color w:val="auto"/>
          <w:kern w:val="0"/>
          <w:sz w:val="21"/>
          <w:szCs w:val="21"/>
          <w:highlight w:val="none"/>
          <w:u w:val="none"/>
        </w:rPr>
        <w:instrText xml:space="preserve"> HYPERLINK "https://doi.org/10.1037/0033-2909.125.3.367" </w:instrText>
      </w:r>
      <w:r>
        <w:rPr>
          <w:rFonts w:hint="default" w:ascii="Times New Roman" w:hAnsi="Times New Roman" w:cs="Times New Roman"/>
          <w:color w:val="auto"/>
          <w:kern w:val="0"/>
          <w:sz w:val="21"/>
          <w:szCs w:val="21"/>
          <w:highlight w:val="none"/>
          <w:u w:val="none"/>
        </w:rPr>
        <w:fldChar w:fldCharType="separate"/>
      </w:r>
      <w:r>
        <w:rPr>
          <w:rStyle w:val="8"/>
          <w:rFonts w:hint="default" w:ascii="Times New Roman" w:hAnsi="Times New Roman" w:cs="Times New Roman"/>
          <w:color w:val="auto"/>
          <w:kern w:val="0"/>
          <w:sz w:val="21"/>
          <w:szCs w:val="21"/>
          <w:highlight w:val="none"/>
          <w:u w:val="none"/>
        </w:rPr>
        <w:t>https://doi.org/10.1037/0033-2909.125.3.367</w:t>
      </w:r>
      <w:r>
        <w:rPr>
          <w:rFonts w:hint="default" w:ascii="Times New Roman" w:hAnsi="Times New Roman" w:cs="Times New Roman"/>
          <w:color w:val="auto"/>
          <w:kern w:val="0"/>
          <w:sz w:val="21"/>
          <w:szCs w:val="21"/>
          <w:highlight w:val="none"/>
          <w:u w:val="none"/>
        </w:rPr>
        <w:fldChar w:fldCharType="end"/>
      </w:r>
    </w:p>
    <w:p w14:paraId="6EBAD1FD">
      <w:pPr>
        <w:keepNext w:val="0"/>
        <w:keepLines w:val="0"/>
        <w:pageBreakBefore w:val="0"/>
        <w:widowControl w:val="0"/>
        <w:kinsoku/>
        <w:wordWrap/>
        <w:overflowPunct/>
        <w:topLinePunct w:val="0"/>
        <w:autoSpaceDE w:val="0"/>
        <w:autoSpaceDN w:val="0"/>
        <w:bidi w:val="0"/>
        <w:adjustRightInd w:val="0"/>
        <w:snapToGrid/>
        <w:spacing w:line="240" w:lineRule="auto"/>
        <w:ind w:left="360" w:hanging="420" w:hangingChars="200"/>
        <w:textAlignment w:val="auto"/>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Chikh, S., &amp; Filbien, J. Y. (2011).Acquisitions and CEO Power: Evidence from French Networks.</w:t>
      </w:r>
      <w:r>
        <w:rPr>
          <w:rFonts w:hint="default" w:ascii="Times New Roman" w:hAnsi="Times New Roman" w:cs="Times New Roman"/>
          <w:i/>
          <w:iCs/>
          <w:color w:val="auto"/>
          <w:kern w:val="0"/>
          <w:sz w:val="21"/>
          <w:szCs w:val="21"/>
          <w:highlight w:val="none"/>
        </w:rPr>
        <w:t>Journal of Corporate Finance,17</w:t>
      </w:r>
      <w:r>
        <w:rPr>
          <w:rFonts w:hint="default" w:ascii="Times New Roman" w:hAnsi="Times New Roman" w:cs="Times New Roman"/>
          <w:color w:val="auto"/>
          <w:kern w:val="0"/>
          <w:sz w:val="21"/>
          <w:szCs w:val="21"/>
          <w:highlight w:val="none"/>
        </w:rPr>
        <w:t>(5),1221-1236.</w:t>
      </w:r>
      <w:r>
        <w:rPr>
          <w:rFonts w:hint="default" w:ascii="Times New Roman" w:hAnsi="Times New Roman" w:cs="Times New Roman"/>
          <w:color w:val="auto"/>
          <w:kern w:val="0"/>
          <w:sz w:val="21"/>
          <w:szCs w:val="21"/>
          <w:highlight w:val="none"/>
          <w:u w:val="none"/>
          <w:lang w:val="en-US" w:eastAsia="zh-CN"/>
        </w:rPr>
        <w:t xml:space="preserve"> </w:t>
      </w:r>
      <w:r>
        <w:rPr>
          <w:rFonts w:hint="default" w:ascii="Times New Roman" w:hAnsi="Times New Roman" w:cs="Times New Roman"/>
          <w:color w:val="auto"/>
          <w:kern w:val="0"/>
          <w:sz w:val="21"/>
          <w:szCs w:val="21"/>
          <w:highlight w:val="none"/>
          <w:u w:val="none"/>
          <w:lang w:val="en-US" w:eastAsia="zh-CN"/>
        </w:rPr>
        <w:fldChar w:fldCharType="begin"/>
      </w:r>
      <w:r>
        <w:rPr>
          <w:rFonts w:hint="default" w:ascii="Times New Roman" w:hAnsi="Times New Roman" w:cs="Times New Roman"/>
          <w:color w:val="auto"/>
          <w:kern w:val="0"/>
          <w:sz w:val="21"/>
          <w:szCs w:val="21"/>
          <w:highlight w:val="none"/>
          <w:u w:val="none"/>
          <w:lang w:val="en-US" w:eastAsia="zh-CN"/>
        </w:rPr>
        <w:instrText xml:space="preserve"> HYPERLINK "https://doi.org/10.1016/j.jcorpfin.2011.06.007" </w:instrText>
      </w:r>
      <w:r>
        <w:rPr>
          <w:rFonts w:hint="default" w:ascii="Times New Roman" w:hAnsi="Times New Roman" w:cs="Times New Roman"/>
          <w:color w:val="auto"/>
          <w:kern w:val="0"/>
          <w:sz w:val="21"/>
          <w:szCs w:val="21"/>
          <w:highlight w:val="none"/>
          <w:u w:val="none"/>
          <w:lang w:val="en-US" w:eastAsia="zh-CN"/>
        </w:rPr>
        <w:fldChar w:fldCharType="separate"/>
      </w:r>
      <w:r>
        <w:rPr>
          <w:rStyle w:val="8"/>
          <w:rFonts w:hint="default" w:ascii="Times New Roman" w:hAnsi="Times New Roman" w:cs="Times New Roman"/>
          <w:color w:val="auto"/>
          <w:kern w:val="0"/>
          <w:sz w:val="21"/>
          <w:szCs w:val="21"/>
          <w:highlight w:val="none"/>
          <w:u w:val="none"/>
          <w:lang w:val="en-US" w:eastAsia="zh-CN"/>
        </w:rPr>
        <w:t>https://doi.org/10.1016/j.jcorpfin.2011.06.007</w:t>
      </w:r>
      <w:r>
        <w:rPr>
          <w:rFonts w:hint="default" w:ascii="Times New Roman" w:hAnsi="Times New Roman" w:cs="Times New Roman"/>
          <w:color w:val="auto"/>
          <w:kern w:val="0"/>
          <w:sz w:val="21"/>
          <w:szCs w:val="21"/>
          <w:highlight w:val="none"/>
          <w:u w:val="none"/>
          <w:lang w:val="en-US" w:eastAsia="zh-CN"/>
        </w:rPr>
        <w:fldChar w:fldCharType="end"/>
      </w:r>
      <w:r>
        <w:rPr>
          <w:rFonts w:hint="default" w:ascii="Times New Roman" w:hAnsi="Times New Roman" w:cs="Times New Roman"/>
          <w:color w:val="auto"/>
          <w:kern w:val="0"/>
          <w:sz w:val="21"/>
          <w:szCs w:val="21"/>
          <w:highlight w:val="none"/>
          <w:lang w:val="en-US" w:eastAsia="zh-CN"/>
        </w:rPr>
        <w:t xml:space="preserve"> </w:t>
      </w:r>
    </w:p>
    <w:p w14:paraId="5849ABFA">
      <w:pPr>
        <w:keepNext w:val="0"/>
        <w:keepLines w:val="0"/>
        <w:pageBreakBefore w:val="0"/>
        <w:widowControl w:val="0"/>
        <w:kinsoku/>
        <w:wordWrap/>
        <w:overflowPunct/>
        <w:topLinePunct w:val="0"/>
        <w:autoSpaceDE w:val="0"/>
        <w:autoSpaceDN w:val="0"/>
        <w:bidi w:val="0"/>
        <w:adjustRightInd w:val="0"/>
        <w:snapToGrid/>
        <w:spacing w:line="240" w:lineRule="auto"/>
        <w:ind w:left="360" w:hanging="420" w:hangingChars="200"/>
        <w:textAlignment w:val="auto"/>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Duellman, S., Hurwitz, H., &amp; Sun, Y. (2015).Managerial overconfidence and audit fees.</w:t>
      </w:r>
      <w:r>
        <w:rPr>
          <w:rFonts w:hint="default" w:ascii="Times New Roman" w:hAnsi="Times New Roman" w:cs="Times New Roman"/>
          <w:i/>
          <w:iCs/>
          <w:color w:val="auto"/>
          <w:kern w:val="0"/>
          <w:sz w:val="21"/>
          <w:szCs w:val="21"/>
          <w:highlight w:val="none"/>
        </w:rPr>
        <w:t>Journal of Contemporary Accounting &amp; Economics,11</w:t>
      </w:r>
      <w:r>
        <w:rPr>
          <w:rFonts w:hint="default" w:ascii="Times New Roman" w:hAnsi="Times New Roman" w:cs="Times New Roman"/>
          <w:color w:val="auto"/>
          <w:kern w:val="0"/>
          <w:sz w:val="21"/>
          <w:szCs w:val="21"/>
          <w:highlight w:val="none"/>
        </w:rPr>
        <w:t>(2),148-165.</w:t>
      </w:r>
      <w:r>
        <w:rPr>
          <w:rFonts w:hint="default" w:ascii="Times New Roman" w:hAnsi="Times New Roman" w:cs="Times New Roman"/>
          <w:color w:val="auto"/>
          <w:kern w:val="0"/>
          <w:sz w:val="21"/>
          <w:szCs w:val="21"/>
          <w:highlight w:val="none"/>
          <w:lang w:val="en-US" w:eastAsia="zh-CN"/>
        </w:rPr>
        <w:t xml:space="preserve"> </w:t>
      </w:r>
      <w:r>
        <w:rPr>
          <w:rFonts w:hint="default" w:ascii="Times New Roman" w:hAnsi="Times New Roman" w:cs="Times New Roman"/>
          <w:color w:val="auto"/>
          <w:kern w:val="0"/>
          <w:sz w:val="21"/>
          <w:szCs w:val="21"/>
          <w:highlight w:val="none"/>
          <w:u w:val="none"/>
        </w:rPr>
        <w:fldChar w:fldCharType="begin"/>
      </w:r>
      <w:r>
        <w:rPr>
          <w:rFonts w:hint="default" w:ascii="Times New Roman" w:hAnsi="Times New Roman" w:cs="Times New Roman"/>
          <w:color w:val="auto"/>
          <w:kern w:val="0"/>
          <w:sz w:val="21"/>
          <w:szCs w:val="21"/>
          <w:highlight w:val="none"/>
          <w:u w:val="none"/>
        </w:rPr>
        <w:instrText xml:space="preserve"> HYPERLINK "https://doi.org/10.1016/j.jcae.2015.05.001" </w:instrText>
      </w:r>
      <w:r>
        <w:rPr>
          <w:rFonts w:hint="default" w:ascii="Times New Roman" w:hAnsi="Times New Roman" w:cs="Times New Roman"/>
          <w:color w:val="auto"/>
          <w:kern w:val="0"/>
          <w:sz w:val="21"/>
          <w:szCs w:val="21"/>
          <w:highlight w:val="none"/>
          <w:u w:val="none"/>
        </w:rPr>
        <w:fldChar w:fldCharType="separate"/>
      </w:r>
      <w:r>
        <w:rPr>
          <w:rStyle w:val="8"/>
          <w:rFonts w:hint="default" w:ascii="Times New Roman" w:hAnsi="Times New Roman" w:cs="Times New Roman"/>
          <w:color w:val="auto"/>
          <w:kern w:val="0"/>
          <w:sz w:val="21"/>
          <w:szCs w:val="21"/>
          <w:highlight w:val="none"/>
          <w:u w:val="none"/>
        </w:rPr>
        <w:t>https://doi.org/10.1016/j.jcae.2015.05.001</w:t>
      </w:r>
      <w:r>
        <w:rPr>
          <w:rFonts w:hint="default" w:ascii="Times New Roman" w:hAnsi="Times New Roman" w:cs="Times New Roman"/>
          <w:color w:val="auto"/>
          <w:kern w:val="0"/>
          <w:sz w:val="21"/>
          <w:szCs w:val="21"/>
          <w:highlight w:val="none"/>
          <w:u w:val="none"/>
        </w:rPr>
        <w:fldChar w:fldCharType="end"/>
      </w:r>
      <w:r>
        <w:rPr>
          <w:rFonts w:hint="default" w:ascii="Times New Roman" w:hAnsi="Times New Roman" w:cs="Times New Roman"/>
          <w:color w:val="auto"/>
          <w:kern w:val="0"/>
          <w:sz w:val="21"/>
          <w:szCs w:val="21"/>
          <w:highlight w:val="none"/>
          <w:lang w:val="en-US" w:eastAsia="zh-CN"/>
        </w:rPr>
        <w:t xml:space="preserve"> </w:t>
      </w:r>
    </w:p>
    <w:p w14:paraId="0B570C61">
      <w:pPr>
        <w:keepNext w:val="0"/>
        <w:keepLines w:val="0"/>
        <w:pageBreakBefore w:val="0"/>
        <w:widowControl w:val="0"/>
        <w:kinsoku/>
        <w:wordWrap/>
        <w:overflowPunct/>
        <w:topLinePunct w:val="0"/>
        <w:autoSpaceDE w:val="0"/>
        <w:autoSpaceDN w:val="0"/>
        <w:bidi w:val="0"/>
        <w:adjustRightInd w:val="0"/>
        <w:snapToGrid/>
        <w:spacing w:line="240" w:lineRule="auto"/>
        <w:ind w:left="360" w:hanging="420" w:hangingChars="200"/>
        <w:textAlignment w:val="auto"/>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 xml:space="preserve">Farrell, D. (1983). Exit, voice, loyalty, and neglect as responses to job dissatisfaction: A multidimensional scaling study. </w:t>
      </w:r>
      <w:r>
        <w:rPr>
          <w:rFonts w:hint="default" w:ascii="Times New Roman" w:hAnsi="Times New Roman" w:cs="Times New Roman"/>
          <w:i/>
          <w:iCs/>
          <w:color w:val="auto"/>
          <w:kern w:val="0"/>
          <w:sz w:val="21"/>
          <w:szCs w:val="21"/>
          <w:highlight w:val="none"/>
        </w:rPr>
        <w:t>The Academy of Management Journal, 26</w:t>
      </w:r>
      <w:r>
        <w:rPr>
          <w:rFonts w:hint="default" w:ascii="Times New Roman" w:hAnsi="Times New Roman" w:cs="Times New Roman"/>
          <w:color w:val="auto"/>
          <w:kern w:val="0"/>
          <w:sz w:val="21"/>
          <w:szCs w:val="21"/>
          <w:highlight w:val="none"/>
        </w:rPr>
        <w:t>(4), 596-607.</w:t>
      </w:r>
      <w:r>
        <w:rPr>
          <w:rFonts w:hint="default" w:ascii="Times New Roman" w:hAnsi="Times New Roman" w:cs="Times New Roman"/>
          <w:color w:val="auto"/>
          <w:kern w:val="0"/>
          <w:sz w:val="21"/>
          <w:szCs w:val="21"/>
          <w:highlight w:val="none"/>
          <w:lang w:val="en-US" w:eastAsia="zh-CN"/>
        </w:rPr>
        <w:t xml:space="preserve"> </w:t>
      </w:r>
      <w:r>
        <w:rPr>
          <w:rFonts w:hint="default" w:ascii="Times New Roman" w:hAnsi="Times New Roman" w:cs="Times New Roman"/>
          <w:color w:val="auto"/>
          <w:kern w:val="0"/>
          <w:sz w:val="21"/>
          <w:szCs w:val="21"/>
          <w:highlight w:val="none"/>
          <w:u w:val="none"/>
        </w:rPr>
        <w:fldChar w:fldCharType="begin"/>
      </w:r>
      <w:r>
        <w:rPr>
          <w:rFonts w:hint="default" w:ascii="Times New Roman" w:hAnsi="Times New Roman" w:cs="Times New Roman"/>
          <w:color w:val="auto"/>
          <w:kern w:val="0"/>
          <w:sz w:val="21"/>
          <w:szCs w:val="21"/>
          <w:highlight w:val="none"/>
          <w:u w:val="none"/>
        </w:rPr>
        <w:instrText xml:space="preserve"> HYPERLINK "https://doi.org/10.5465/255909" </w:instrText>
      </w:r>
      <w:r>
        <w:rPr>
          <w:rFonts w:hint="default" w:ascii="Times New Roman" w:hAnsi="Times New Roman" w:cs="Times New Roman"/>
          <w:color w:val="auto"/>
          <w:kern w:val="0"/>
          <w:sz w:val="21"/>
          <w:szCs w:val="21"/>
          <w:highlight w:val="none"/>
          <w:u w:val="none"/>
        </w:rPr>
        <w:fldChar w:fldCharType="separate"/>
      </w:r>
      <w:r>
        <w:rPr>
          <w:rStyle w:val="8"/>
          <w:rFonts w:hint="default" w:ascii="Times New Roman" w:hAnsi="Times New Roman" w:cs="Times New Roman"/>
          <w:color w:val="auto"/>
          <w:kern w:val="0"/>
          <w:sz w:val="21"/>
          <w:szCs w:val="21"/>
          <w:highlight w:val="none"/>
          <w:u w:val="none"/>
        </w:rPr>
        <w:t>https://doi.org/10.5465/255909</w:t>
      </w:r>
      <w:r>
        <w:rPr>
          <w:rFonts w:hint="default" w:ascii="Times New Roman" w:hAnsi="Times New Roman" w:cs="Times New Roman"/>
          <w:color w:val="auto"/>
          <w:kern w:val="0"/>
          <w:sz w:val="21"/>
          <w:szCs w:val="21"/>
          <w:highlight w:val="none"/>
          <w:u w:val="none"/>
        </w:rPr>
        <w:fldChar w:fldCharType="end"/>
      </w:r>
      <w:r>
        <w:rPr>
          <w:rFonts w:hint="default" w:ascii="Times New Roman" w:hAnsi="Times New Roman" w:cs="Times New Roman"/>
          <w:color w:val="auto"/>
          <w:kern w:val="0"/>
          <w:sz w:val="21"/>
          <w:szCs w:val="21"/>
          <w:highlight w:val="none"/>
          <w:lang w:val="en-US" w:eastAsia="zh-CN"/>
        </w:rPr>
        <w:t xml:space="preserve">  </w:t>
      </w:r>
    </w:p>
    <w:p w14:paraId="4577D83C">
      <w:pPr>
        <w:keepNext w:val="0"/>
        <w:keepLines w:val="0"/>
        <w:pageBreakBefore w:val="0"/>
        <w:widowControl w:val="0"/>
        <w:kinsoku/>
        <w:wordWrap/>
        <w:overflowPunct/>
        <w:topLinePunct w:val="0"/>
        <w:autoSpaceDE w:val="0"/>
        <w:autoSpaceDN w:val="0"/>
        <w:bidi w:val="0"/>
        <w:adjustRightInd w:val="0"/>
        <w:snapToGrid/>
        <w:spacing w:line="240" w:lineRule="auto"/>
        <w:ind w:left="420" w:hanging="420" w:hangingChars="200"/>
        <w:jc w:val="both"/>
        <w:textAlignment w:val="auto"/>
        <w:rPr>
          <w:rFonts w:hint="default" w:ascii="Times New Roman" w:hAnsi="Times New Roman" w:cs="Times New Roman"/>
          <w:bCs/>
          <w:color w:val="auto"/>
          <w:kern w:val="0"/>
          <w:sz w:val="21"/>
          <w:szCs w:val="21"/>
          <w:highlight w:val="none"/>
          <w:lang w:val="en-US" w:eastAsia="zh-CN"/>
        </w:rPr>
      </w:pPr>
      <w:r>
        <w:rPr>
          <w:rFonts w:hint="default" w:ascii="Times New Roman" w:hAnsi="Times New Roman" w:cs="Times New Roman"/>
          <w:color w:val="auto"/>
          <w:kern w:val="0"/>
          <w:sz w:val="21"/>
          <w:szCs w:val="21"/>
          <w:highlight w:val="none"/>
        </w:rPr>
        <w:t xml:space="preserve">Ferrara, L. E.,Chong, A., &amp; Duryea, S. (2012).Soap Operas and Fertility:Evidence from Brazil. </w:t>
      </w:r>
      <w:r>
        <w:rPr>
          <w:rFonts w:hint="default" w:ascii="Times New Roman" w:hAnsi="Times New Roman" w:cs="Times New Roman"/>
          <w:i/>
          <w:iCs/>
          <w:color w:val="auto"/>
          <w:kern w:val="0"/>
          <w:sz w:val="21"/>
          <w:szCs w:val="21"/>
          <w:highlight w:val="none"/>
        </w:rPr>
        <w:t>American Economic Journa:Applied Economics,4</w:t>
      </w:r>
      <w:r>
        <w:rPr>
          <w:rFonts w:hint="default" w:ascii="Times New Roman" w:hAnsi="Times New Roman" w:cs="Times New Roman"/>
          <w:color w:val="auto"/>
          <w:kern w:val="0"/>
          <w:sz w:val="21"/>
          <w:szCs w:val="21"/>
          <w:highlight w:val="none"/>
        </w:rPr>
        <w:t>(4),1-31.</w:t>
      </w:r>
      <w:r>
        <w:rPr>
          <w:rFonts w:hint="default" w:ascii="Times New Roman" w:hAnsi="Times New Roman" w:cs="Times New Roman"/>
          <w:color w:val="auto"/>
          <w:kern w:val="0"/>
          <w:sz w:val="21"/>
          <w:szCs w:val="21"/>
          <w:highlight w:val="none"/>
          <w:lang w:val="en-US" w:eastAsia="zh-CN"/>
        </w:rPr>
        <w:t xml:space="preserve"> </w:t>
      </w:r>
      <w:r>
        <w:rPr>
          <w:rFonts w:hint="default" w:ascii="Times New Roman" w:hAnsi="Times New Roman" w:cs="Times New Roman"/>
          <w:color w:val="auto"/>
          <w:kern w:val="0"/>
          <w:sz w:val="21"/>
          <w:szCs w:val="21"/>
          <w:highlight w:val="none"/>
          <w:u w:val="none"/>
        </w:rPr>
        <w:fldChar w:fldCharType="begin"/>
      </w:r>
      <w:r>
        <w:rPr>
          <w:rFonts w:hint="default" w:ascii="Times New Roman" w:hAnsi="Times New Roman" w:cs="Times New Roman"/>
          <w:color w:val="auto"/>
          <w:kern w:val="0"/>
          <w:sz w:val="21"/>
          <w:szCs w:val="21"/>
          <w:highlight w:val="none"/>
          <w:u w:val="none"/>
        </w:rPr>
        <w:instrText xml:space="preserve"> HYPERLINK "https://doi.org/10.1257/app.4.4.1" </w:instrText>
      </w:r>
      <w:r>
        <w:rPr>
          <w:rFonts w:hint="default" w:ascii="Times New Roman" w:hAnsi="Times New Roman" w:cs="Times New Roman"/>
          <w:color w:val="auto"/>
          <w:kern w:val="0"/>
          <w:sz w:val="21"/>
          <w:szCs w:val="21"/>
          <w:highlight w:val="none"/>
          <w:u w:val="none"/>
        </w:rPr>
        <w:fldChar w:fldCharType="separate"/>
      </w:r>
      <w:r>
        <w:rPr>
          <w:rStyle w:val="8"/>
          <w:rFonts w:hint="default" w:ascii="Times New Roman" w:hAnsi="Times New Roman" w:cs="Times New Roman"/>
          <w:color w:val="auto"/>
          <w:kern w:val="0"/>
          <w:sz w:val="21"/>
          <w:szCs w:val="21"/>
          <w:highlight w:val="none"/>
          <w:u w:val="none"/>
        </w:rPr>
        <w:t>https://doi.org/10.1257/app.4.4.1</w:t>
      </w:r>
      <w:r>
        <w:rPr>
          <w:rFonts w:hint="default" w:ascii="Times New Roman" w:hAnsi="Times New Roman" w:cs="Times New Roman"/>
          <w:color w:val="auto"/>
          <w:kern w:val="0"/>
          <w:sz w:val="21"/>
          <w:szCs w:val="21"/>
          <w:highlight w:val="none"/>
          <w:u w:val="none"/>
        </w:rPr>
        <w:fldChar w:fldCharType="end"/>
      </w:r>
      <w:r>
        <w:rPr>
          <w:rFonts w:hint="default" w:ascii="Times New Roman" w:hAnsi="Times New Roman" w:cs="Times New Roman"/>
          <w:color w:val="auto"/>
          <w:kern w:val="0"/>
          <w:sz w:val="21"/>
          <w:szCs w:val="21"/>
          <w:highlight w:val="none"/>
          <w:lang w:val="en-US" w:eastAsia="zh-CN"/>
        </w:rPr>
        <w:t xml:space="preserve"> </w:t>
      </w:r>
    </w:p>
    <w:p w14:paraId="5AF01611">
      <w:pPr>
        <w:keepNext w:val="0"/>
        <w:keepLines w:val="0"/>
        <w:pageBreakBefore w:val="0"/>
        <w:widowControl w:val="0"/>
        <w:kinsoku/>
        <w:wordWrap/>
        <w:overflowPunct/>
        <w:topLinePunct w:val="0"/>
        <w:autoSpaceDE w:val="0"/>
        <w:autoSpaceDN w:val="0"/>
        <w:bidi w:val="0"/>
        <w:adjustRightInd w:val="0"/>
        <w:snapToGrid/>
        <w:spacing w:line="240" w:lineRule="auto"/>
        <w:ind w:left="360" w:hanging="420" w:hangingChars="200"/>
        <w:textAlignment w:val="auto"/>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Forbes, D. P. (2005).Are Some Entrepreneurs More Overconfident Than Others?</w:t>
      </w:r>
      <w:r>
        <w:rPr>
          <w:rFonts w:hint="default" w:ascii="Times New Roman" w:hAnsi="Times New Roman" w:cs="Times New Roman"/>
          <w:i/>
          <w:iCs/>
          <w:color w:val="auto"/>
          <w:kern w:val="0"/>
          <w:sz w:val="21"/>
          <w:szCs w:val="21"/>
          <w:highlight w:val="none"/>
        </w:rPr>
        <w:t>Journal of Business Venturing,20</w:t>
      </w:r>
      <w:r>
        <w:rPr>
          <w:rFonts w:hint="default" w:ascii="Times New Roman" w:hAnsi="Times New Roman" w:cs="Times New Roman"/>
          <w:color w:val="auto"/>
          <w:kern w:val="0"/>
          <w:sz w:val="21"/>
          <w:szCs w:val="21"/>
          <w:highlight w:val="none"/>
        </w:rPr>
        <w:t>(5),623-640.</w:t>
      </w:r>
      <w:r>
        <w:rPr>
          <w:rFonts w:hint="default" w:ascii="Times New Roman" w:hAnsi="Times New Roman" w:cs="Times New Roman"/>
          <w:color w:val="auto"/>
          <w:kern w:val="0"/>
          <w:sz w:val="21"/>
          <w:szCs w:val="21"/>
          <w:highlight w:val="none"/>
          <w:u w:val="none"/>
          <w:lang w:val="en-US" w:eastAsia="zh-CN"/>
        </w:rPr>
        <w:t xml:space="preserve"> </w:t>
      </w:r>
      <w:r>
        <w:rPr>
          <w:rFonts w:hint="default" w:ascii="Times New Roman" w:hAnsi="Times New Roman" w:cs="Times New Roman"/>
          <w:color w:val="auto"/>
          <w:kern w:val="0"/>
          <w:sz w:val="21"/>
          <w:szCs w:val="21"/>
          <w:highlight w:val="none"/>
          <w:u w:val="none"/>
        </w:rPr>
        <w:fldChar w:fldCharType="begin"/>
      </w:r>
      <w:r>
        <w:rPr>
          <w:rFonts w:hint="default" w:ascii="Times New Roman" w:hAnsi="Times New Roman" w:cs="Times New Roman"/>
          <w:color w:val="auto"/>
          <w:kern w:val="0"/>
          <w:sz w:val="21"/>
          <w:szCs w:val="21"/>
          <w:highlight w:val="none"/>
          <w:u w:val="none"/>
        </w:rPr>
        <w:instrText xml:space="preserve"> HYPERLINK "https://doi.org/10.1016/j.jbusvent.2004.05.001" </w:instrText>
      </w:r>
      <w:r>
        <w:rPr>
          <w:rFonts w:hint="default" w:ascii="Times New Roman" w:hAnsi="Times New Roman" w:cs="Times New Roman"/>
          <w:color w:val="auto"/>
          <w:kern w:val="0"/>
          <w:sz w:val="21"/>
          <w:szCs w:val="21"/>
          <w:highlight w:val="none"/>
          <w:u w:val="none"/>
        </w:rPr>
        <w:fldChar w:fldCharType="separate"/>
      </w:r>
      <w:r>
        <w:rPr>
          <w:rStyle w:val="8"/>
          <w:rFonts w:hint="default" w:ascii="Times New Roman" w:hAnsi="Times New Roman" w:cs="Times New Roman"/>
          <w:color w:val="auto"/>
          <w:kern w:val="0"/>
          <w:sz w:val="21"/>
          <w:szCs w:val="21"/>
          <w:highlight w:val="none"/>
          <w:u w:val="none"/>
        </w:rPr>
        <w:t>https://doi.org/10.1016/j.jbusvent.2004.05.001</w:t>
      </w:r>
      <w:r>
        <w:rPr>
          <w:rFonts w:hint="default" w:ascii="Times New Roman" w:hAnsi="Times New Roman" w:cs="Times New Roman"/>
          <w:color w:val="auto"/>
          <w:kern w:val="0"/>
          <w:sz w:val="21"/>
          <w:szCs w:val="21"/>
          <w:highlight w:val="none"/>
          <w:u w:val="none"/>
        </w:rPr>
        <w:fldChar w:fldCharType="end"/>
      </w:r>
      <w:r>
        <w:rPr>
          <w:rFonts w:hint="default" w:ascii="Times New Roman" w:hAnsi="Times New Roman" w:cs="Times New Roman"/>
          <w:color w:val="auto"/>
          <w:kern w:val="0"/>
          <w:sz w:val="21"/>
          <w:szCs w:val="21"/>
          <w:highlight w:val="none"/>
          <w:lang w:val="en-US" w:eastAsia="zh-CN"/>
        </w:rPr>
        <w:t xml:space="preserve"> </w:t>
      </w:r>
    </w:p>
    <w:p w14:paraId="184B6C5A">
      <w:pPr>
        <w:keepNext w:val="0"/>
        <w:keepLines w:val="0"/>
        <w:pageBreakBefore w:val="0"/>
        <w:widowControl w:val="0"/>
        <w:kinsoku/>
        <w:wordWrap/>
        <w:overflowPunct/>
        <w:topLinePunct w:val="0"/>
        <w:autoSpaceDE w:val="0"/>
        <w:autoSpaceDN w:val="0"/>
        <w:bidi w:val="0"/>
        <w:adjustRightInd w:val="0"/>
        <w:snapToGrid/>
        <w:spacing w:line="240" w:lineRule="auto"/>
        <w:ind w:left="360" w:hanging="420" w:hangingChars="200"/>
        <w:textAlignment w:val="auto"/>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Han, H., Liu, C., &amp; Li, J. (2024).Managerial overconfidence and stock price crash risk.</w:t>
      </w:r>
      <w:r>
        <w:rPr>
          <w:rFonts w:hint="default" w:ascii="Times New Roman" w:hAnsi="Times New Roman" w:cs="Times New Roman"/>
          <w:i/>
          <w:iCs/>
          <w:color w:val="auto"/>
          <w:kern w:val="0"/>
          <w:sz w:val="21"/>
          <w:szCs w:val="21"/>
          <w:highlight w:val="none"/>
        </w:rPr>
        <w:t>Finance Research Letters,65</w:t>
      </w:r>
      <w:r>
        <w:rPr>
          <w:rFonts w:hint="default" w:ascii="Times New Roman" w:hAnsi="Times New Roman" w:cs="Times New Roman"/>
          <w:color w:val="auto"/>
          <w:kern w:val="0"/>
          <w:sz w:val="21"/>
          <w:szCs w:val="21"/>
          <w:highlight w:val="none"/>
        </w:rPr>
        <w:t>.</w:t>
      </w:r>
      <w:r>
        <w:rPr>
          <w:rFonts w:hint="default" w:ascii="Times New Roman" w:hAnsi="Times New Roman" w:cs="Times New Roman"/>
          <w:color w:val="auto"/>
          <w:kern w:val="0"/>
          <w:sz w:val="21"/>
          <w:szCs w:val="21"/>
          <w:highlight w:val="none"/>
          <w:lang w:val="en-US" w:eastAsia="zh-CN"/>
        </w:rPr>
        <w:t xml:space="preserve"> </w:t>
      </w:r>
      <w:r>
        <w:rPr>
          <w:rFonts w:hint="default" w:ascii="Times New Roman" w:hAnsi="Times New Roman" w:cs="Times New Roman"/>
          <w:color w:val="auto"/>
          <w:kern w:val="0"/>
          <w:sz w:val="21"/>
          <w:szCs w:val="21"/>
          <w:highlight w:val="none"/>
          <w:u w:val="none"/>
        </w:rPr>
        <w:fldChar w:fldCharType="begin"/>
      </w:r>
      <w:r>
        <w:rPr>
          <w:rFonts w:hint="default" w:ascii="Times New Roman" w:hAnsi="Times New Roman" w:cs="Times New Roman"/>
          <w:color w:val="auto"/>
          <w:kern w:val="0"/>
          <w:sz w:val="21"/>
          <w:szCs w:val="21"/>
          <w:highlight w:val="none"/>
          <w:u w:val="none"/>
        </w:rPr>
        <w:instrText xml:space="preserve"> HYPERLINK "https://doi.org/10.1016/j.frl.2024.105518" </w:instrText>
      </w:r>
      <w:r>
        <w:rPr>
          <w:rFonts w:hint="default" w:ascii="Times New Roman" w:hAnsi="Times New Roman" w:cs="Times New Roman"/>
          <w:color w:val="auto"/>
          <w:kern w:val="0"/>
          <w:sz w:val="21"/>
          <w:szCs w:val="21"/>
          <w:highlight w:val="none"/>
          <w:u w:val="none"/>
        </w:rPr>
        <w:fldChar w:fldCharType="separate"/>
      </w:r>
      <w:r>
        <w:rPr>
          <w:rStyle w:val="8"/>
          <w:rFonts w:hint="default" w:ascii="Times New Roman" w:hAnsi="Times New Roman" w:cs="Times New Roman"/>
          <w:color w:val="auto"/>
          <w:kern w:val="0"/>
          <w:sz w:val="21"/>
          <w:szCs w:val="21"/>
          <w:highlight w:val="none"/>
          <w:u w:val="none"/>
        </w:rPr>
        <w:t>https://doi.org/10.1016/j.frl.2024.105518</w:t>
      </w:r>
      <w:r>
        <w:rPr>
          <w:rFonts w:hint="default" w:ascii="Times New Roman" w:hAnsi="Times New Roman" w:cs="Times New Roman"/>
          <w:color w:val="auto"/>
          <w:kern w:val="0"/>
          <w:sz w:val="21"/>
          <w:szCs w:val="21"/>
          <w:highlight w:val="none"/>
          <w:u w:val="none"/>
        </w:rPr>
        <w:fldChar w:fldCharType="end"/>
      </w:r>
      <w:r>
        <w:rPr>
          <w:rFonts w:hint="default" w:ascii="Times New Roman" w:hAnsi="Times New Roman" w:cs="Times New Roman"/>
          <w:color w:val="auto"/>
          <w:kern w:val="0"/>
          <w:sz w:val="21"/>
          <w:szCs w:val="21"/>
          <w:highlight w:val="none"/>
          <w:lang w:val="en-US" w:eastAsia="zh-CN"/>
        </w:rPr>
        <w:t xml:space="preserve">  </w:t>
      </w:r>
    </w:p>
    <w:p w14:paraId="544AD21F">
      <w:pPr>
        <w:keepNext w:val="0"/>
        <w:keepLines w:val="0"/>
        <w:pageBreakBefore w:val="0"/>
        <w:widowControl w:val="0"/>
        <w:kinsoku/>
        <w:wordWrap/>
        <w:overflowPunct/>
        <w:topLinePunct w:val="0"/>
        <w:autoSpaceDE w:val="0"/>
        <w:autoSpaceDN w:val="0"/>
        <w:bidi w:val="0"/>
        <w:adjustRightInd w:val="0"/>
        <w:snapToGrid/>
        <w:spacing w:line="240" w:lineRule="auto"/>
        <w:ind w:left="360" w:hanging="420" w:hangingChars="200"/>
        <w:textAlignment w:val="auto"/>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Hartman, E., &amp; Hidalgo, F. D. (2018).An Equivalence Approach to Balance and Placebo Tests.</w:t>
      </w:r>
      <w:r>
        <w:rPr>
          <w:rFonts w:hint="default" w:ascii="Times New Roman" w:hAnsi="Times New Roman" w:cs="Times New Roman"/>
          <w:i/>
          <w:iCs/>
          <w:color w:val="auto"/>
          <w:kern w:val="0"/>
          <w:sz w:val="21"/>
          <w:szCs w:val="21"/>
          <w:highlight w:val="none"/>
        </w:rPr>
        <w:t>American Journal of Political Science,62</w:t>
      </w:r>
      <w:r>
        <w:rPr>
          <w:rFonts w:hint="default" w:ascii="Times New Roman" w:hAnsi="Times New Roman" w:cs="Times New Roman"/>
          <w:color w:val="auto"/>
          <w:kern w:val="0"/>
          <w:sz w:val="21"/>
          <w:szCs w:val="21"/>
          <w:highlight w:val="none"/>
        </w:rPr>
        <w:t>(4),1000-1013.</w:t>
      </w:r>
      <w:r>
        <w:rPr>
          <w:rFonts w:hint="default" w:ascii="Times New Roman" w:hAnsi="Times New Roman" w:cs="Times New Roman"/>
          <w:color w:val="auto"/>
          <w:kern w:val="0"/>
          <w:sz w:val="21"/>
          <w:szCs w:val="21"/>
          <w:highlight w:val="none"/>
          <w:lang w:val="en-US" w:eastAsia="zh-CN"/>
        </w:rPr>
        <w:t xml:space="preserve"> </w:t>
      </w:r>
      <w:r>
        <w:rPr>
          <w:rFonts w:hint="default" w:ascii="Times New Roman" w:hAnsi="Times New Roman" w:cs="Times New Roman"/>
          <w:color w:val="auto"/>
          <w:kern w:val="0"/>
          <w:sz w:val="21"/>
          <w:szCs w:val="21"/>
          <w:highlight w:val="none"/>
          <w:u w:val="none"/>
        </w:rPr>
        <w:fldChar w:fldCharType="begin"/>
      </w:r>
      <w:r>
        <w:rPr>
          <w:rFonts w:hint="default" w:ascii="Times New Roman" w:hAnsi="Times New Roman" w:cs="Times New Roman"/>
          <w:color w:val="auto"/>
          <w:kern w:val="0"/>
          <w:sz w:val="21"/>
          <w:szCs w:val="21"/>
          <w:highlight w:val="none"/>
          <w:u w:val="none"/>
        </w:rPr>
        <w:instrText xml:space="preserve"> HYPERLINK "https://doi.org/10.1111/ajps.12387" </w:instrText>
      </w:r>
      <w:r>
        <w:rPr>
          <w:rFonts w:hint="default" w:ascii="Times New Roman" w:hAnsi="Times New Roman" w:cs="Times New Roman"/>
          <w:color w:val="auto"/>
          <w:kern w:val="0"/>
          <w:sz w:val="21"/>
          <w:szCs w:val="21"/>
          <w:highlight w:val="none"/>
          <w:u w:val="none"/>
        </w:rPr>
        <w:fldChar w:fldCharType="separate"/>
      </w:r>
      <w:r>
        <w:rPr>
          <w:rStyle w:val="8"/>
          <w:rFonts w:hint="default" w:ascii="Times New Roman" w:hAnsi="Times New Roman" w:cs="Times New Roman"/>
          <w:color w:val="auto"/>
          <w:kern w:val="0"/>
          <w:sz w:val="21"/>
          <w:szCs w:val="21"/>
          <w:highlight w:val="none"/>
          <w:u w:val="none"/>
        </w:rPr>
        <w:t>https://doi.org/10.1111/ajps.12387</w:t>
      </w:r>
      <w:r>
        <w:rPr>
          <w:rFonts w:hint="default" w:ascii="Times New Roman" w:hAnsi="Times New Roman" w:cs="Times New Roman"/>
          <w:color w:val="auto"/>
          <w:kern w:val="0"/>
          <w:sz w:val="21"/>
          <w:szCs w:val="21"/>
          <w:highlight w:val="none"/>
          <w:u w:val="none"/>
        </w:rPr>
        <w:fldChar w:fldCharType="end"/>
      </w:r>
      <w:r>
        <w:rPr>
          <w:rFonts w:hint="default" w:ascii="Times New Roman" w:hAnsi="Times New Roman" w:cs="Times New Roman"/>
          <w:color w:val="auto"/>
          <w:kern w:val="0"/>
          <w:sz w:val="21"/>
          <w:szCs w:val="21"/>
          <w:highlight w:val="none"/>
          <w:lang w:val="en-US" w:eastAsia="zh-CN"/>
        </w:rPr>
        <w:t xml:space="preserve"> </w:t>
      </w:r>
    </w:p>
    <w:p w14:paraId="321DD28A">
      <w:pPr>
        <w:keepNext w:val="0"/>
        <w:keepLines w:val="0"/>
        <w:pageBreakBefore w:val="0"/>
        <w:widowControl w:val="0"/>
        <w:kinsoku/>
        <w:wordWrap/>
        <w:overflowPunct/>
        <w:topLinePunct w:val="0"/>
        <w:autoSpaceDE w:val="0"/>
        <w:autoSpaceDN w:val="0"/>
        <w:bidi w:val="0"/>
        <w:adjustRightInd w:val="0"/>
        <w:snapToGrid/>
        <w:spacing w:line="240" w:lineRule="auto"/>
        <w:ind w:left="360" w:hanging="420" w:hangingChars="200"/>
        <w:textAlignment w:val="auto"/>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Heath, C. &amp; Tversky, A. (1991).Preference and Belief: Ambiguity and Competence in Choice under Uncertainty.</w:t>
      </w:r>
      <w:r>
        <w:rPr>
          <w:rFonts w:hint="default" w:ascii="Times New Roman" w:hAnsi="Times New Roman" w:cs="Times New Roman"/>
          <w:i/>
          <w:iCs/>
          <w:color w:val="auto"/>
          <w:kern w:val="0"/>
          <w:sz w:val="21"/>
          <w:szCs w:val="21"/>
          <w:highlight w:val="none"/>
        </w:rPr>
        <w:t>Journal of Risk and Uncertainty,4</w:t>
      </w:r>
      <w:r>
        <w:rPr>
          <w:rFonts w:hint="default" w:ascii="Times New Roman" w:hAnsi="Times New Roman" w:cs="Times New Roman"/>
          <w:color w:val="auto"/>
          <w:kern w:val="0"/>
          <w:sz w:val="21"/>
          <w:szCs w:val="21"/>
          <w:highlight w:val="none"/>
        </w:rPr>
        <w:t>,5-28.</w:t>
      </w:r>
      <w:r>
        <w:rPr>
          <w:rFonts w:hint="default" w:ascii="Times New Roman" w:hAnsi="Times New Roman" w:cs="Times New Roman"/>
          <w:color w:val="auto"/>
          <w:kern w:val="0"/>
          <w:sz w:val="21"/>
          <w:szCs w:val="21"/>
          <w:highlight w:val="none"/>
          <w:u w:val="none"/>
          <w:lang w:val="en-US" w:eastAsia="zh-CN"/>
        </w:rPr>
        <w:t xml:space="preserve"> </w:t>
      </w:r>
      <w:r>
        <w:rPr>
          <w:rFonts w:hint="default" w:ascii="Times New Roman" w:hAnsi="Times New Roman" w:cs="Times New Roman"/>
          <w:color w:val="auto"/>
          <w:kern w:val="0"/>
          <w:sz w:val="21"/>
          <w:szCs w:val="21"/>
          <w:highlight w:val="none"/>
          <w:u w:val="none"/>
          <w:lang w:val="en-US" w:eastAsia="zh-CN"/>
        </w:rPr>
        <w:fldChar w:fldCharType="begin"/>
      </w:r>
      <w:r>
        <w:rPr>
          <w:rFonts w:hint="default" w:ascii="Times New Roman" w:hAnsi="Times New Roman" w:cs="Times New Roman"/>
          <w:color w:val="auto"/>
          <w:kern w:val="0"/>
          <w:sz w:val="21"/>
          <w:szCs w:val="21"/>
          <w:highlight w:val="none"/>
          <w:u w:val="none"/>
          <w:lang w:val="en-US" w:eastAsia="zh-CN"/>
        </w:rPr>
        <w:instrText xml:space="preserve"> HYPERLINK "https://doi.org/10.1007/BF00057884" </w:instrText>
      </w:r>
      <w:r>
        <w:rPr>
          <w:rFonts w:hint="default" w:ascii="Times New Roman" w:hAnsi="Times New Roman" w:cs="Times New Roman"/>
          <w:color w:val="auto"/>
          <w:kern w:val="0"/>
          <w:sz w:val="21"/>
          <w:szCs w:val="21"/>
          <w:highlight w:val="none"/>
          <w:u w:val="none"/>
          <w:lang w:val="en-US" w:eastAsia="zh-CN"/>
        </w:rPr>
        <w:fldChar w:fldCharType="separate"/>
      </w:r>
      <w:r>
        <w:rPr>
          <w:rStyle w:val="8"/>
          <w:rFonts w:hint="default" w:ascii="Times New Roman" w:hAnsi="Times New Roman" w:cs="Times New Roman"/>
          <w:color w:val="auto"/>
          <w:kern w:val="0"/>
          <w:sz w:val="21"/>
          <w:szCs w:val="21"/>
          <w:highlight w:val="none"/>
          <w:u w:val="none"/>
          <w:lang w:val="en-US" w:eastAsia="zh-CN"/>
        </w:rPr>
        <w:t>https://doi.org/10.1007/BF00057884</w:t>
      </w:r>
      <w:r>
        <w:rPr>
          <w:rFonts w:hint="default" w:ascii="Times New Roman" w:hAnsi="Times New Roman" w:cs="Times New Roman"/>
          <w:color w:val="auto"/>
          <w:kern w:val="0"/>
          <w:sz w:val="21"/>
          <w:szCs w:val="21"/>
          <w:highlight w:val="none"/>
          <w:u w:val="none"/>
          <w:lang w:val="en-US" w:eastAsia="zh-CN"/>
        </w:rPr>
        <w:fldChar w:fldCharType="end"/>
      </w:r>
      <w:r>
        <w:rPr>
          <w:rFonts w:hint="default" w:ascii="Times New Roman" w:hAnsi="Times New Roman" w:cs="Times New Roman"/>
          <w:color w:val="auto"/>
          <w:kern w:val="0"/>
          <w:sz w:val="21"/>
          <w:szCs w:val="21"/>
          <w:highlight w:val="none"/>
          <w:lang w:val="en-US" w:eastAsia="zh-CN"/>
        </w:rPr>
        <w:t xml:space="preserve"> </w:t>
      </w:r>
    </w:p>
    <w:p w14:paraId="6BCF2C08">
      <w:pPr>
        <w:keepNext w:val="0"/>
        <w:keepLines w:val="0"/>
        <w:pageBreakBefore w:val="0"/>
        <w:widowControl w:val="0"/>
        <w:kinsoku/>
        <w:wordWrap/>
        <w:overflowPunct/>
        <w:topLinePunct w:val="0"/>
        <w:autoSpaceDE w:val="0"/>
        <w:autoSpaceDN w:val="0"/>
        <w:bidi w:val="0"/>
        <w:adjustRightInd w:val="0"/>
        <w:snapToGrid/>
        <w:spacing w:line="240" w:lineRule="auto"/>
        <w:ind w:left="360" w:hanging="420" w:hangingChars="200"/>
        <w:jc w:val="both"/>
        <w:textAlignment w:val="auto"/>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Hirshleifer, D., Low, A., &amp; Teoh, S. H. (2012).Are overconfident CEOs better innovators?</w:t>
      </w:r>
      <w:r>
        <w:rPr>
          <w:rFonts w:hint="default" w:ascii="Times New Roman" w:hAnsi="Times New Roman" w:cs="Times New Roman"/>
          <w:i/>
          <w:iCs/>
          <w:color w:val="auto"/>
          <w:kern w:val="0"/>
          <w:sz w:val="21"/>
          <w:szCs w:val="21"/>
          <w:highlight w:val="none"/>
        </w:rPr>
        <w:t>The journal of finance,67</w:t>
      </w:r>
      <w:r>
        <w:rPr>
          <w:rFonts w:hint="default" w:ascii="Times New Roman" w:hAnsi="Times New Roman" w:cs="Times New Roman"/>
          <w:color w:val="auto"/>
          <w:kern w:val="0"/>
          <w:sz w:val="21"/>
          <w:szCs w:val="21"/>
          <w:highlight w:val="none"/>
        </w:rPr>
        <w:t xml:space="preserve">(4),1457-1498. </w:t>
      </w:r>
      <w:r>
        <w:rPr>
          <w:rFonts w:hint="default" w:ascii="Times New Roman" w:hAnsi="Times New Roman" w:cs="Times New Roman"/>
          <w:color w:val="auto"/>
          <w:kern w:val="0"/>
          <w:sz w:val="21"/>
          <w:szCs w:val="21"/>
          <w:highlight w:val="none"/>
          <w:u w:val="none"/>
        </w:rPr>
        <w:fldChar w:fldCharType="begin"/>
      </w:r>
      <w:r>
        <w:rPr>
          <w:rFonts w:hint="default" w:ascii="Times New Roman" w:hAnsi="Times New Roman" w:cs="Times New Roman"/>
          <w:color w:val="auto"/>
          <w:kern w:val="0"/>
          <w:sz w:val="21"/>
          <w:szCs w:val="21"/>
          <w:highlight w:val="none"/>
          <w:u w:val="none"/>
        </w:rPr>
        <w:instrText xml:space="preserve"> HYPERLINK "https://doi.org/10.1111/j.1540-6261.2012.01753.x" </w:instrText>
      </w:r>
      <w:r>
        <w:rPr>
          <w:rFonts w:hint="default" w:ascii="Times New Roman" w:hAnsi="Times New Roman" w:cs="Times New Roman"/>
          <w:color w:val="auto"/>
          <w:kern w:val="0"/>
          <w:sz w:val="21"/>
          <w:szCs w:val="21"/>
          <w:highlight w:val="none"/>
          <w:u w:val="none"/>
        </w:rPr>
        <w:fldChar w:fldCharType="separate"/>
      </w:r>
      <w:r>
        <w:rPr>
          <w:rStyle w:val="8"/>
          <w:rFonts w:hint="default" w:ascii="Times New Roman" w:hAnsi="Times New Roman" w:cs="Times New Roman"/>
          <w:color w:val="auto"/>
          <w:kern w:val="0"/>
          <w:sz w:val="21"/>
          <w:szCs w:val="21"/>
          <w:highlight w:val="none"/>
          <w:u w:val="none"/>
        </w:rPr>
        <w:t>https://doi.org/10.1111/j.1540-6261.2012.01753.x</w:t>
      </w:r>
      <w:r>
        <w:rPr>
          <w:rFonts w:hint="default" w:ascii="Times New Roman" w:hAnsi="Times New Roman" w:cs="Times New Roman"/>
          <w:color w:val="auto"/>
          <w:kern w:val="0"/>
          <w:sz w:val="21"/>
          <w:szCs w:val="21"/>
          <w:highlight w:val="none"/>
          <w:u w:val="none"/>
        </w:rPr>
        <w:fldChar w:fldCharType="end"/>
      </w:r>
      <w:r>
        <w:rPr>
          <w:rFonts w:hint="default" w:ascii="Times New Roman" w:hAnsi="Times New Roman" w:cs="Times New Roman"/>
          <w:color w:val="auto"/>
          <w:kern w:val="0"/>
          <w:sz w:val="21"/>
          <w:szCs w:val="21"/>
          <w:highlight w:val="none"/>
          <w:lang w:val="en-US" w:eastAsia="zh-CN"/>
        </w:rPr>
        <w:t xml:space="preserve"> </w:t>
      </w:r>
    </w:p>
    <w:p w14:paraId="3E708B8B">
      <w:pPr>
        <w:keepNext w:val="0"/>
        <w:keepLines w:val="0"/>
        <w:pageBreakBefore w:val="0"/>
        <w:widowControl w:val="0"/>
        <w:kinsoku/>
        <w:wordWrap/>
        <w:overflowPunct/>
        <w:topLinePunct w:val="0"/>
        <w:autoSpaceDE w:val="0"/>
        <w:autoSpaceDN w:val="0"/>
        <w:bidi w:val="0"/>
        <w:adjustRightInd w:val="0"/>
        <w:snapToGrid/>
        <w:spacing w:line="240" w:lineRule="auto"/>
        <w:ind w:left="360" w:hanging="420" w:hangingChars="200"/>
        <w:textAlignment w:val="auto"/>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 xml:space="preserve">Lackner, S., Francisco, F., Mendonça, C., Mata, A., Gonçalves-Sá, J. (2023).Intermediate levels of scientific knowledge are associated with overconfidence and negative attitudes towards science. </w:t>
      </w:r>
      <w:r>
        <w:rPr>
          <w:rFonts w:hint="default" w:ascii="Times New Roman" w:hAnsi="Times New Roman" w:cs="Times New Roman"/>
          <w:i/>
          <w:iCs/>
          <w:color w:val="auto"/>
          <w:kern w:val="0"/>
          <w:sz w:val="21"/>
          <w:szCs w:val="21"/>
          <w:highlight w:val="none"/>
        </w:rPr>
        <w:t>Nature Human Behaviour,7</w:t>
      </w:r>
      <w:r>
        <w:rPr>
          <w:rFonts w:hint="default" w:ascii="Times New Roman" w:hAnsi="Times New Roman" w:cs="Times New Roman"/>
          <w:color w:val="auto"/>
          <w:kern w:val="0"/>
          <w:sz w:val="21"/>
          <w:szCs w:val="21"/>
          <w:highlight w:val="none"/>
        </w:rPr>
        <w:t>,1490-1501.</w:t>
      </w:r>
    </w:p>
    <w:p w14:paraId="01ECC6B2">
      <w:pPr>
        <w:keepNext w:val="0"/>
        <w:keepLines w:val="0"/>
        <w:pageBreakBefore w:val="0"/>
        <w:widowControl w:val="0"/>
        <w:kinsoku/>
        <w:wordWrap/>
        <w:overflowPunct/>
        <w:topLinePunct w:val="0"/>
        <w:autoSpaceDE w:val="0"/>
        <w:autoSpaceDN w:val="0"/>
        <w:bidi w:val="0"/>
        <w:adjustRightInd w:val="0"/>
        <w:snapToGrid/>
        <w:spacing w:line="240" w:lineRule="auto"/>
        <w:ind w:left="360" w:hanging="420" w:hangingChars="200"/>
        <w:textAlignment w:val="auto"/>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 xml:space="preserve">Lee, J. M., Hwang, B. H., &amp; Chen, H. (2017). Are founder CEOs more overconfident than professional CEOs? Evidence from S&amp;P 1500 companies. </w:t>
      </w:r>
      <w:r>
        <w:rPr>
          <w:rFonts w:hint="default" w:ascii="Times New Roman" w:hAnsi="Times New Roman" w:cs="Times New Roman"/>
          <w:i/>
          <w:iCs/>
          <w:color w:val="auto"/>
          <w:kern w:val="0"/>
          <w:sz w:val="21"/>
          <w:szCs w:val="21"/>
          <w:highlight w:val="none"/>
        </w:rPr>
        <w:t>Strategic Management Journal, 38,</w:t>
      </w:r>
      <w:r>
        <w:rPr>
          <w:rFonts w:hint="default" w:ascii="Times New Roman" w:hAnsi="Times New Roman" w:cs="Times New Roman"/>
          <w:color w:val="auto"/>
          <w:kern w:val="0"/>
          <w:sz w:val="21"/>
          <w:szCs w:val="21"/>
          <w:highlight w:val="none"/>
        </w:rPr>
        <w:t>751-769.</w:t>
      </w:r>
      <w:r>
        <w:rPr>
          <w:rFonts w:hint="default" w:ascii="Times New Roman" w:hAnsi="Times New Roman" w:cs="Times New Roman"/>
          <w:color w:val="auto"/>
          <w:kern w:val="0"/>
          <w:sz w:val="21"/>
          <w:szCs w:val="21"/>
          <w:highlight w:val="none"/>
          <w:lang w:val="en-US" w:eastAsia="zh-CN"/>
        </w:rPr>
        <w:t xml:space="preserve"> </w:t>
      </w:r>
      <w:r>
        <w:rPr>
          <w:rFonts w:hint="default" w:ascii="Times New Roman" w:hAnsi="Times New Roman" w:cs="Times New Roman"/>
          <w:color w:val="auto"/>
          <w:kern w:val="0"/>
          <w:sz w:val="21"/>
          <w:szCs w:val="21"/>
          <w:highlight w:val="none"/>
          <w:u w:val="none"/>
          <w:lang w:val="en-US" w:eastAsia="zh-CN"/>
        </w:rPr>
        <w:fldChar w:fldCharType="begin"/>
      </w:r>
      <w:r>
        <w:rPr>
          <w:rFonts w:hint="default" w:ascii="Times New Roman" w:hAnsi="Times New Roman" w:cs="Times New Roman"/>
          <w:color w:val="auto"/>
          <w:kern w:val="0"/>
          <w:sz w:val="21"/>
          <w:szCs w:val="21"/>
          <w:highlight w:val="none"/>
          <w:u w:val="none"/>
          <w:lang w:val="en-US" w:eastAsia="zh-CN"/>
        </w:rPr>
        <w:instrText xml:space="preserve"> HYPERLINK "https://doi.org/10.1002/smj.2519" </w:instrText>
      </w:r>
      <w:r>
        <w:rPr>
          <w:rFonts w:hint="default" w:ascii="Times New Roman" w:hAnsi="Times New Roman" w:cs="Times New Roman"/>
          <w:color w:val="auto"/>
          <w:kern w:val="0"/>
          <w:sz w:val="21"/>
          <w:szCs w:val="21"/>
          <w:highlight w:val="none"/>
          <w:u w:val="none"/>
          <w:lang w:val="en-US" w:eastAsia="zh-CN"/>
        </w:rPr>
        <w:fldChar w:fldCharType="separate"/>
      </w:r>
      <w:r>
        <w:rPr>
          <w:rStyle w:val="8"/>
          <w:rFonts w:hint="default" w:ascii="Times New Roman" w:hAnsi="Times New Roman" w:cs="Times New Roman"/>
          <w:color w:val="auto"/>
          <w:kern w:val="0"/>
          <w:sz w:val="21"/>
          <w:szCs w:val="21"/>
          <w:highlight w:val="none"/>
          <w:u w:val="none"/>
          <w:lang w:val="en-US" w:eastAsia="zh-CN"/>
        </w:rPr>
        <w:t>https://doi.org/10.1002/smj.2519</w:t>
      </w:r>
      <w:r>
        <w:rPr>
          <w:rFonts w:hint="default" w:ascii="Times New Roman" w:hAnsi="Times New Roman" w:cs="Times New Roman"/>
          <w:color w:val="auto"/>
          <w:kern w:val="0"/>
          <w:sz w:val="21"/>
          <w:szCs w:val="21"/>
          <w:highlight w:val="none"/>
          <w:u w:val="none"/>
          <w:lang w:val="en-US" w:eastAsia="zh-CN"/>
        </w:rPr>
        <w:fldChar w:fldCharType="end"/>
      </w:r>
      <w:r>
        <w:rPr>
          <w:rFonts w:hint="default" w:ascii="Times New Roman" w:hAnsi="Times New Roman" w:cs="Times New Roman"/>
          <w:color w:val="auto"/>
          <w:kern w:val="0"/>
          <w:sz w:val="21"/>
          <w:szCs w:val="21"/>
          <w:highlight w:val="none"/>
          <w:lang w:val="en-US" w:eastAsia="zh-CN"/>
        </w:rPr>
        <w:t xml:space="preserve"> </w:t>
      </w:r>
    </w:p>
    <w:p w14:paraId="5D0DE367">
      <w:pPr>
        <w:keepNext w:val="0"/>
        <w:keepLines w:val="0"/>
        <w:pageBreakBefore w:val="0"/>
        <w:widowControl w:val="0"/>
        <w:kinsoku/>
        <w:wordWrap/>
        <w:overflowPunct/>
        <w:topLinePunct w:val="0"/>
        <w:autoSpaceDE w:val="0"/>
        <w:autoSpaceDN w:val="0"/>
        <w:bidi w:val="0"/>
        <w:adjustRightInd w:val="0"/>
        <w:snapToGrid/>
        <w:spacing w:line="240" w:lineRule="auto"/>
        <w:ind w:left="420" w:hanging="420" w:hangingChars="200"/>
        <w:jc w:val="both"/>
        <w:textAlignment w:val="auto"/>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Li, P., Lu, Y.,&amp; Wang, J. (2016).Does Flattening Government Improve Economic Performance? Evidence from China.</w:t>
      </w:r>
      <w:r>
        <w:rPr>
          <w:rFonts w:hint="default" w:ascii="Times New Roman" w:hAnsi="Times New Roman" w:cs="Times New Roman"/>
          <w:i/>
          <w:iCs/>
          <w:color w:val="auto"/>
          <w:kern w:val="0"/>
          <w:sz w:val="21"/>
          <w:szCs w:val="21"/>
          <w:highlight w:val="none"/>
        </w:rPr>
        <w:t>Journal of Development Economics,</w:t>
      </w:r>
      <w:r>
        <w:rPr>
          <w:rFonts w:hint="default" w:ascii="Times New Roman" w:hAnsi="Times New Roman" w:cs="Times New Roman"/>
          <w:color w:val="auto"/>
          <w:kern w:val="0"/>
          <w:sz w:val="21"/>
          <w:szCs w:val="21"/>
          <w:highlight w:val="none"/>
        </w:rPr>
        <w:t>(123),18-37.</w:t>
      </w:r>
      <w:r>
        <w:rPr>
          <w:rFonts w:hint="default" w:ascii="Times New Roman" w:hAnsi="Times New Roman" w:cs="Times New Roman"/>
          <w:color w:val="auto"/>
          <w:kern w:val="0"/>
          <w:sz w:val="21"/>
          <w:szCs w:val="21"/>
          <w:highlight w:val="none"/>
          <w:lang w:val="en-US" w:eastAsia="zh-CN"/>
        </w:rPr>
        <w:t xml:space="preserve"> </w:t>
      </w:r>
      <w:r>
        <w:rPr>
          <w:rFonts w:hint="default" w:ascii="Times New Roman" w:hAnsi="Times New Roman" w:cs="Times New Roman"/>
          <w:color w:val="auto"/>
          <w:kern w:val="0"/>
          <w:sz w:val="21"/>
          <w:szCs w:val="21"/>
          <w:highlight w:val="none"/>
          <w:u w:val="none"/>
          <w:lang w:val="en-US" w:eastAsia="zh-CN"/>
        </w:rPr>
        <w:fldChar w:fldCharType="begin"/>
      </w:r>
      <w:r>
        <w:rPr>
          <w:rFonts w:hint="default" w:ascii="Times New Roman" w:hAnsi="Times New Roman" w:cs="Times New Roman"/>
          <w:color w:val="auto"/>
          <w:kern w:val="0"/>
          <w:sz w:val="21"/>
          <w:szCs w:val="21"/>
          <w:highlight w:val="none"/>
          <w:u w:val="none"/>
          <w:lang w:val="en-US" w:eastAsia="zh-CN"/>
        </w:rPr>
        <w:instrText xml:space="preserve"> HYPERLINK "https://doi.org/10.1016/j.jdeveco.2016.07.002" </w:instrText>
      </w:r>
      <w:r>
        <w:rPr>
          <w:rFonts w:hint="default" w:ascii="Times New Roman" w:hAnsi="Times New Roman" w:cs="Times New Roman"/>
          <w:color w:val="auto"/>
          <w:kern w:val="0"/>
          <w:sz w:val="21"/>
          <w:szCs w:val="21"/>
          <w:highlight w:val="none"/>
          <w:u w:val="none"/>
          <w:lang w:val="en-US" w:eastAsia="zh-CN"/>
        </w:rPr>
        <w:fldChar w:fldCharType="separate"/>
      </w:r>
      <w:r>
        <w:rPr>
          <w:rStyle w:val="8"/>
          <w:rFonts w:hint="default" w:ascii="Times New Roman" w:hAnsi="Times New Roman" w:cs="Times New Roman"/>
          <w:color w:val="auto"/>
          <w:kern w:val="0"/>
          <w:sz w:val="21"/>
          <w:szCs w:val="21"/>
          <w:highlight w:val="none"/>
          <w:u w:val="none"/>
          <w:lang w:val="en-US" w:eastAsia="zh-CN"/>
        </w:rPr>
        <w:t>https://doi.org/10.1016/j.jdeveco.2016.07.002</w:t>
      </w:r>
      <w:r>
        <w:rPr>
          <w:rFonts w:hint="default" w:ascii="Times New Roman" w:hAnsi="Times New Roman" w:cs="Times New Roman"/>
          <w:color w:val="auto"/>
          <w:kern w:val="0"/>
          <w:sz w:val="21"/>
          <w:szCs w:val="21"/>
          <w:highlight w:val="none"/>
          <w:u w:val="none"/>
          <w:lang w:val="en-US" w:eastAsia="zh-CN"/>
        </w:rPr>
        <w:fldChar w:fldCharType="end"/>
      </w:r>
    </w:p>
    <w:p w14:paraId="0B91F690">
      <w:pPr>
        <w:keepNext w:val="0"/>
        <w:keepLines w:val="0"/>
        <w:pageBreakBefore w:val="0"/>
        <w:widowControl w:val="0"/>
        <w:kinsoku/>
        <w:wordWrap/>
        <w:overflowPunct/>
        <w:topLinePunct w:val="0"/>
        <w:autoSpaceDE w:val="0"/>
        <w:autoSpaceDN w:val="0"/>
        <w:bidi w:val="0"/>
        <w:adjustRightInd w:val="0"/>
        <w:snapToGrid/>
        <w:spacing w:line="240" w:lineRule="auto"/>
        <w:ind w:left="360" w:hanging="420" w:hangingChars="200"/>
        <w:textAlignment w:val="auto"/>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Lu, S., Dong, R., &amp; Ye, C. (2021).Does "the Belt and Road Initiative" Promote High-quality Exports: Evidence from Firms in China.</w:t>
      </w:r>
      <w:r>
        <w:rPr>
          <w:rFonts w:hint="default" w:ascii="Times New Roman" w:hAnsi="Times New Roman" w:cs="Times New Roman"/>
          <w:i/>
          <w:iCs/>
          <w:color w:val="auto"/>
          <w:kern w:val="0"/>
          <w:sz w:val="21"/>
          <w:szCs w:val="21"/>
          <w:highlight w:val="none"/>
        </w:rPr>
        <w:t>China Industrial Economics,</w:t>
      </w:r>
      <w:r>
        <w:rPr>
          <w:rFonts w:hint="default" w:ascii="Times New Roman" w:hAnsi="Times New Roman" w:cs="Times New Roman"/>
          <w:color w:val="auto"/>
          <w:kern w:val="0"/>
          <w:sz w:val="21"/>
          <w:szCs w:val="21"/>
          <w:highlight w:val="none"/>
        </w:rPr>
        <w:t>(3),80-98.[In Chinese].</w:t>
      </w:r>
    </w:p>
    <w:p w14:paraId="1C59D469">
      <w:pPr>
        <w:keepNext w:val="0"/>
        <w:keepLines w:val="0"/>
        <w:pageBreakBefore w:val="0"/>
        <w:widowControl w:val="0"/>
        <w:kinsoku/>
        <w:wordWrap/>
        <w:overflowPunct/>
        <w:topLinePunct w:val="0"/>
        <w:autoSpaceDE w:val="0"/>
        <w:autoSpaceDN w:val="0"/>
        <w:bidi w:val="0"/>
        <w:adjustRightInd w:val="0"/>
        <w:snapToGrid/>
        <w:spacing w:line="240" w:lineRule="auto"/>
        <w:ind w:left="360" w:hanging="420" w:hangingChars="200"/>
        <w:textAlignment w:val="auto"/>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 xml:space="preserve">Malmendier, U., &amp; Tate, G. (2008). Who makes acquisitions? CEO overconfidence and the market's reaction. </w:t>
      </w:r>
      <w:r>
        <w:rPr>
          <w:rFonts w:hint="default" w:ascii="Times New Roman" w:hAnsi="Times New Roman" w:cs="Times New Roman"/>
          <w:i/>
          <w:iCs/>
          <w:color w:val="auto"/>
          <w:kern w:val="0"/>
          <w:sz w:val="21"/>
          <w:szCs w:val="21"/>
          <w:highlight w:val="none"/>
        </w:rPr>
        <w:t>Journal of Financial Economics, 89</w:t>
      </w:r>
      <w:r>
        <w:rPr>
          <w:rFonts w:hint="default" w:ascii="Times New Roman" w:hAnsi="Times New Roman" w:cs="Times New Roman"/>
          <w:color w:val="auto"/>
          <w:kern w:val="0"/>
          <w:sz w:val="21"/>
          <w:szCs w:val="21"/>
          <w:highlight w:val="none"/>
        </w:rPr>
        <w:t>,20-43.</w:t>
      </w:r>
      <w:r>
        <w:rPr>
          <w:rFonts w:hint="default" w:ascii="Times New Roman" w:hAnsi="Times New Roman" w:cs="Times New Roman"/>
          <w:color w:val="auto"/>
          <w:kern w:val="0"/>
          <w:sz w:val="21"/>
          <w:szCs w:val="21"/>
          <w:highlight w:val="none"/>
          <w:lang w:val="en-US" w:eastAsia="zh-CN"/>
        </w:rPr>
        <w:t xml:space="preserve"> </w:t>
      </w:r>
      <w:r>
        <w:rPr>
          <w:rFonts w:hint="default" w:ascii="Times New Roman" w:hAnsi="Times New Roman" w:cs="Times New Roman"/>
          <w:color w:val="auto"/>
          <w:kern w:val="0"/>
          <w:sz w:val="21"/>
          <w:szCs w:val="21"/>
          <w:highlight w:val="none"/>
          <w:u w:val="none"/>
          <w:lang w:val="en-US" w:eastAsia="zh-CN"/>
        </w:rPr>
        <w:fldChar w:fldCharType="begin"/>
      </w:r>
      <w:r>
        <w:rPr>
          <w:rFonts w:hint="default" w:ascii="Times New Roman" w:hAnsi="Times New Roman" w:cs="Times New Roman"/>
          <w:color w:val="auto"/>
          <w:kern w:val="0"/>
          <w:sz w:val="21"/>
          <w:szCs w:val="21"/>
          <w:highlight w:val="none"/>
          <w:u w:val="none"/>
          <w:lang w:val="en-US" w:eastAsia="zh-CN"/>
        </w:rPr>
        <w:instrText xml:space="preserve"> HYPERLINK "https://doi.org/10.1016/j.jfineco.2007.07.002" </w:instrText>
      </w:r>
      <w:r>
        <w:rPr>
          <w:rFonts w:hint="default" w:ascii="Times New Roman" w:hAnsi="Times New Roman" w:cs="Times New Roman"/>
          <w:color w:val="auto"/>
          <w:kern w:val="0"/>
          <w:sz w:val="21"/>
          <w:szCs w:val="21"/>
          <w:highlight w:val="none"/>
          <w:u w:val="none"/>
          <w:lang w:val="en-US" w:eastAsia="zh-CN"/>
        </w:rPr>
        <w:fldChar w:fldCharType="separate"/>
      </w:r>
      <w:r>
        <w:rPr>
          <w:rStyle w:val="8"/>
          <w:rFonts w:hint="default" w:ascii="Times New Roman" w:hAnsi="Times New Roman" w:cs="Times New Roman"/>
          <w:color w:val="auto"/>
          <w:kern w:val="0"/>
          <w:sz w:val="21"/>
          <w:szCs w:val="21"/>
          <w:highlight w:val="none"/>
          <w:u w:val="none"/>
          <w:lang w:val="en-US" w:eastAsia="zh-CN"/>
        </w:rPr>
        <w:t>https://doi.org/10.1016/j.jfineco.2007.07.002</w:t>
      </w:r>
      <w:r>
        <w:rPr>
          <w:rFonts w:hint="default" w:ascii="Times New Roman" w:hAnsi="Times New Roman" w:cs="Times New Roman"/>
          <w:color w:val="auto"/>
          <w:kern w:val="0"/>
          <w:sz w:val="21"/>
          <w:szCs w:val="21"/>
          <w:highlight w:val="none"/>
          <w:u w:val="none"/>
          <w:lang w:val="en-US" w:eastAsia="zh-CN"/>
        </w:rPr>
        <w:fldChar w:fldCharType="end"/>
      </w:r>
      <w:r>
        <w:rPr>
          <w:rFonts w:hint="default" w:ascii="Times New Roman" w:hAnsi="Times New Roman" w:cs="Times New Roman"/>
          <w:color w:val="auto"/>
          <w:kern w:val="0"/>
          <w:sz w:val="21"/>
          <w:szCs w:val="21"/>
          <w:highlight w:val="none"/>
          <w:lang w:val="en-US" w:eastAsia="zh-CN"/>
        </w:rPr>
        <w:t xml:space="preserve"> </w:t>
      </w:r>
    </w:p>
    <w:p w14:paraId="69E7462E">
      <w:pPr>
        <w:keepNext w:val="0"/>
        <w:keepLines w:val="0"/>
        <w:pageBreakBefore w:val="0"/>
        <w:widowControl w:val="0"/>
        <w:kinsoku/>
        <w:wordWrap/>
        <w:overflowPunct/>
        <w:topLinePunct w:val="0"/>
        <w:autoSpaceDE w:val="0"/>
        <w:autoSpaceDN w:val="0"/>
        <w:bidi w:val="0"/>
        <w:adjustRightInd w:val="0"/>
        <w:snapToGrid/>
        <w:spacing w:line="240" w:lineRule="auto"/>
        <w:ind w:left="360" w:hanging="420" w:hangingChars="200"/>
        <w:textAlignment w:val="auto"/>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 xml:space="preserve">Mao, Z., &amp; Li, L. (2024). The impact of corporate ESG performance on M&amp;A performance commitment. </w:t>
      </w:r>
      <w:r>
        <w:rPr>
          <w:rFonts w:hint="default" w:ascii="Times New Roman" w:hAnsi="Times New Roman" w:cs="Times New Roman"/>
          <w:i/>
          <w:iCs/>
          <w:color w:val="auto"/>
          <w:kern w:val="0"/>
          <w:sz w:val="21"/>
          <w:szCs w:val="21"/>
          <w:highlight w:val="none"/>
        </w:rPr>
        <w:t>Jiangxi Social Sciences,44</w:t>
      </w:r>
      <w:r>
        <w:rPr>
          <w:rFonts w:hint="default" w:ascii="Times New Roman" w:hAnsi="Times New Roman" w:cs="Times New Roman"/>
          <w:color w:val="auto"/>
          <w:kern w:val="0"/>
          <w:sz w:val="21"/>
          <w:szCs w:val="21"/>
          <w:highlight w:val="none"/>
        </w:rPr>
        <w:t>(01),139-148.[In Chinese].</w:t>
      </w:r>
    </w:p>
    <w:p w14:paraId="05BCB25C">
      <w:pPr>
        <w:keepNext w:val="0"/>
        <w:keepLines w:val="0"/>
        <w:pageBreakBefore w:val="0"/>
        <w:widowControl w:val="0"/>
        <w:kinsoku/>
        <w:wordWrap/>
        <w:overflowPunct/>
        <w:topLinePunct w:val="0"/>
        <w:autoSpaceDE w:val="0"/>
        <w:autoSpaceDN w:val="0"/>
        <w:bidi w:val="0"/>
        <w:adjustRightInd w:val="0"/>
        <w:snapToGrid/>
        <w:spacing w:line="240" w:lineRule="auto"/>
        <w:ind w:left="360" w:hanging="420" w:hangingChars="200"/>
        <w:jc w:val="both"/>
        <w:textAlignment w:val="auto"/>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Meng, F., &amp; Xue, X. (2023).Non-local CEO and Corporate Strategic Difference.</w:t>
      </w:r>
      <w:r>
        <w:rPr>
          <w:rFonts w:hint="default" w:ascii="Times New Roman" w:hAnsi="Times New Roman" w:cs="Times New Roman"/>
          <w:i/>
          <w:iCs/>
          <w:color w:val="auto"/>
          <w:kern w:val="0"/>
          <w:sz w:val="21"/>
          <w:szCs w:val="21"/>
          <w:highlight w:val="none"/>
        </w:rPr>
        <w:t>Journal of</w:t>
      </w:r>
      <w:r>
        <w:rPr>
          <w:rFonts w:hint="default" w:ascii="Times New Roman" w:hAnsi="Times New Roman" w:cs="Times New Roman"/>
          <w:color w:val="auto"/>
          <w:kern w:val="0"/>
          <w:sz w:val="21"/>
          <w:szCs w:val="21"/>
          <w:highlight w:val="none"/>
        </w:rPr>
        <w:t xml:space="preserve"> </w:t>
      </w:r>
      <w:r>
        <w:rPr>
          <w:rFonts w:hint="default" w:ascii="Times New Roman" w:hAnsi="Times New Roman" w:cs="Times New Roman"/>
          <w:i/>
          <w:iCs/>
          <w:color w:val="auto"/>
          <w:kern w:val="0"/>
          <w:sz w:val="21"/>
          <w:szCs w:val="21"/>
          <w:highlight w:val="none"/>
        </w:rPr>
        <w:t>Beijing Institute of Technology(Social  Sciences Edition),25</w:t>
      </w:r>
      <w:r>
        <w:rPr>
          <w:rFonts w:hint="default" w:ascii="Times New Roman" w:hAnsi="Times New Roman" w:cs="Times New Roman"/>
          <w:color w:val="auto"/>
          <w:kern w:val="0"/>
          <w:sz w:val="21"/>
          <w:szCs w:val="21"/>
          <w:highlight w:val="none"/>
        </w:rPr>
        <w:t>(5),171-180.[In Chinese].</w:t>
      </w:r>
      <w:r>
        <w:rPr>
          <w:rFonts w:hint="default" w:ascii="Times New Roman" w:hAnsi="Times New Roman" w:cs="Times New Roman"/>
          <w:color w:val="auto"/>
          <w:kern w:val="0"/>
          <w:sz w:val="21"/>
          <w:szCs w:val="21"/>
          <w:highlight w:val="none"/>
          <w:lang w:val="en-US" w:eastAsia="zh-CN"/>
        </w:rPr>
        <w:t xml:space="preserve"> </w:t>
      </w:r>
      <w:r>
        <w:rPr>
          <w:rFonts w:hint="default" w:ascii="Times New Roman" w:hAnsi="Times New Roman" w:cs="Times New Roman"/>
          <w:color w:val="auto"/>
          <w:kern w:val="0"/>
          <w:sz w:val="21"/>
          <w:szCs w:val="21"/>
          <w:highlight w:val="none"/>
          <w:u w:val="none"/>
          <w:lang w:val="en-US" w:eastAsia="zh-CN"/>
        </w:rPr>
        <w:fldChar w:fldCharType="begin"/>
      </w:r>
      <w:r>
        <w:rPr>
          <w:rFonts w:hint="default" w:ascii="Times New Roman" w:hAnsi="Times New Roman" w:cs="Times New Roman"/>
          <w:color w:val="auto"/>
          <w:kern w:val="0"/>
          <w:sz w:val="21"/>
          <w:szCs w:val="21"/>
          <w:highlight w:val="none"/>
          <w:u w:val="none"/>
          <w:lang w:val="en-US" w:eastAsia="zh-CN"/>
        </w:rPr>
        <w:instrText xml:space="preserve"> HYPERLINK "https://doi.org/10.15918/" </w:instrText>
      </w:r>
      <w:r>
        <w:rPr>
          <w:rFonts w:hint="default" w:ascii="Times New Roman" w:hAnsi="Times New Roman" w:cs="Times New Roman"/>
          <w:color w:val="auto"/>
          <w:kern w:val="0"/>
          <w:sz w:val="21"/>
          <w:szCs w:val="21"/>
          <w:highlight w:val="none"/>
          <w:u w:val="none"/>
          <w:lang w:val="en-US" w:eastAsia="zh-CN"/>
        </w:rPr>
        <w:fldChar w:fldCharType="separate"/>
      </w:r>
      <w:r>
        <w:rPr>
          <w:rStyle w:val="8"/>
          <w:rFonts w:hint="default" w:ascii="Times New Roman" w:hAnsi="Times New Roman" w:cs="Times New Roman"/>
          <w:color w:val="auto"/>
          <w:kern w:val="0"/>
          <w:sz w:val="21"/>
          <w:szCs w:val="21"/>
          <w:highlight w:val="none"/>
          <w:u w:val="none"/>
          <w:lang w:val="en-US" w:eastAsia="zh-CN"/>
        </w:rPr>
        <w:t>https://doi.org/10.15918/</w:t>
      </w:r>
      <w:r>
        <w:rPr>
          <w:rFonts w:hint="default" w:ascii="Times New Roman" w:hAnsi="Times New Roman" w:cs="Times New Roman"/>
          <w:color w:val="auto"/>
          <w:kern w:val="0"/>
          <w:sz w:val="21"/>
          <w:szCs w:val="21"/>
          <w:highlight w:val="none"/>
          <w:u w:val="none"/>
          <w:lang w:val="en-US" w:eastAsia="zh-CN"/>
        </w:rPr>
        <w:fldChar w:fldCharType="end"/>
      </w:r>
      <w:r>
        <w:rPr>
          <w:rStyle w:val="8"/>
          <w:rFonts w:hint="default" w:ascii="Times New Roman" w:hAnsi="Times New Roman" w:eastAsia="宋体" w:cs="Times New Roman"/>
          <w:color w:val="auto"/>
          <w:kern w:val="0"/>
          <w:sz w:val="21"/>
          <w:szCs w:val="21"/>
          <w:highlight w:val="none"/>
          <w:u w:val="none"/>
          <w:lang w:val="en-US" w:eastAsia="zh-CN"/>
        </w:rPr>
        <w:t>j.jbitss1009-3370.2023.2563</w:t>
      </w:r>
      <w:r>
        <w:rPr>
          <w:rFonts w:hint="default" w:ascii="Times New Roman" w:hAnsi="Times New Roman" w:cs="Times New Roman"/>
          <w:color w:val="auto"/>
          <w:kern w:val="0"/>
          <w:sz w:val="21"/>
          <w:szCs w:val="21"/>
          <w:highlight w:val="none"/>
          <w:lang w:val="en-US" w:eastAsia="zh-CN"/>
        </w:rPr>
        <w:t xml:space="preserve">  </w:t>
      </w:r>
    </w:p>
    <w:p w14:paraId="003D1EC3">
      <w:pPr>
        <w:keepNext w:val="0"/>
        <w:keepLines w:val="0"/>
        <w:pageBreakBefore w:val="0"/>
        <w:widowControl w:val="0"/>
        <w:kinsoku/>
        <w:wordWrap/>
        <w:overflowPunct/>
        <w:topLinePunct w:val="0"/>
        <w:autoSpaceDE w:val="0"/>
        <w:autoSpaceDN w:val="0"/>
        <w:bidi w:val="0"/>
        <w:adjustRightInd w:val="0"/>
        <w:snapToGrid/>
        <w:spacing w:line="240" w:lineRule="auto"/>
        <w:ind w:left="360" w:hanging="420" w:hangingChars="20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rPr>
        <w:t>Puig-Codina, L., Pinilla, J., &amp; Puig-Junoy, J. (2020).The impact of taxing sugar-sweetened beverages on cola purchasing in Catalonia: an approach to causal inference with time series cross-sectional data.</w:t>
      </w:r>
      <w:r>
        <w:rPr>
          <w:rFonts w:hint="default" w:ascii="Times New Roman" w:hAnsi="Times New Roman" w:cs="Times New Roman"/>
          <w:i/>
          <w:iCs/>
          <w:color w:val="auto"/>
          <w:kern w:val="0"/>
          <w:sz w:val="21"/>
          <w:szCs w:val="21"/>
          <w:highlight w:val="none"/>
        </w:rPr>
        <w:t>The European Journal of Health Economics,22,</w:t>
      </w:r>
      <w:r>
        <w:rPr>
          <w:rFonts w:hint="default" w:ascii="Times New Roman" w:hAnsi="Times New Roman" w:cs="Times New Roman"/>
          <w:color w:val="auto"/>
          <w:kern w:val="0"/>
          <w:sz w:val="21"/>
          <w:szCs w:val="21"/>
          <w:highlight w:val="none"/>
        </w:rPr>
        <w:t>158-168.</w:t>
      </w:r>
      <w:r>
        <w:rPr>
          <w:rFonts w:hint="default" w:ascii="Times New Roman" w:hAnsi="Times New Roman" w:cs="Times New Roman"/>
          <w:color w:val="auto"/>
          <w:kern w:val="0"/>
          <w:sz w:val="21"/>
          <w:szCs w:val="21"/>
          <w:highlight w:val="none"/>
          <w:lang w:val="en-US" w:eastAsia="zh-CN"/>
        </w:rPr>
        <w:t xml:space="preserve"> </w:t>
      </w:r>
      <w:r>
        <w:rPr>
          <w:rFonts w:hint="default" w:ascii="Times New Roman" w:hAnsi="Times New Roman" w:cs="Times New Roman"/>
          <w:color w:val="auto"/>
          <w:kern w:val="0"/>
          <w:sz w:val="21"/>
          <w:szCs w:val="21"/>
          <w:highlight w:val="none"/>
          <w:u w:val="none"/>
          <w:lang w:val="en-US" w:eastAsia="zh-CN"/>
        </w:rPr>
        <w:fldChar w:fldCharType="begin"/>
      </w:r>
      <w:r>
        <w:rPr>
          <w:rFonts w:hint="default" w:ascii="Times New Roman" w:hAnsi="Times New Roman" w:cs="Times New Roman"/>
          <w:color w:val="auto"/>
          <w:kern w:val="0"/>
          <w:sz w:val="21"/>
          <w:szCs w:val="21"/>
          <w:highlight w:val="none"/>
          <w:u w:val="none"/>
          <w:lang w:val="en-US" w:eastAsia="zh-CN"/>
        </w:rPr>
        <w:instrText xml:space="preserve"> HYPERLINK "https://doi.org/10.1007/s10198-020-01246-0" </w:instrText>
      </w:r>
      <w:r>
        <w:rPr>
          <w:rFonts w:hint="default" w:ascii="Times New Roman" w:hAnsi="Times New Roman" w:cs="Times New Roman"/>
          <w:color w:val="auto"/>
          <w:kern w:val="0"/>
          <w:sz w:val="21"/>
          <w:szCs w:val="21"/>
          <w:highlight w:val="none"/>
          <w:u w:val="none"/>
          <w:lang w:val="en-US" w:eastAsia="zh-CN"/>
        </w:rPr>
        <w:fldChar w:fldCharType="separate"/>
      </w:r>
      <w:r>
        <w:rPr>
          <w:rStyle w:val="8"/>
          <w:rFonts w:hint="default" w:ascii="Times New Roman" w:hAnsi="Times New Roman" w:cs="Times New Roman"/>
          <w:color w:val="auto"/>
          <w:kern w:val="0"/>
          <w:sz w:val="21"/>
          <w:szCs w:val="21"/>
          <w:highlight w:val="none"/>
          <w:u w:val="none"/>
          <w:lang w:val="en-US" w:eastAsia="zh-CN"/>
        </w:rPr>
        <w:t>https://doi.org/10.1007/s10198-020-01246-0</w:t>
      </w:r>
      <w:r>
        <w:rPr>
          <w:rFonts w:hint="default" w:ascii="Times New Roman" w:hAnsi="Times New Roman" w:cs="Times New Roman"/>
          <w:color w:val="auto"/>
          <w:kern w:val="0"/>
          <w:sz w:val="21"/>
          <w:szCs w:val="21"/>
          <w:highlight w:val="none"/>
          <w:u w:val="none"/>
          <w:lang w:val="en-US" w:eastAsia="zh-CN"/>
        </w:rPr>
        <w:fldChar w:fldCharType="end"/>
      </w:r>
      <w:r>
        <w:rPr>
          <w:rFonts w:hint="default" w:ascii="Times New Roman" w:hAnsi="Times New Roman" w:cs="Times New Roman"/>
          <w:color w:val="auto"/>
          <w:kern w:val="0"/>
          <w:sz w:val="21"/>
          <w:szCs w:val="21"/>
          <w:highlight w:val="none"/>
          <w:lang w:val="en-US" w:eastAsia="zh-CN"/>
        </w:rPr>
        <w:t xml:space="preserve"> </w:t>
      </w:r>
    </w:p>
    <w:p w14:paraId="232A370C">
      <w:pPr>
        <w:keepNext w:val="0"/>
        <w:keepLines w:val="0"/>
        <w:pageBreakBefore w:val="0"/>
        <w:widowControl w:val="0"/>
        <w:kinsoku/>
        <w:wordWrap/>
        <w:overflowPunct/>
        <w:topLinePunct w:val="0"/>
        <w:autoSpaceDE w:val="0"/>
        <w:autoSpaceDN w:val="0"/>
        <w:bidi w:val="0"/>
        <w:adjustRightInd w:val="0"/>
        <w:snapToGrid/>
        <w:spacing w:line="240" w:lineRule="auto"/>
        <w:ind w:left="360" w:hanging="420" w:hangingChars="20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rPr>
        <w:t xml:space="preserve">Silva, T. C., Laiz, M. T., &amp; Tabak, B. M. (2020).Traffic campaigns and overconfidence: An experimental approach. </w:t>
      </w:r>
      <w:r>
        <w:rPr>
          <w:rFonts w:hint="default" w:ascii="Times New Roman" w:hAnsi="Times New Roman" w:cs="Times New Roman"/>
          <w:i/>
          <w:iCs/>
          <w:color w:val="auto"/>
          <w:kern w:val="0"/>
          <w:sz w:val="21"/>
          <w:szCs w:val="21"/>
          <w:highlight w:val="none"/>
        </w:rPr>
        <w:t>Accident Analysis &amp; Prevention,146</w:t>
      </w:r>
      <w:r>
        <w:rPr>
          <w:rFonts w:hint="default" w:ascii="Times New Roman" w:hAnsi="Times New Roman" w:cs="Times New Roman"/>
          <w:color w:val="auto"/>
          <w:kern w:val="0"/>
          <w:sz w:val="21"/>
          <w:szCs w:val="21"/>
          <w:highlight w:val="none"/>
        </w:rPr>
        <w:t>.</w:t>
      </w:r>
      <w:r>
        <w:rPr>
          <w:rFonts w:hint="default" w:ascii="Times New Roman" w:hAnsi="Times New Roman" w:cs="Times New Roman"/>
          <w:color w:val="auto"/>
          <w:kern w:val="0"/>
          <w:sz w:val="21"/>
          <w:szCs w:val="21"/>
          <w:highlight w:val="none"/>
          <w:lang w:val="en-US" w:eastAsia="zh-CN"/>
        </w:rPr>
        <w:t xml:space="preserve"> </w:t>
      </w:r>
      <w:r>
        <w:rPr>
          <w:rFonts w:hint="default" w:ascii="Times New Roman" w:hAnsi="Times New Roman" w:cs="Times New Roman"/>
          <w:color w:val="auto"/>
          <w:kern w:val="0"/>
          <w:sz w:val="21"/>
          <w:szCs w:val="21"/>
          <w:highlight w:val="none"/>
          <w:u w:val="none"/>
          <w:lang w:val="en-US" w:eastAsia="zh-CN"/>
        </w:rPr>
        <w:fldChar w:fldCharType="begin"/>
      </w:r>
      <w:r>
        <w:rPr>
          <w:rFonts w:hint="default" w:ascii="Times New Roman" w:hAnsi="Times New Roman" w:cs="Times New Roman"/>
          <w:color w:val="auto"/>
          <w:kern w:val="0"/>
          <w:sz w:val="21"/>
          <w:szCs w:val="21"/>
          <w:highlight w:val="none"/>
          <w:u w:val="none"/>
          <w:lang w:val="en-US" w:eastAsia="zh-CN"/>
        </w:rPr>
        <w:instrText xml:space="preserve"> HYPERLINK "https://doi.org/10.1016/j.aap.2020.105694" </w:instrText>
      </w:r>
      <w:r>
        <w:rPr>
          <w:rFonts w:hint="default" w:ascii="Times New Roman" w:hAnsi="Times New Roman" w:cs="Times New Roman"/>
          <w:color w:val="auto"/>
          <w:kern w:val="0"/>
          <w:sz w:val="21"/>
          <w:szCs w:val="21"/>
          <w:highlight w:val="none"/>
          <w:u w:val="none"/>
          <w:lang w:val="en-US" w:eastAsia="zh-CN"/>
        </w:rPr>
        <w:fldChar w:fldCharType="separate"/>
      </w:r>
      <w:r>
        <w:rPr>
          <w:rStyle w:val="8"/>
          <w:rFonts w:hint="default" w:ascii="Times New Roman" w:hAnsi="Times New Roman" w:cs="Times New Roman"/>
          <w:color w:val="auto"/>
          <w:kern w:val="0"/>
          <w:sz w:val="21"/>
          <w:szCs w:val="21"/>
          <w:highlight w:val="none"/>
          <w:u w:val="none"/>
          <w:lang w:val="en-US" w:eastAsia="zh-CN"/>
        </w:rPr>
        <w:t>https://doi.org/10.1016/j.aap.2020.105694</w:t>
      </w:r>
      <w:r>
        <w:rPr>
          <w:rFonts w:hint="default" w:ascii="Times New Roman" w:hAnsi="Times New Roman" w:cs="Times New Roman"/>
          <w:color w:val="auto"/>
          <w:kern w:val="0"/>
          <w:sz w:val="21"/>
          <w:szCs w:val="21"/>
          <w:highlight w:val="none"/>
          <w:u w:val="none"/>
          <w:lang w:val="en-US" w:eastAsia="zh-CN"/>
        </w:rPr>
        <w:fldChar w:fldCharType="end"/>
      </w:r>
    </w:p>
    <w:p w14:paraId="34CAE9FC">
      <w:pPr>
        <w:keepNext w:val="0"/>
        <w:keepLines w:val="0"/>
        <w:pageBreakBefore w:val="0"/>
        <w:widowControl w:val="0"/>
        <w:kinsoku/>
        <w:wordWrap/>
        <w:overflowPunct/>
        <w:topLinePunct w:val="0"/>
        <w:autoSpaceDE w:val="0"/>
        <w:autoSpaceDN w:val="0"/>
        <w:bidi w:val="0"/>
        <w:adjustRightInd w:val="0"/>
        <w:snapToGrid/>
        <w:spacing w:line="240" w:lineRule="auto"/>
        <w:ind w:left="360" w:hanging="420" w:hangingChars="200"/>
        <w:textAlignment w:val="auto"/>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Salancik, G. R., &amp; Meindl, J. R. (1984).Corporate Attributions as Strategic illusions of Management Control.</w:t>
      </w:r>
      <w:r>
        <w:rPr>
          <w:rFonts w:hint="default" w:ascii="Times New Roman" w:hAnsi="Times New Roman" w:cs="Times New Roman"/>
          <w:i/>
          <w:iCs/>
          <w:color w:val="auto"/>
          <w:sz w:val="21"/>
          <w:szCs w:val="21"/>
          <w:highlight w:val="none"/>
        </w:rPr>
        <w:t>Administrative Science Quarterly,299</w:t>
      </w:r>
      <w:r>
        <w:rPr>
          <w:rFonts w:hint="default" w:ascii="Times New Roman" w:hAnsi="Times New Roman" w:cs="Times New Roman"/>
          <w:color w:val="auto"/>
          <w:sz w:val="21"/>
          <w:szCs w:val="21"/>
          <w:highlight w:val="none"/>
        </w:rPr>
        <w:t>(02): 238-254</w:t>
      </w:r>
      <w:r>
        <w:rPr>
          <w:rFonts w:hint="default" w:ascii="Times New Roman" w:hAnsi="Times New Roman" w:cs="Times New Roman"/>
          <w:color w:val="auto"/>
          <w:sz w:val="21"/>
          <w:szCs w:val="21"/>
          <w:highlight w:val="none"/>
          <w:lang w:val="en-US" w:eastAsia="zh-CN"/>
        </w:rPr>
        <w:t>.</w:t>
      </w:r>
      <w:r>
        <w:rPr>
          <w:rFonts w:hint="default" w:ascii="Times New Roman" w:hAnsi="Times New Roman" w:cs="Times New Roman"/>
          <w:color w:val="auto"/>
          <w:sz w:val="21"/>
          <w:szCs w:val="21"/>
          <w:highlight w:val="none"/>
          <w:u w:val="none"/>
          <w:lang w:val="en-US" w:eastAsia="zh-CN"/>
        </w:rPr>
        <w:t xml:space="preserve"> </w:t>
      </w:r>
      <w:r>
        <w:rPr>
          <w:rFonts w:hint="default" w:ascii="Times New Roman" w:hAnsi="Times New Roman" w:eastAsia="宋体" w:cs="Times New Roman"/>
          <w:color w:val="auto"/>
          <w:kern w:val="0"/>
          <w:sz w:val="21"/>
          <w:szCs w:val="21"/>
          <w:highlight w:val="none"/>
          <w:u w:val="none"/>
          <w:lang w:val="en-US" w:eastAsia="zh-CN"/>
        </w:rPr>
        <w:fldChar w:fldCharType="begin"/>
      </w:r>
      <w:r>
        <w:rPr>
          <w:rFonts w:hint="default" w:ascii="Times New Roman" w:hAnsi="Times New Roman" w:eastAsia="宋体" w:cs="Times New Roman"/>
          <w:color w:val="auto"/>
          <w:kern w:val="0"/>
          <w:sz w:val="21"/>
          <w:szCs w:val="21"/>
          <w:highlight w:val="none"/>
          <w:u w:val="none"/>
          <w:lang w:val="en-US" w:eastAsia="zh-CN"/>
        </w:rPr>
        <w:instrText xml:space="preserve"> HYPERLINK "https://doi.org/10.2307/2393176" </w:instrText>
      </w:r>
      <w:r>
        <w:rPr>
          <w:rFonts w:hint="default" w:ascii="Times New Roman" w:hAnsi="Times New Roman" w:eastAsia="宋体" w:cs="Times New Roman"/>
          <w:color w:val="auto"/>
          <w:kern w:val="0"/>
          <w:sz w:val="21"/>
          <w:szCs w:val="21"/>
          <w:highlight w:val="none"/>
          <w:u w:val="none"/>
          <w:lang w:val="en-US" w:eastAsia="zh-CN"/>
        </w:rPr>
        <w:fldChar w:fldCharType="separate"/>
      </w:r>
      <w:r>
        <w:rPr>
          <w:rStyle w:val="8"/>
          <w:rFonts w:hint="default" w:ascii="Times New Roman" w:hAnsi="Times New Roman" w:eastAsia="宋体" w:cs="Times New Roman"/>
          <w:color w:val="auto"/>
          <w:kern w:val="0"/>
          <w:sz w:val="21"/>
          <w:szCs w:val="21"/>
          <w:highlight w:val="none"/>
          <w:u w:val="none"/>
          <w:lang w:val="en-US" w:eastAsia="zh-CN"/>
        </w:rPr>
        <w:t>https://doi.org/10.2307/2393176</w:t>
      </w:r>
      <w:r>
        <w:rPr>
          <w:rFonts w:hint="default" w:ascii="Times New Roman" w:hAnsi="Times New Roman" w:eastAsia="宋体" w:cs="Times New Roman"/>
          <w:color w:val="auto"/>
          <w:kern w:val="0"/>
          <w:sz w:val="21"/>
          <w:szCs w:val="21"/>
          <w:highlight w:val="none"/>
          <w:u w:val="none"/>
          <w:lang w:val="en-US" w:eastAsia="zh-CN"/>
        </w:rPr>
        <w:fldChar w:fldCharType="end"/>
      </w:r>
      <w:r>
        <w:rPr>
          <w:rFonts w:hint="default" w:ascii="Times New Roman" w:hAnsi="Times New Roman" w:eastAsia="宋体" w:cs="Times New Roman"/>
          <w:color w:val="auto"/>
          <w:kern w:val="0"/>
          <w:sz w:val="21"/>
          <w:szCs w:val="21"/>
          <w:highlight w:val="none"/>
          <w:u w:val="none"/>
          <w:lang w:val="en-US" w:eastAsia="zh-CN"/>
        </w:rPr>
        <w:t xml:space="preserve"> </w:t>
      </w:r>
    </w:p>
    <w:p w14:paraId="0A27B8FF">
      <w:pPr>
        <w:keepNext w:val="0"/>
        <w:keepLines w:val="0"/>
        <w:pageBreakBefore w:val="0"/>
        <w:widowControl w:val="0"/>
        <w:kinsoku/>
        <w:wordWrap/>
        <w:overflowPunct/>
        <w:topLinePunct w:val="0"/>
        <w:autoSpaceDE w:val="0"/>
        <w:autoSpaceDN w:val="0"/>
        <w:bidi w:val="0"/>
        <w:adjustRightInd w:val="0"/>
        <w:snapToGrid/>
        <w:spacing w:line="240" w:lineRule="auto"/>
        <w:ind w:left="360" w:hanging="420" w:hangingChars="200"/>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rPr>
        <w:t>Warr, P., Cook, J., &amp; Wall, T. (1979).Scales for the measurement of some work attitudes and aspects of psychological well‐being.</w:t>
      </w:r>
      <w:r>
        <w:rPr>
          <w:rFonts w:hint="default" w:ascii="Times New Roman" w:hAnsi="Times New Roman" w:cs="Times New Roman"/>
          <w:i/>
          <w:iCs/>
          <w:color w:val="auto"/>
          <w:kern w:val="0"/>
          <w:sz w:val="21"/>
          <w:szCs w:val="21"/>
          <w:highlight w:val="none"/>
        </w:rPr>
        <w:t>Journal of occupational Psychology,52</w:t>
      </w:r>
      <w:r>
        <w:rPr>
          <w:rFonts w:hint="default" w:ascii="Times New Roman" w:hAnsi="Times New Roman" w:cs="Times New Roman"/>
          <w:color w:val="auto"/>
          <w:kern w:val="0"/>
          <w:sz w:val="21"/>
          <w:szCs w:val="21"/>
          <w:highlight w:val="none"/>
        </w:rPr>
        <w:t>(2),129-148.</w:t>
      </w:r>
      <w:r>
        <w:rPr>
          <w:rFonts w:hint="default" w:ascii="Times New Roman" w:hAnsi="Times New Roman" w:cs="Times New Roman"/>
          <w:color w:val="auto"/>
          <w:kern w:val="0"/>
          <w:sz w:val="21"/>
          <w:szCs w:val="21"/>
          <w:highlight w:val="none"/>
          <w:lang w:val="en-US" w:eastAsia="zh-CN"/>
        </w:rPr>
        <w:t xml:space="preserve">  </w:t>
      </w:r>
      <w:r>
        <w:rPr>
          <w:rFonts w:hint="default" w:ascii="Times New Roman" w:hAnsi="Times New Roman" w:cs="Times New Roman"/>
          <w:color w:val="auto"/>
          <w:kern w:val="0"/>
          <w:sz w:val="21"/>
          <w:szCs w:val="21"/>
          <w:highlight w:val="none"/>
          <w:u w:val="none"/>
          <w:lang w:val="en-US" w:eastAsia="zh-CN"/>
        </w:rPr>
        <w:fldChar w:fldCharType="begin"/>
      </w:r>
      <w:r>
        <w:rPr>
          <w:rFonts w:hint="default" w:ascii="Times New Roman" w:hAnsi="Times New Roman" w:cs="Times New Roman"/>
          <w:color w:val="auto"/>
          <w:kern w:val="0"/>
          <w:sz w:val="21"/>
          <w:szCs w:val="21"/>
          <w:highlight w:val="none"/>
          <w:u w:val="none"/>
          <w:lang w:val="en-US" w:eastAsia="zh-CN"/>
        </w:rPr>
        <w:instrText xml:space="preserve"> HYPERLINK "https://doi.org/10.1111/j.2044-8325.1979.tb00448.x" </w:instrText>
      </w:r>
      <w:r>
        <w:rPr>
          <w:rFonts w:hint="default" w:ascii="Times New Roman" w:hAnsi="Times New Roman" w:cs="Times New Roman"/>
          <w:color w:val="auto"/>
          <w:kern w:val="0"/>
          <w:sz w:val="21"/>
          <w:szCs w:val="21"/>
          <w:highlight w:val="none"/>
          <w:u w:val="none"/>
          <w:lang w:val="en-US" w:eastAsia="zh-CN"/>
        </w:rPr>
        <w:fldChar w:fldCharType="separate"/>
      </w:r>
      <w:r>
        <w:rPr>
          <w:rStyle w:val="8"/>
          <w:rFonts w:hint="default" w:ascii="Times New Roman" w:hAnsi="Times New Roman" w:cs="Times New Roman"/>
          <w:color w:val="auto"/>
          <w:kern w:val="0"/>
          <w:sz w:val="21"/>
          <w:szCs w:val="21"/>
          <w:highlight w:val="none"/>
          <w:u w:val="none"/>
          <w:lang w:val="en-US" w:eastAsia="zh-CN"/>
        </w:rPr>
        <w:t>https://doi.org/10.1111/j.2044-8325.1979.tb00448.x</w:t>
      </w:r>
      <w:r>
        <w:rPr>
          <w:rFonts w:hint="default" w:ascii="Times New Roman" w:hAnsi="Times New Roman" w:cs="Times New Roman"/>
          <w:color w:val="auto"/>
          <w:kern w:val="0"/>
          <w:sz w:val="21"/>
          <w:szCs w:val="21"/>
          <w:highlight w:val="none"/>
          <w:u w:val="none"/>
          <w:lang w:val="en-US" w:eastAsia="zh-CN"/>
        </w:rPr>
        <w:fldChar w:fldCharType="end"/>
      </w:r>
      <w:r>
        <w:rPr>
          <w:rFonts w:hint="default" w:ascii="Times New Roman" w:hAnsi="Times New Roman" w:cs="Times New Roman"/>
          <w:color w:val="auto"/>
          <w:kern w:val="0"/>
          <w:sz w:val="21"/>
          <w:szCs w:val="21"/>
          <w:highlight w:val="none"/>
          <w:lang w:val="en-US" w:eastAsia="zh-CN"/>
        </w:rPr>
        <w:t xml:space="preserve"> </w:t>
      </w:r>
    </w:p>
    <w:p w14:paraId="0ED37385">
      <w:pPr>
        <w:keepNext w:val="0"/>
        <w:keepLines w:val="0"/>
        <w:pageBreakBefore w:val="0"/>
        <w:widowControl w:val="0"/>
        <w:kinsoku/>
        <w:wordWrap/>
        <w:overflowPunct/>
        <w:topLinePunct w:val="0"/>
        <w:autoSpaceDE w:val="0"/>
        <w:autoSpaceDN w:val="0"/>
        <w:bidi w:val="0"/>
        <w:adjustRightInd w:val="0"/>
        <w:snapToGrid/>
        <w:spacing w:line="240" w:lineRule="auto"/>
        <w:ind w:left="360" w:hanging="420" w:hangingChars="200"/>
        <w:textAlignment w:val="auto"/>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Weigel, C., Derfuss, K., &amp; Hiebl, M. R. W. (2023).Financial managers and organizational ambidexterity in the German Mittelstand: the moderating role of strategy involvement.</w:t>
      </w:r>
      <w:r>
        <w:rPr>
          <w:rFonts w:hint="default" w:ascii="Times New Roman" w:hAnsi="Times New Roman" w:cs="Times New Roman"/>
          <w:i/>
          <w:iCs/>
          <w:color w:val="auto"/>
          <w:kern w:val="0"/>
          <w:sz w:val="21"/>
          <w:szCs w:val="21"/>
          <w:highlight w:val="none"/>
        </w:rPr>
        <w:t>Review of Managerial Science,17</w:t>
      </w:r>
      <w:r>
        <w:rPr>
          <w:rFonts w:hint="default" w:ascii="Times New Roman" w:hAnsi="Times New Roman" w:cs="Times New Roman"/>
          <w:color w:val="auto"/>
          <w:kern w:val="0"/>
          <w:sz w:val="21"/>
          <w:szCs w:val="21"/>
          <w:highlight w:val="none"/>
        </w:rPr>
        <w:t>,569-605.</w:t>
      </w:r>
      <w:r>
        <w:rPr>
          <w:rFonts w:hint="default" w:ascii="Times New Roman" w:hAnsi="Times New Roman" w:cs="Times New Roman"/>
          <w:color w:val="auto"/>
          <w:kern w:val="0"/>
          <w:sz w:val="21"/>
          <w:szCs w:val="21"/>
          <w:highlight w:val="none"/>
          <w:lang w:val="en-US" w:eastAsia="zh-CN"/>
        </w:rPr>
        <w:t xml:space="preserve"> </w:t>
      </w:r>
      <w:r>
        <w:rPr>
          <w:rFonts w:hint="default" w:ascii="Times New Roman" w:hAnsi="Times New Roman" w:cs="Times New Roman"/>
          <w:color w:val="auto"/>
          <w:kern w:val="0"/>
          <w:sz w:val="21"/>
          <w:szCs w:val="21"/>
          <w:highlight w:val="none"/>
          <w:u w:val="none"/>
        </w:rPr>
        <w:fldChar w:fldCharType="begin"/>
      </w:r>
      <w:r>
        <w:rPr>
          <w:rFonts w:hint="default" w:ascii="Times New Roman" w:hAnsi="Times New Roman" w:cs="Times New Roman"/>
          <w:color w:val="auto"/>
          <w:kern w:val="0"/>
          <w:sz w:val="21"/>
          <w:szCs w:val="21"/>
          <w:highlight w:val="none"/>
          <w:u w:val="none"/>
        </w:rPr>
        <w:instrText xml:space="preserve"> HYPERLINK "https://doi.org/10.1007/s11846-022-00534-8" </w:instrText>
      </w:r>
      <w:r>
        <w:rPr>
          <w:rFonts w:hint="default" w:ascii="Times New Roman" w:hAnsi="Times New Roman" w:cs="Times New Roman"/>
          <w:color w:val="auto"/>
          <w:kern w:val="0"/>
          <w:sz w:val="21"/>
          <w:szCs w:val="21"/>
          <w:highlight w:val="none"/>
          <w:u w:val="none"/>
        </w:rPr>
        <w:fldChar w:fldCharType="separate"/>
      </w:r>
      <w:r>
        <w:rPr>
          <w:rStyle w:val="8"/>
          <w:rFonts w:hint="default" w:ascii="Times New Roman" w:hAnsi="Times New Roman" w:cs="Times New Roman"/>
          <w:color w:val="auto"/>
          <w:kern w:val="0"/>
          <w:sz w:val="21"/>
          <w:szCs w:val="21"/>
          <w:highlight w:val="none"/>
          <w:u w:val="none"/>
        </w:rPr>
        <w:t>https://doi.org/10.1007/s11846-022-00534-8</w:t>
      </w:r>
      <w:r>
        <w:rPr>
          <w:rFonts w:hint="default" w:ascii="Times New Roman" w:hAnsi="Times New Roman" w:cs="Times New Roman"/>
          <w:color w:val="auto"/>
          <w:kern w:val="0"/>
          <w:sz w:val="21"/>
          <w:szCs w:val="21"/>
          <w:highlight w:val="none"/>
          <w:u w:val="none"/>
        </w:rPr>
        <w:fldChar w:fldCharType="end"/>
      </w:r>
      <w:r>
        <w:rPr>
          <w:rFonts w:hint="default" w:ascii="Times New Roman" w:hAnsi="Times New Roman" w:cs="Times New Roman"/>
          <w:color w:val="auto"/>
          <w:kern w:val="0"/>
          <w:sz w:val="21"/>
          <w:szCs w:val="21"/>
          <w:highlight w:val="none"/>
          <w:lang w:val="en-US" w:eastAsia="zh-CN"/>
        </w:rPr>
        <w:t xml:space="preserve"> </w:t>
      </w:r>
    </w:p>
    <w:p w14:paraId="1185CA80">
      <w:pPr>
        <w:keepNext w:val="0"/>
        <w:keepLines w:val="0"/>
        <w:pageBreakBefore w:val="0"/>
        <w:widowControl w:val="0"/>
        <w:kinsoku/>
        <w:wordWrap/>
        <w:overflowPunct/>
        <w:topLinePunct w:val="0"/>
        <w:autoSpaceDE w:val="0"/>
        <w:autoSpaceDN w:val="0"/>
        <w:bidi w:val="0"/>
        <w:adjustRightInd w:val="0"/>
        <w:snapToGrid/>
        <w:spacing w:line="240" w:lineRule="auto"/>
        <w:ind w:left="360" w:hanging="420" w:hangingChars="200"/>
        <w:textAlignment w:val="auto"/>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Wei, Z. (2018).The Effect of Manager Overconfidence on Capital Structure.</w:t>
      </w:r>
      <w:r>
        <w:rPr>
          <w:rFonts w:hint="default" w:ascii="Times New Roman" w:hAnsi="Times New Roman" w:cs="Times New Roman"/>
          <w:i/>
          <w:iCs/>
          <w:color w:val="auto"/>
          <w:kern w:val="0"/>
          <w:sz w:val="21"/>
          <w:szCs w:val="21"/>
          <w:highlight w:val="none"/>
        </w:rPr>
        <w:t>Journal of Industrial Technological Economics,(6)</w:t>
      </w:r>
      <w:r>
        <w:rPr>
          <w:rFonts w:hint="default" w:ascii="Times New Roman" w:hAnsi="Times New Roman" w:cs="Times New Roman"/>
          <w:color w:val="auto"/>
          <w:kern w:val="0"/>
          <w:sz w:val="21"/>
          <w:szCs w:val="21"/>
          <w:highlight w:val="none"/>
        </w:rPr>
        <w:t>,3-12.[In Chinese].</w:t>
      </w:r>
    </w:p>
    <w:p w14:paraId="67BFB352">
      <w:pPr>
        <w:keepNext w:val="0"/>
        <w:keepLines w:val="0"/>
        <w:pageBreakBefore w:val="0"/>
        <w:widowControl w:val="0"/>
        <w:kinsoku/>
        <w:wordWrap/>
        <w:overflowPunct/>
        <w:topLinePunct w:val="0"/>
        <w:autoSpaceDE w:val="0"/>
        <w:autoSpaceDN w:val="0"/>
        <w:bidi w:val="0"/>
        <w:adjustRightInd w:val="0"/>
        <w:snapToGrid/>
        <w:spacing w:line="240" w:lineRule="auto"/>
        <w:ind w:left="360" w:hanging="420" w:hangingChars="200"/>
        <w:textAlignment w:val="auto"/>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Wei, Z., Li</w:t>
      </w:r>
      <w:bookmarkStart w:id="0" w:name="_GoBack"/>
      <w:bookmarkEnd w:id="0"/>
      <w:r>
        <w:rPr>
          <w:rFonts w:hint="default" w:ascii="Times New Roman" w:hAnsi="Times New Roman" w:cs="Times New Roman"/>
          <w:color w:val="auto"/>
          <w:kern w:val="0"/>
          <w:sz w:val="21"/>
          <w:szCs w:val="21"/>
          <w:highlight w:val="none"/>
        </w:rPr>
        <w:t>u, W., &amp; Ding, B. (2024).Executive Overseas Background and Direct Investment in Tax Havens.</w:t>
      </w:r>
      <w:r>
        <w:rPr>
          <w:rFonts w:hint="default" w:ascii="Times New Roman" w:hAnsi="Times New Roman" w:cs="Times New Roman"/>
          <w:i/>
          <w:iCs/>
          <w:color w:val="auto"/>
          <w:kern w:val="0"/>
          <w:sz w:val="21"/>
          <w:szCs w:val="21"/>
          <w:highlight w:val="none"/>
        </w:rPr>
        <w:t>China Economic Studies,</w:t>
      </w:r>
      <w:r>
        <w:rPr>
          <w:rFonts w:hint="default" w:ascii="Times New Roman" w:hAnsi="Times New Roman" w:cs="Times New Roman"/>
          <w:color w:val="auto"/>
          <w:kern w:val="0"/>
          <w:sz w:val="21"/>
          <w:szCs w:val="21"/>
          <w:highlight w:val="none"/>
        </w:rPr>
        <w:t>(1),46-61.[In Chinese].</w:t>
      </w:r>
    </w:p>
    <w:p w14:paraId="4B969636">
      <w:pPr>
        <w:rPr>
          <w:rFonts w:hint="default" w:ascii="Times New Roman" w:hAnsi="Times New Roman" w:cs="Times New Roman"/>
          <w:color w:val="auto"/>
          <w:sz w:val="21"/>
          <w:szCs w:val="21"/>
          <w:highlight w:val="none"/>
          <w:lang w:val="en-US" w:eastAsia="zh-CN"/>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Georgia">
    <w:panose1 w:val="02040502050405020303"/>
    <w:charset w:val="00"/>
    <w:family w:val="roman"/>
    <w:pitch w:val="default"/>
    <w:sig w:usb0="00000287" w:usb1="00000000" w:usb2="00000000" w:usb3="00000000" w:csb0="2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D4637C">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0B1260">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80B1260">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6285C0">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7B77F1"/>
    <w:multiLevelType w:val="singleLevel"/>
    <w:tmpl w:val="A17B77F1"/>
    <w:lvl w:ilvl="0" w:tentative="0">
      <w:start w:val="3"/>
      <w:numFmt w:val="decimal"/>
      <w:suff w:val="space"/>
      <w:lvlText w:val="%1."/>
      <w:lvlJc w:val="left"/>
    </w:lvl>
  </w:abstractNum>
  <w:abstractNum w:abstractNumId="1">
    <w:nsid w:val="0A02E2B8"/>
    <w:multiLevelType w:val="multilevel"/>
    <w:tmpl w:val="0A02E2B8"/>
    <w:lvl w:ilvl="0" w:tentative="0">
      <w:start w:val="1"/>
      <w:numFmt w:val="bullet"/>
      <w:lvlText w:val=""/>
      <w:lvlJc w:val="left"/>
      <w:pPr>
        <w:tabs>
          <w:tab w:val="left" w:pos="0"/>
        </w:tabs>
        <w:ind w:left="720" w:hanging="360"/>
      </w:pPr>
      <w:rPr>
        <w:rFonts w:hint="default" w:ascii="Symbol" w:hAnsi="Symbol" w:cs="Symbol"/>
        <w:sz w:val="18"/>
        <w:szCs w:val="18"/>
      </w:rPr>
    </w:lvl>
    <w:lvl w:ilvl="1" w:tentative="0">
      <w:start w:val="1"/>
      <w:numFmt w:val="bullet"/>
      <w:lvlText w:val="o"/>
      <w:lvlJc w:val="left"/>
      <w:pPr>
        <w:tabs>
          <w:tab w:val="left" w:pos="0"/>
        </w:tabs>
        <w:ind w:left="1440" w:hanging="360"/>
      </w:pPr>
      <w:rPr>
        <w:rFonts w:hint="default" w:ascii="Courier New" w:hAnsi="Courier New" w:cs="Courier New"/>
      </w:rPr>
    </w:lvl>
    <w:lvl w:ilvl="2" w:tentative="0">
      <w:start w:val="1"/>
      <w:numFmt w:val="bullet"/>
      <w:lvlText w:val=""/>
      <w:lvlJc w:val="left"/>
      <w:pPr>
        <w:tabs>
          <w:tab w:val="left" w:pos="0"/>
        </w:tabs>
        <w:ind w:left="2160" w:hanging="360"/>
      </w:pPr>
      <w:rPr>
        <w:rFonts w:hint="default" w:ascii="Wingdings" w:hAnsi="Wingdings" w:cs="Wingdings"/>
      </w:rPr>
    </w:lvl>
    <w:lvl w:ilvl="3" w:tentative="0">
      <w:start w:val="1"/>
      <w:numFmt w:val="bullet"/>
      <w:lvlText w:val=""/>
      <w:lvlJc w:val="left"/>
      <w:pPr>
        <w:tabs>
          <w:tab w:val="left" w:pos="0"/>
        </w:tabs>
        <w:ind w:left="2880" w:hanging="360"/>
      </w:pPr>
      <w:rPr>
        <w:rFonts w:hint="default" w:ascii="Symbol" w:hAnsi="Symbol" w:cs="Symbol"/>
      </w:rPr>
    </w:lvl>
    <w:lvl w:ilvl="4" w:tentative="0">
      <w:start w:val="1"/>
      <w:numFmt w:val="bullet"/>
      <w:lvlText w:val="o"/>
      <w:lvlJc w:val="left"/>
      <w:pPr>
        <w:tabs>
          <w:tab w:val="left" w:pos="0"/>
        </w:tabs>
        <w:ind w:left="3600" w:hanging="360"/>
      </w:pPr>
      <w:rPr>
        <w:rFonts w:hint="default" w:ascii="Courier New" w:hAnsi="Courier New" w:cs="Courier New"/>
      </w:rPr>
    </w:lvl>
    <w:lvl w:ilvl="5" w:tentative="0">
      <w:start w:val="1"/>
      <w:numFmt w:val="bullet"/>
      <w:lvlText w:val=""/>
      <w:lvlJc w:val="left"/>
      <w:pPr>
        <w:tabs>
          <w:tab w:val="left" w:pos="0"/>
        </w:tabs>
        <w:ind w:left="4320" w:hanging="360"/>
      </w:pPr>
      <w:rPr>
        <w:rFonts w:hint="default" w:ascii="Wingdings" w:hAnsi="Wingdings" w:cs="Wingdings"/>
      </w:rPr>
    </w:lvl>
    <w:lvl w:ilvl="6" w:tentative="0">
      <w:start w:val="1"/>
      <w:numFmt w:val="bullet"/>
      <w:lvlText w:val=""/>
      <w:lvlJc w:val="left"/>
      <w:pPr>
        <w:tabs>
          <w:tab w:val="left" w:pos="0"/>
        </w:tabs>
        <w:ind w:left="5040" w:hanging="360"/>
      </w:pPr>
      <w:rPr>
        <w:rFonts w:hint="default" w:ascii="Symbol" w:hAnsi="Symbol" w:cs="Symbol"/>
      </w:rPr>
    </w:lvl>
    <w:lvl w:ilvl="7" w:tentative="0">
      <w:start w:val="1"/>
      <w:numFmt w:val="bullet"/>
      <w:lvlText w:val="o"/>
      <w:lvlJc w:val="left"/>
      <w:pPr>
        <w:tabs>
          <w:tab w:val="left" w:pos="0"/>
        </w:tabs>
        <w:ind w:left="5760" w:hanging="360"/>
      </w:pPr>
      <w:rPr>
        <w:rFonts w:hint="default" w:ascii="Courier New" w:hAnsi="Courier New" w:cs="Courier New"/>
      </w:rPr>
    </w:lvl>
    <w:lvl w:ilvl="8" w:tentative="0">
      <w:start w:val="1"/>
      <w:numFmt w:val="bullet"/>
      <w:lvlText w:val=""/>
      <w:lvlJc w:val="left"/>
      <w:pPr>
        <w:tabs>
          <w:tab w:val="left" w:pos="0"/>
        </w:tabs>
        <w:ind w:left="6480" w:hanging="360"/>
      </w:pPr>
      <w:rPr>
        <w:rFonts w:hint="default" w:ascii="Wingdings" w:hAnsi="Wingdings" w:cs="Wingdings"/>
      </w:rPr>
    </w:lvl>
  </w:abstractNum>
  <w:abstractNum w:abstractNumId="2">
    <w:nsid w:val="11A575F4"/>
    <w:multiLevelType w:val="multilevel"/>
    <w:tmpl w:val="11A575F4"/>
    <w:lvl w:ilvl="0" w:tentative="0">
      <w:start w:val="1"/>
      <w:numFmt w:val="bullet"/>
      <w:lvlText w:val=""/>
      <w:lvlJc w:val="left"/>
      <w:pPr>
        <w:ind w:left="720" w:hanging="360"/>
      </w:pPr>
      <w:rPr>
        <w:rFonts w:hint="default" w:ascii="Symbol" w:hAnsi="Symbol" w:cs="Symbol"/>
        <w:sz w:val="18"/>
        <w:szCs w:val="18"/>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cs="Wingdings"/>
      </w:rPr>
    </w:lvl>
    <w:lvl w:ilvl="3" w:tentative="0">
      <w:start w:val="1"/>
      <w:numFmt w:val="bullet"/>
      <w:lvlText w:val=""/>
      <w:lvlJc w:val="left"/>
      <w:pPr>
        <w:ind w:left="2880" w:hanging="360"/>
      </w:pPr>
      <w:rPr>
        <w:rFonts w:hint="default" w:ascii="Symbol" w:hAnsi="Symbol" w:cs="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cs="Wingdings"/>
      </w:rPr>
    </w:lvl>
    <w:lvl w:ilvl="6" w:tentative="0">
      <w:start w:val="1"/>
      <w:numFmt w:val="bullet"/>
      <w:lvlText w:val=""/>
      <w:lvlJc w:val="left"/>
      <w:pPr>
        <w:ind w:left="5040" w:hanging="360"/>
      </w:pPr>
      <w:rPr>
        <w:rFonts w:hint="default" w:ascii="Symbol" w:hAnsi="Symbol" w:cs="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cs="Wingdings"/>
      </w:rPr>
    </w:lvl>
  </w:abstractNum>
  <w:abstractNum w:abstractNumId="3">
    <w:nsid w:val="20103638"/>
    <w:multiLevelType w:val="multilevel"/>
    <w:tmpl w:val="20103638"/>
    <w:lvl w:ilvl="0" w:tentative="0">
      <w:start w:val="1"/>
      <w:numFmt w:val="bullet"/>
      <w:lvlText w:val=""/>
      <w:lvlJc w:val="left"/>
      <w:pPr>
        <w:ind w:left="720" w:hanging="360"/>
      </w:pPr>
      <w:rPr>
        <w:rFonts w:hint="default" w:ascii="Symbol" w:hAnsi="Symbol" w:cs="Symbol"/>
        <w:color w:val="auto"/>
        <w:sz w:val="18"/>
        <w:szCs w:val="18"/>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
    <w:nsid w:val="28934670"/>
    <w:multiLevelType w:val="multilevel"/>
    <w:tmpl w:val="28934670"/>
    <w:lvl w:ilvl="0" w:tentative="0">
      <w:start w:val="1"/>
      <w:numFmt w:val="bullet"/>
      <w:lvlText w:val=""/>
      <w:lvlJc w:val="left"/>
      <w:pPr>
        <w:ind w:left="720" w:hanging="360"/>
      </w:pPr>
      <w:rPr>
        <w:rFonts w:hint="default" w:ascii="Symbol" w:hAnsi="Symbol" w:cs="Symbol"/>
        <w:color w:val="auto"/>
        <w:sz w:val="18"/>
        <w:szCs w:val="18"/>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5">
    <w:nsid w:val="2B755F72"/>
    <w:multiLevelType w:val="multilevel"/>
    <w:tmpl w:val="2B755F72"/>
    <w:lvl w:ilvl="0" w:tentative="0">
      <w:start w:val="1"/>
      <w:numFmt w:val="bullet"/>
      <w:lvlText w:val=""/>
      <w:lvlJc w:val="left"/>
      <w:pPr>
        <w:ind w:left="720" w:hanging="360"/>
      </w:pPr>
      <w:rPr>
        <w:rFonts w:hint="default" w:ascii="Symbol" w:hAnsi="Symbol" w:cs="Symbol"/>
        <w:color w:val="auto"/>
        <w:sz w:val="18"/>
        <w:szCs w:val="18"/>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6">
    <w:nsid w:val="39C03140"/>
    <w:multiLevelType w:val="multilevel"/>
    <w:tmpl w:val="39C03140"/>
    <w:lvl w:ilvl="0" w:tentative="0">
      <w:start w:val="1"/>
      <w:numFmt w:val="bullet"/>
      <w:lvlText w:val=""/>
      <w:lvlJc w:val="left"/>
      <w:pPr>
        <w:ind w:left="720" w:hanging="360"/>
      </w:pPr>
      <w:rPr>
        <w:rFonts w:hint="default" w:ascii="Symbol" w:hAnsi="Symbol" w:cs="Symbol"/>
        <w:color w:val="auto"/>
        <w:sz w:val="18"/>
        <w:szCs w:val="18"/>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7">
    <w:nsid w:val="7730447D"/>
    <w:multiLevelType w:val="multilevel"/>
    <w:tmpl w:val="7730447D"/>
    <w:lvl w:ilvl="0" w:tentative="0">
      <w:start w:val="1"/>
      <w:numFmt w:val="bullet"/>
      <w:lvlText w:val=""/>
      <w:lvlJc w:val="left"/>
      <w:pPr>
        <w:ind w:left="720" w:hanging="360"/>
      </w:pPr>
      <w:rPr>
        <w:rFonts w:hint="default" w:ascii="Symbol" w:hAnsi="Symbol" w:cs="Symbol"/>
        <w:color w:val="auto"/>
        <w:sz w:val="18"/>
        <w:szCs w:val="18"/>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8">
    <w:nsid w:val="79574182"/>
    <w:multiLevelType w:val="multilevel"/>
    <w:tmpl w:val="79574182"/>
    <w:lvl w:ilvl="0" w:tentative="0">
      <w:start w:val="1"/>
      <w:numFmt w:val="bullet"/>
      <w:lvlText w:val=""/>
      <w:lvlJc w:val="left"/>
      <w:pPr>
        <w:ind w:left="720" w:hanging="360"/>
      </w:pPr>
      <w:rPr>
        <w:rFonts w:hint="default" w:ascii="Symbol" w:hAnsi="Symbol" w:cs="Symbol"/>
        <w:color w:val="auto"/>
        <w:sz w:val="18"/>
        <w:szCs w:val="18"/>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9">
    <w:nsid w:val="7B8B43A0"/>
    <w:multiLevelType w:val="multilevel"/>
    <w:tmpl w:val="7B8B43A0"/>
    <w:lvl w:ilvl="0" w:tentative="0">
      <w:start w:val="1"/>
      <w:numFmt w:val="bullet"/>
      <w:lvlText w:val=""/>
      <w:lvlJc w:val="left"/>
      <w:pPr>
        <w:ind w:left="720" w:hanging="360"/>
      </w:pPr>
      <w:rPr>
        <w:rFonts w:hint="default" w:ascii="Symbol" w:hAnsi="Symbol" w:cs="Symbol"/>
        <w:color w:val="auto"/>
        <w:sz w:val="18"/>
        <w:szCs w:val="18"/>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0">
    <w:nsid w:val="7DCF47E4"/>
    <w:multiLevelType w:val="multilevel"/>
    <w:tmpl w:val="7DCF47E4"/>
    <w:lvl w:ilvl="0" w:tentative="0">
      <w:start w:val="1"/>
      <w:numFmt w:val="bullet"/>
      <w:lvlText w:val=""/>
      <w:lvlJc w:val="left"/>
      <w:pPr>
        <w:ind w:left="720" w:hanging="360"/>
      </w:pPr>
      <w:rPr>
        <w:rFonts w:hint="default" w:ascii="Symbol" w:hAnsi="Symbol" w:cs="Symbol"/>
        <w:color w:val="auto"/>
        <w:sz w:val="18"/>
        <w:szCs w:val="18"/>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num>
  <w:num w:numId="2">
    <w:abstractNumId w:val="8"/>
  </w:num>
  <w:num w:numId="3">
    <w:abstractNumId w:val="3"/>
  </w:num>
  <w:num w:numId="4">
    <w:abstractNumId w:val="5"/>
  </w:num>
  <w:num w:numId="5">
    <w:abstractNumId w:val="4"/>
  </w:num>
  <w:num w:numId="6">
    <w:abstractNumId w:val="10"/>
  </w:num>
  <w:num w:numId="7">
    <w:abstractNumId w:val="6"/>
  </w:num>
  <w:num w:numId="8">
    <w:abstractNumId w:val="7"/>
  </w:num>
  <w:num w:numId="9">
    <w:abstractNumId w:val="9"/>
  </w:num>
  <w:num w:numId="10">
    <w:abstractNumId w:val="2"/>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BF1626D"/>
    <w:rsid w:val="10CC1ED6"/>
    <w:rsid w:val="22F31BDC"/>
    <w:rsid w:val="29455D79"/>
    <w:rsid w:val="2AFC7D87"/>
    <w:rsid w:val="2D0A14EA"/>
    <w:rsid w:val="34D11E75"/>
    <w:rsid w:val="397523E2"/>
    <w:rsid w:val="450D34CE"/>
    <w:rsid w:val="46FD61FD"/>
    <w:rsid w:val="55A02424"/>
    <w:rsid w:val="576C1B95"/>
    <w:rsid w:val="581C5E90"/>
    <w:rsid w:val="67605463"/>
    <w:rsid w:val="6F881820"/>
    <w:rsid w:val="73034A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Times New Roman" w:hAnsi="Times New Roman" w:eastAsia="Times New Roman" w:cs="Times New Roman"/>
      <w:sz w:val="20"/>
      <w:szCs w:val="20"/>
      <w:lang w:val="en-US" w:eastAsia="en-US" w:bidi="ar-SA"/>
    </w:r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Hyperlink"/>
    <w:unhideWhenUsed/>
    <w:qFormat/>
    <w:uiPriority w:val="99"/>
    <w:rPr>
      <w:color w:val="0000FF"/>
      <w:u w:val="single"/>
    </w:rPr>
  </w:style>
  <w:style w:type="character" w:customStyle="1" w:styleId="9">
    <w:name w:val="font11"/>
    <w:qFormat/>
    <w:uiPriority w:val="0"/>
    <w:rPr>
      <w:rFonts w:hint="default" w:ascii="Times New Roman" w:hAnsi="Times New Roman" w:cs="Times New Roman"/>
      <w:color w:val="000000"/>
      <w:sz w:val="18"/>
      <w:szCs w:val="18"/>
      <w:u w:val="none"/>
    </w:rPr>
  </w:style>
  <w:style w:type="paragraph" w:styleId="10">
    <w:name w:val="List Paragraph"/>
    <w:basedOn w:val="1"/>
    <w:qFormat/>
    <w:uiPriority w:val="99"/>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14</Pages>
  <Words>223</Words>
  <Characters>1210</Characters>
  <DocSecurity>0</DocSecurity>
  <Lines>0</Lines>
  <Paragraphs>0</Paragraphs>
  <ScaleCrop>false</ScaleCrop>
  <LinksUpToDate>false</LinksUpToDate>
  <CharactersWithSpaces>1278</CharactersWithSpac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2025-12-05T11:16:00Z</dcterms:created>
  <dcterms:modified xsi:type="dcterms:W3CDTF">2026-04-01T01:39:55Z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eyJoZGlkIjoiMTU0MWUzM2FlMjkzZjljN2EyZWY4YmJjMGY5MDJmNjQiLCJ1c2VySWQiOiI2Njc1ODcwNDAifQ==</vt:lpwstr>
  </property>
  <property fmtid="{D5CDD505-2E9C-101B-9397-08002B2CF9AE}" pid="4" name="ICV">
    <vt:lpwstr>C4CDE2187EB840D7A0E6095B299A04DB_12</vt:lpwstr>
  </property>
</Properties>
</file>