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B0D357" w14:textId="77777777" w:rsidR="00EE39E1" w:rsidRPr="00EE39E1" w:rsidRDefault="00EE39E1" w:rsidP="00EE39E1">
      <w:pPr>
        <w:spacing w:before="100" w:beforeAutospacing="1" w:after="100" w:afterAutospacing="1" w:line="276" w:lineRule="auto"/>
        <w:rPr>
          <w:b/>
          <w:bCs/>
          <w:color w:val="000000" w:themeColor="text1"/>
          <w:sz w:val="22"/>
          <w:szCs w:val="22"/>
        </w:rPr>
      </w:pPr>
      <w:r w:rsidRPr="00EE39E1">
        <w:rPr>
          <w:b/>
          <w:bCs/>
          <w:color w:val="000000" w:themeColor="text1"/>
          <w:sz w:val="22"/>
          <w:szCs w:val="22"/>
        </w:rPr>
        <w:t>Table 2A</w:t>
      </w:r>
    </w:p>
    <w:p w14:paraId="62A8ACD6" w14:textId="77777777" w:rsidR="00EE39E1" w:rsidRPr="00EE39E1" w:rsidRDefault="00EE39E1" w:rsidP="00EE39E1">
      <w:pPr>
        <w:rPr>
          <w:color w:val="000000" w:themeColor="text1"/>
          <w:sz w:val="22"/>
          <w:szCs w:val="22"/>
        </w:rPr>
      </w:pPr>
      <w:r w:rsidRPr="00EE39E1">
        <w:rPr>
          <w:color w:val="000000" w:themeColor="text1"/>
          <w:sz w:val="22"/>
          <w:szCs w:val="22"/>
        </w:rPr>
        <w:t xml:space="preserve">Complicated diabetes versus no diabetes.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2221"/>
        <w:gridCol w:w="1641"/>
        <w:gridCol w:w="1612"/>
        <w:gridCol w:w="1188"/>
        <w:gridCol w:w="571"/>
      </w:tblGrid>
      <w:tr w:rsidR="00EE39E1" w:rsidRPr="00EE39E1" w14:paraId="07E412AB" w14:textId="77777777" w:rsidTr="00955571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BFB6DB9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Outcome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7AD4631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Cohort 1 (Complicated DM) Events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D6ACCE5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Cohort 2 (No DM) Events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435A37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Risk Difference %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3E8AE78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Odds Ratio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7A1E2B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-value</w:t>
            </w:r>
          </w:p>
        </w:tc>
      </w:tr>
      <w:tr w:rsidR="00EE39E1" w:rsidRPr="00EE39E1" w14:paraId="09C106B2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ACE2B1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Mortality</w:t>
            </w:r>
          </w:p>
        </w:tc>
        <w:tc>
          <w:tcPr>
            <w:tcW w:w="0" w:type="auto"/>
            <w:vAlign w:val="center"/>
            <w:hideMark/>
          </w:tcPr>
          <w:p w14:paraId="2A817F76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2,754 (33.8%)</w:t>
            </w:r>
          </w:p>
        </w:tc>
        <w:tc>
          <w:tcPr>
            <w:tcW w:w="0" w:type="auto"/>
            <w:vAlign w:val="center"/>
            <w:hideMark/>
          </w:tcPr>
          <w:p w14:paraId="45039F91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13,152 (29.7%)</w:t>
            </w:r>
          </w:p>
        </w:tc>
        <w:tc>
          <w:tcPr>
            <w:tcW w:w="0" w:type="auto"/>
            <w:vAlign w:val="center"/>
            <w:hideMark/>
          </w:tcPr>
          <w:p w14:paraId="370D656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4.11 (2.49–5.74)</w:t>
            </w:r>
          </w:p>
        </w:tc>
        <w:tc>
          <w:tcPr>
            <w:tcW w:w="0" w:type="auto"/>
            <w:vAlign w:val="center"/>
            <w:hideMark/>
          </w:tcPr>
          <w:p w14:paraId="17F6FCB4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1.21 (1.12–1.30)</w:t>
            </w:r>
          </w:p>
        </w:tc>
        <w:tc>
          <w:tcPr>
            <w:tcW w:w="0" w:type="auto"/>
            <w:vAlign w:val="center"/>
            <w:hideMark/>
          </w:tcPr>
          <w:p w14:paraId="79493D49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EE39E1" w:rsidRPr="00EE39E1" w14:paraId="2E51485D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2A80CD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30-Day Readmission</w:t>
            </w:r>
          </w:p>
        </w:tc>
        <w:tc>
          <w:tcPr>
            <w:tcW w:w="0" w:type="auto"/>
            <w:vAlign w:val="center"/>
            <w:hideMark/>
          </w:tcPr>
          <w:p w14:paraId="729C23C4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2,861 (35.1%)</w:t>
            </w:r>
          </w:p>
        </w:tc>
        <w:tc>
          <w:tcPr>
            <w:tcW w:w="0" w:type="auto"/>
            <w:vAlign w:val="center"/>
            <w:hideMark/>
          </w:tcPr>
          <w:p w14:paraId="6B151A99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12,048 (27.2%)</w:t>
            </w:r>
          </w:p>
        </w:tc>
        <w:tc>
          <w:tcPr>
            <w:tcW w:w="0" w:type="auto"/>
            <w:vAlign w:val="center"/>
            <w:hideMark/>
          </w:tcPr>
          <w:p w14:paraId="23AA5E4A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7.96 (6.35–9.57)</w:t>
            </w:r>
          </w:p>
        </w:tc>
        <w:tc>
          <w:tcPr>
            <w:tcW w:w="0" w:type="auto"/>
            <w:vAlign w:val="center"/>
            <w:hideMark/>
          </w:tcPr>
          <w:p w14:paraId="59EFF65A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1.45 (1.35–1.57)</w:t>
            </w:r>
          </w:p>
        </w:tc>
        <w:tc>
          <w:tcPr>
            <w:tcW w:w="0" w:type="auto"/>
            <w:vAlign w:val="center"/>
            <w:hideMark/>
          </w:tcPr>
          <w:p w14:paraId="65CAC0BF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EE39E1" w:rsidRPr="00EE39E1" w14:paraId="1DB30B6F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51DD9D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AKI</w:t>
            </w:r>
          </w:p>
        </w:tc>
        <w:tc>
          <w:tcPr>
            <w:tcW w:w="0" w:type="auto"/>
            <w:vAlign w:val="center"/>
            <w:hideMark/>
          </w:tcPr>
          <w:p w14:paraId="02AFDB55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1,769 (21.7%)</w:t>
            </w:r>
          </w:p>
        </w:tc>
        <w:tc>
          <w:tcPr>
            <w:tcW w:w="0" w:type="auto"/>
            <w:vAlign w:val="center"/>
            <w:hideMark/>
          </w:tcPr>
          <w:p w14:paraId="2F7DF2C5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7,795 (17.6%)</w:t>
            </w:r>
          </w:p>
        </w:tc>
        <w:tc>
          <w:tcPr>
            <w:tcW w:w="0" w:type="auto"/>
            <w:vAlign w:val="center"/>
            <w:hideMark/>
          </w:tcPr>
          <w:p w14:paraId="0DD72D77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4.05 (2.68–5.43)</w:t>
            </w:r>
          </w:p>
        </w:tc>
        <w:tc>
          <w:tcPr>
            <w:tcW w:w="0" w:type="auto"/>
            <w:vAlign w:val="center"/>
            <w:hideMark/>
          </w:tcPr>
          <w:p w14:paraId="12F7D3B3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1.29 (1.19–1.41)</w:t>
            </w:r>
          </w:p>
        </w:tc>
        <w:tc>
          <w:tcPr>
            <w:tcW w:w="0" w:type="auto"/>
            <w:vAlign w:val="center"/>
            <w:hideMark/>
          </w:tcPr>
          <w:p w14:paraId="4881269C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EE39E1" w:rsidRPr="00EE39E1" w14:paraId="11B078F0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CA7637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Sepsis</w:t>
            </w:r>
          </w:p>
        </w:tc>
        <w:tc>
          <w:tcPr>
            <w:tcW w:w="0" w:type="auto"/>
            <w:vAlign w:val="center"/>
            <w:hideMark/>
          </w:tcPr>
          <w:p w14:paraId="0A261478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1,337 (16.4%)</w:t>
            </w:r>
          </w:p>
        </w:tc>
        <w:tc>
          <w:tcPr>
            <w:tcW w:w="0" w:type="auto"/>
            <w:vAlign w:val="center"/>
            <w:hideMark/>
          </w:tcPr>
          <w:p w14:paraId="71EBF610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6,109 (13.8%)</w:t>
            </w:r>
          </w:p>
        </w:tc>
        <w:tc>
          <w:tcPr>
            <w:tcW w:w="0" w:type="auto"/>
            <w:vAlign w:val="center"/>
            <w:hideMark/>
          </w:tcPr>
          <w:p w14:paraId="044BC60B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2.60 (1.36–3.84)</w:t>
            </w:r>
          </w:p>
        </w:tc>
        <w:tc>
          <w:tcPr>
            <w:tcW w:w="0" w:type="auto"/>
            <w:vAlign w:val="center"/>
            <w:hideMark/>
          </w:tcPr>
          <w:p w14:paraId="69F93BC8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1.23 (1.11–1.35)</w:t>
            </w:r>
          </w:p>
        </w:tc>
        <w:tc>
          <w:tcPr>
            <w:tcW w:w="0" w:type="auto"/>
            <w:vAlign w:val="center"/>
            <w:hideMark/>
          </w:tcPr>
          <w:p w14:paraId="197752CE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EE39E1" w:rsidRPr="00EE39E1" w14:paraId="33487898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1C4955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Pneumonia</w:t>
            </w:r>
          </w:p>
        </w:tc>
        <w:tc>
          <w:tcPr>
            <w:tcW w:w="0" w:type="auto"/>
            <w:vAlign w:val="center"/>
            <w:hideMark/>
          </w:tcPr>
          <w:p w14:paraId="6A3619EB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1,386 (17.0%)</w:t>
            </w:r>
          </w:p>
        </w:tc>
        <w:tc>
          <w:tcPr>
            <w:tcW w:w="0" w:type="auto"/>
            <w:vAlign w:val="center"/>
            <w:hideMark/>
          </w:tcPr>
          <w:p w14:paraId="388D369F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6,777 (15.3%)</w:t>
            </w:r>
          </w:p>
        </w:tc>
        <w:tc>
          <w:tcPr>
            <w:tcW w:w="0" w:type="auto"/>
            <w:vAlign w:val="center"/>
            <w:hideMark/>
          </w:tcPr>
          <w:p w14:paraId="1C753AF8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1.67 (0.38–2.95)</w:t>
            </w:r>
          </w:p>
        </w:tc>
        <w:tc>
          <w:tcPr>
            <w:tcW w:w="0" w:type="auto"/>
            <w:vAlign w:val="center"/>
            <w:hideMark/>
          </w:tcPr>
          <w:p w14:paraId="58640154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1.13 (1.03–1.24)</w:t>
            </w:r>
          </w:p>
        </w:tc>
        <w:tc>
          <w:tcPr>
            <w:tcW w:w="0" w:type="auto"/>
            <w:vAlign w:val="center"/>
            <w:hideMark/>
          </w:tcPr>
          <w:p w14:paraId="0F93C710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0.011</w:t>
            </w:r>
          </w:p>
        </w:tc>
      </w:tr>
      <w:tr w:rsidR="00EE39E1" w:rsidRPr="00EE39E1" w14:paraId="5A6B4BA3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473981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Seizure</w:t>
            </w:r>
          </w:p>
        </w:tc>
        <w:tc>
          <w:tcPr>
            <w:tcW w:w="0" w:type="auto"/>
            <w:vAlign w:val="center"/>
            <w:hideMark/>
          </w:tcPr>
          <w:p w14:paraId="0D760559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1,043 (12.8%)</w:t>
            </w:r>
          </w:p>
        </w:tc>
        <w:tc>
          <w:tcPr>
            <w:tcW w:w="0" w:type="auto"/>
            <w:vAlign w:val="center"/>
            <w:hideMark/>
          </w:tcPr>
          <w:p w14:paraId="03B7E800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4,871 (11.0%)</w:t>
            </w:r>
          </w:p>
        </w:tc>
        <w:tc>
          <w:tcPr>
            <w:tcW w:w="0" w:type="auto"/>
            <w:vAlign w:val="center"/>
            <w:hideMark/>
          </w:tcPr>
          <w:p w14:paraId="414BF21C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1.76 (0.63–2.89)</w:t>
            </w:r>
          </w:p>
        </w:tc>
        <w:tc>
          <w:tcPr>
            <w:tcW w:w="0" w:type="auto"/>
            <w:vAlign w:val="center"/>
            <w:hideMark/>
          </w:tcPr>
          <w:p w14:paraId="1993F92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1.18 (1.06–1.32)</w:t>
            </w:r>
          </w:p>
        </w:tc>
        <w:tc>
          <w:tcPr>
            <w:tcW w:w="0" w:type="auto"/>
            <w:vAlign w:val="center"/>
            <w:hideMark/>
          </w:tcPr>
          <w:p w14:paraId="5CCA5D54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0.002</w:t>
            </w:r>
          </w:p>
        </w:tc>
      </w:tr>
      <w:tr w:rsidR="00EE39E1" w:rsidRPr="00EE39E1" w14:paraId="26DFC81C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418A2C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Cerebral infarction</w:t>
            </w:r>
          </w:p>
        </w:tc>
        <w:tc>
          <w:tcPr>
            <w:tcW w:w="0" w:type="auto"/>
            <w:vAlign w:val="center"/>
            <w:hideMark/>
          </w:tcPr>
          <w:p w14:paraId="2A5EB1A6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815 (10.0%)</w:t>
            </w:r>
          </w:p>
        </w:tc>
        <w:tc>
          <w:tcPr>
            <w:tcW w:w="0" w:type="auto"/>
            <w:vAlign w:val="center"/>
            <w:hideMark/>
          </w:tcPr>
          <w:p w14:paraId="0DD1E3DB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3,498 (7.9%)</w:t>
            </w:r>
          </w:p>
        </w:tc>
        <w:tc>
          <w:tcPr>
            <w:tcW w:w="0" w:type="auto"/>
            <w:vAlign w:val="center"/>
            <w:hideMark/>
          </w:tcPr>
          <w:p w14:paraId="481F0507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2.11 (1.12–3.11)</w:t>
            </w:r>
          </w:p>
        </w:tc>
        <w:tc>
          <w:tcPr>
            <w:tcW w:w="0" w:type="auto"/>
            <w:vAlign w:val="center"/>
            <w:hideMark/>
          </w:tcPr>
          <w:p w14:paraId="6910A76C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1.30 (1.15–1.47)</w:t>
            </w:r>
          </w:p>
        </w:tc>
        <w:tc>
          <w:tcPr>
            <w:tcW w:w="0" w:type="auto"/>
            <w:vAlign w:val="center"/>
            <w:hideMark/>
          </w:tcPr>
          <w:p w14:paraId="3EF3B7D2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EE39E1" w:rsidRPr="00EE39E1" w14:paraId="5C437CF2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0CA552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Prolonged intubation / Tracheostomy</w:t>
            </w:r>
          </w:p>
        </w:tc>
        <w:tc>
          <w:tcPr>
            <w:tcW w:w="0" w:type="auto"/>
            <w:vAlign w:val="center"/>
            <w:hideMark/>
          </w:tcPr>
          <w:p w14:paraId="6A2F421B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888 (10.9%)</w:t>
            </w:r>
          </w:p>
        </w:tc>
        <w:tc>
          <w:tcPr>
            <w:tcW w:w="0" w:type="auto"/>
            <w:vAlign w:val="center"/>
            <w:hideMark/>
          </w:tcPr>
          <w:p w14:paraId="320807CF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3,543 (8.0%)</w:t>
            </w:r>
          </w:p>
        </w:tc>
        <w:tc>
          <w:tcPr>
            <w:tcW w:w="0" w:type="auto"/>
            <w:vAlign w:val="center"/>
            <w:hideMark/>
          </w:tcPr>
          <w:p w14:paraId="79206FA8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2.88 (1.87–3.89)</w:t>
            </w:r>
          </w:p>
        </w:tc>
        <w:tc>
          <w:tcPr>
            <w:tcW w:w="0" w:type="auto"/>
            <w:vAlign w:val="center"/>
            <w:hideMark/>
          </w:tcPr>
          <w:p w14:paraId="6C68699A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1.40 (1.24–1.58)</w:t>
            </w:r>
          </w:p>
        </w:tc>
        <w:tc>
          <w:tcPr>
            <w:tcW w:w="0" w:type="auto"/>
            <w:vAlign w:val="center"/>
            <w:hideMark/>
          </w:tcPr>
          <w:p w14:paraId="7CA83699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EE39E1" w:rsidRPr="00EE39E1" w14:paraId="229F8135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1D4960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Emergency intubation</w:t>
            </w:r>
          </w:p>
        </w:tc>
        <w:tc>
          <w:tcPr>
            <w:tcW w:w="0" w:type="auto"/>
            <w:vAlign w:val="center"/>
            <w:hideMark/>
          </w:tcPr>
          <w:p w14:paraId="1294AC36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522 (6.4%)</w:t>
            </w:r>
          </w:p>
        </w:tc>
        <w:tc>
          <w:tcPr>
            <w:tcW w:w="0" w:type="auto"/>
            <w:vAlign w:val="center"/>
            <w:hideMark/>
          </w:tcPr>
          <w:p w14:paraId="6C9F6044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2,126 (4.8%)</w:t>
            </w:r>
          </w:p>
        </w:tc>
        <w:tc>
          <w:tcPr>
            <w:tcW w:w="0" w:type="auto"/>
            <w:vAlign w:val="center"/>
            <w:hideMark/>
          </w:tcPr>
          <w:p w14:paraId="393D09F0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1.56 (0.76–2.36)</w:t>
            </w:r>
          </w:p>
        </w:tc>
        <w:tc>
          <w:tcPr>
            <w:tcW w:w="0" w:type="auto"/>
            <w:vAlign w:val="center"/>
            <w:hideMark/>
          </w:tcPr>
          <w:p w14:paraId="75B3122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1.35 (1.16–1.57)</w:t>
            </w:r>
          </w:p>
        </w:tc>
        <w:tc>
          <w:tcPr>
            <w:tcW w:w="0" w:type="auto"/>
            <w:vAlign w:val="center"/>
            <w:hideMark/>
          </w:tcPr>
          <w:p w14:paraId="71CB62F0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EE39E1" w:rsidRPr="00EE39E1" w14:paraId="4ABFCF5F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2C9702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Heart failure</w:t>
            </w:r>
          </w:p>
        </w:tc>
        <w:tc>
          <w:tcPr>
            <w:tcW w:w="0" w:type="auto"/>
            <w:vAlign w:val="center"/>
            <w:hideMark/>
          </w:tcPr>
          <w:p w14:paraId="35AA0FE1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1,467 (18.0%)</w:t>
            </w:r>
          </w:p>
        </w:tc>
        <w:tc>
          <w:tcPr>
            <w:tcW w:w="0" w:type="auto"/>
            <w:vAlign w:val="center"/>
            <w:hideMark/>
          </w:tcPr>
          <w:p w14:paraId="582FF0A5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7,575 (17.1%)</w:t>
            </w:r>
          </w:p>
        </w:tc>
        <w:tc>
          <w:tcPr>
            <w:tcW w:w="0" w:type="auto"/>
            <w:vAlign w:val="center"/>
            <w:hideMark/>
          </w:tcPr>
          <w:p w14:paraId="422FD5D7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0.99 (−0.33–2.30)</w:t>
            </w:r>
          </w:p>
        </w:tc>
        <w:tc>
          <w:tcPr>
            <w:tcW w:w="0" w:type="auto"/>
            <w:vAlign w:val="center"/>
            <w:hideMark/>
          </w:tcPr>
          <w:p w14:paraId="402B622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1.07 (0.98–1.17)</w:t>
            </w:r>
          </w:p>
        </w:tc>
        <w:tc>
          <w:tcPr>
            <w:tcW w:w="0" w:type="auto"/>
            <w:vAlign w:val="center"/>
            <w:hideMark/>
          </w:tcPr>
          <w:p w14:paraId="5B619C8E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0.143</w:t>
            </w:r>
          </w:p>
        </w:tc>
      </w:tr>
      <w:tr w:rsidR="00EE39E1" w:rsidRPr="00EE39E1" w14:paraId="77283A58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835CE8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CAUTI</w:t>
            </w:r>
          </w:p>
        </w:tc>
        <w:tc>
          <w:tcPr>
            <w:tcW w:w="0" w:type="auto"/>
            <w:vAlign w:val="center"/>
            <w:hideMark/>
          </w:tcPr>
          <w:p w14:paraId="3990119D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59 (0.72%)</w:t>
            </w:r>
          </w:p>
        </w:tc>
        <w:tc>
          <w:tcPr>
            <w:tcW w:w="0" w:type="auto"/>
            <w:vAlign w:val="center"/>
            <w:hideMark/>
          </w:tcPr>
          <w:p w14:paraId="67008C00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168 (0.38%)</w:t>
            </w:r>
          </w:p>
        </w:tc>
        <w:tc>
          <w:tcPr>
            <w:tcW w:w="0" w:type="auto"/>
            <w:vAlign w:val="center"/>
            <w:hideMark/>
          </w:tcPr>
          <w:p w14:paraId="1B07BF48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0.34 (0.09–0.60)</w:t>
            </w:r>
          </w:p>
        </w:tc>
        <w:tc>
          <w:tcPr>
            <w:tcW w:w="0" w:type="auto"/>
            <w:vAlign w:val="center"/>
            <w:hideMark/>
          </w:tcPr>
          <w:p w14:paraId="1341FA7C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1.92 (1.17–3.15)</w:t>
            </w:r>
          </w:p>
        </w:tc>
        <w:tc>
          <w:tcPr>
            <w:tcW w:w="0" w:type="auto"/>
            <w:vAlign w:val="center"/>
            <w:hideMark/>
          </w:tcPr>
          <w:p w14:paraId="65332BE7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0.008</w:t>
            </w:r>
          </w:p>
        </w:tc>
      </w:tr>
      <w:tr w:rsidR="00EE39E1" w:rsidRPr="00EE39E1" w14:paraId="6F027097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5344B8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Neurocritical care</w:t>
            </w:r>
          </w:p>
        </w:tc>
        <w:tc>
          <w:tcPr>
            <w:tcW w:w="0" w:type="auto"/>
            <w:vAlign w:val="center"/>
            <w:hideMark/>
          </w:tcPr>
          <w:p w14:paraId="5E801F55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135 (1.66%)</w:t>
            </w:r>
          </w:p>
        </w:tc>
        <w:tc>
          <w:tcPr>
            <w:tcW w:w="0" w:type="auto"/>
            <w:vAlign w:val="center"/>
            <w:hideMark/>
          </w:tcPr>
          <w:p w14:paraId="743EED92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491 (1.11%)</w:t>
            </w:r>
          </w:p>
        </w:tc>
        <w:tc>
          <w:tcPr>
            <w:tcW w:w="0" w:type="auto"/>
            <w:vAlign w:val="center"/>
            <w:hideMark/>
          </w:tcPr>
          <w:p w14:paraId="2D2CF73F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0.55 (0.14–0.95)</w:t>
            </w:r>
          </w:p>
        </w:tc>
        <w:tc>
          <w:tcPr>
            <w:tcW w:w="0" w:type="auto"/>
            <w:vAlign w:val="center"/>
            <w:hideMark/>
          </w:tcPr>
          <w:p w14:paraId="3115F372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1.50 (1.11–2.03)</w:t>
            </w:r>
          </w:p>
        </w:tc>
        <w:tc>
          <w:tcPr>
            <w:tcW w:w="0" w:type="auto"/>
            <w:vAlign w:val="center"/>
            <w:hideMark/>
          </w:tcPr>
          <w:p w14:paraId="322921CD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0.008</w:t>
            </w:r>
          </w:p>
        </w:tc>
      </w:tr>
      <w:tr w:rsidR="00EE39E1" w:rsidRPr="00EE39E1" w14:paraId="0044AC80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A636C2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CLABSI</w:t>
            </w:r>
          </w:p>
        </w:tc>
        <w:tc>
          <w:tcPr>
            <w:tcW w:w="0" w:type="auto"/>
            <w:vAlign w:val="center"/>
            <w:hideMark/>
          </w:tcPr>
          <w:p w14:paraId="428F8B84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33 (0.41%)</w:t>
            </w:r>
          </w:p>
        </w:tc>
        <w:tc>
          <w:tcPr>
            <w:tcW w:w="0" w:type="auto"/>
            <w:vAlign w:val="center"/>
            <w:hideMark/>
          </w:tcPr>
          <w:p w14:paraId="17E81508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93 (0.21%)</w:t>
            </w:r>
          </w:p>
        </w:tc>
        <w:tc>
          <w:tcPr>
            <w:tcW w:w="0" w:type="auto"/>
            <w:vAlign w:val="center"/>
            <w:hideMark/>
          </w:tcPr>
          <w:p w14:paraId="3D7B91B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0.20 (0.04–0.37)</w:t>
            </w:r>
          </w:p>
        </w:tc>
        <w:tc>
          <w:tcPr>
            <w:tcW w:w="0" w:type="auto"/>
            <w:vAlign w:val="center"/>
            <w:hideMark/>
          </w:tcPr>
          <w:p w14:paraId="48923A6D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1.91 (1.03–3.28)</w:t>
            </w:r>
          </w:p>
        </w:tc>
        <w:tc>
          <w:tcPr>
            <w:tcW w:w="0" w:type="auto"/>
            <w:vAlign w:val="center"/>
            <w:hideMark/>
          </w:tcPr>
          <w:p w14:paraId="2CD847BB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0.035</w:t>
            </w:r>
          </w:p>
        </w:tc>
      </w:tr>
      <w:tr w:rsidR="00EE39E1" w:rsidRPr="00EE39E1" w14:paraId="639BA9ED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9A5CA0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Emphasis"/>
                <w:b/>
                <w:bCs/>
                <w:color w:val="000000" w:themeColor="text1"/>
                <w:sz w:val="16"/>
                <w:szCs w:val="16"/>
              </w:rPr>
              <w:t>C. difficile</w:t>
            </w:r>
          </w:p>
        </w:tc>
        <w:tc>
          <w:tcPr>
            <w:tcW w:w="0" w:type="auto"/>
            <w:vAlign w:val="center"/>
            <w:hideMark/>
          </w:tcPr>
          <w:p w14:paraId="6DE053D2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223 (2.74%)</w:t>
            </w:r>
          </w:p>
        </w:tc>
        <w:tc>
          <w:tcPr>
            <w:tcW w:w="0" w:type="auto"/>
            <w:vAlign w:val="center"/>
            <w:hideMark/>
          </w:tcPr>
          <w:p w14:paraId="51FC8484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1,018 (2.30%)</w:t>
            </w:r>
          </w:p>
        </w:tc>
        <w:tc>
          <w:tcPr>
            <w:tcW w:w="0" w:type="auto"/>
            <w:vAlign w:val="center"/>
            <w:hideMark/>
          </w:tcPr>
          <w:p w14:paraId="5F74A513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0.44 (−0.11–0.98)</w:t>
            </w:r>
          </w:p>
        </w:tc>
        <w:tc>
          <w:tcPr>
            <w:tcW w:w="0" w:type="auto"/>
            <w:vAlign w:val="center"/>
            <w:hideMark/>
          </w:tcPr>
          <w:p w14:paraId="18EDC40A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1.20 (0.96–1.49)</w:t>
            </w:r>
          </w:p>
        </w:tc>
        <w:tc>
          <w:tcPr>
            <w:tcW w:w="0" w:type="auto"/>
            <w:vAlign w:val="center"/>
            <w:hideMark/>
          </w:tcPr>
          <w:p w14:paraId="748669F4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0.114</w:t>
            </w:r>
          </w:p>
        </w:tc>
      </w:tr>
      <w:tr w:rsidR="00EE39E1" w:rsidRPr="00EE39E1" w14:paraId="78175959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D2E5B4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Pulmonary embolism</w:t>
            </w:r>
          </w:p>
        </w:tc>
        <w:tc>
          <w:tcPr>
            <w:tcW w:w="0" w:type="auto"/>
            <w:vAlign w:val="center"/>
            <w:hideMark/>
          </w:tcPr>
          <w:p w14:paraId="66C306DA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233 (2.86%)</w:t>
            </w:r>
          </w:p>
        </w:tc>
        <w:tc>
          <w:tcPr>
            <w:tcW w:w="0" w:type="auto"/>
            <w:vAlign w:val="center"/>
            <w:hideMark/>
          </w:tcPr>
          <w:p w14:paraId="62EAB894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1,338 (3.02%)</w:t>
            </w:r>
          </w:p>
        </w:tc>
        <w:tc>
          <w:tcPr>
            <w:tcW w:w="0" w:type="auto"/>
            <w:vAlign w:val="center"/>
            <w:hideMark/>
          </w:tcPr>
          <w:p w14:paraId="61B7E85F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−0.16 (−0.75–0.43)</w:t>
            </w:r>
          </w:p>
        </w:tc>
        <w:tc>
          <w:tcPr>
            <w:tcW w:w="0" w:type="auto"/>
            <w:vAlign w:val="center"/>
            <w:hideMark/>
          </w:tcPr>
          <w:p w14:paraId="675A5FD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0.95 (0.77–1.16)</w:t>
            </w:r>
          </w:p>
        </w:tc>
        <w:tc>
          <w:tcPr>
            <w:tcW w:w="0" w:type="auto"/>
            <w:vAlign w:val="center"/>
            <w:hideMark/>
          </w:tcPr>
          <w:p w14:paraId="111BF1C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0.598</w:t>
            </w:r>
          </w:p>
        </w:tc>
      </w:tr>
      <w:tr w:rsidR="00EE39E1" w:rsidRPr="00EE39E1" w14:paraId="75CDD020" w14:textId="77777777" w:rsidTr="009555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CBA76A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DVT</w:t>
            </w:r>
          </w:p>
        </w:tc>
        <w:tc>
          <w:tcPr>
            <w:tcW w:w="0" w:type="auto"/>
            <w:vAlign w:val="center"/>
            <w:hideMark/>
          </w:tcPr>
          <w:p w14:paraId="49E25F8E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576 (7.07%)</w:t>
            </w:r>
          </w:p>
        </w:tc>
        <w:tc>
          <w:tcPr>
            <w:tcW w:w="0" w:type="auto"/>
            <w:vAlign w:val="center"/>
            <w:hideMark/>
          </w:tcPr>
          <w:p w14:paraId="0C78A075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3,086 (6.97%)</w:t>
            </w:r>
          </w:p>
        </w:tc>
        <w:tc>
          <w:tcPr>
            <w:tcW w:w="0" w:type="auto"/>
            <w:vAlign w:val="center"/>
            <w:hideMark/>
          </w:tcPr>
          <w:p w14:paraId="0AB0622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0.10 (−0.80–0.99)</w:t>
            </w:r>
          </w:p>
        </w:tc>
        <w:tc>
          <w:tcPr>
            <w:tcW w:w="0" w:type="auto"/>
            <w:vAlign w:val="center"/>
            <w:hideMark/>
          </w:tcPr>
          <w:p w14:paraId="2BB1334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1.02 (0.89–1.16)</w:t>
            </w:r>
          </w:p>
        </w:tc>
        <w:tc>
          <w:tcPr>
            <w:tcW w:w="0" w:type="auto"/>
            <w:vAlign w:val="center"/>
            <w:hideMark/>
          </w:tcPr>
          <w:p w14:paraId="4807FEFB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0.834</w:t>
            </w:r>
          </w:p>
        </w:tc>
      </w:tr>
      <w:tr w:rsidR="00EE39E1" w:rsidRPr="00EE39E1" w14:paraId="0DC9E291" w14:textId="77777777" w:rsidTr="00955571">
        <w:trPr>
          <w:trHeight w:val="348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3B65FDF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Cardiogenic shock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688DEC8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169 (2.07%)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BD7605E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rStyle w:val="Strong"/>
                <w:color w:val="000000" w:themeColor="text1"/>
                <w:sz w:val="16"/>
                <w:szCs w:val="16"/>
              </w:rPr>
              <w:t>992 (2.24%)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098DB73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−0.17 (−0.68–0.33)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327BACC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0.92 (0.73–1.17)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635ECC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0.503</w:t>
            </w:r>
          </w:p>
        </w:tc>
      </w:tr>
    </w:tbl>
    <w:p w14:paraId="15059EC8" w14:textId="77777777" w:rsidR="00EE39E1" w:rsidRPr="00EE39E1" w:rsidRDefault="00EE39E1" w:rsidP="00EE39E1">
      <w:pPr>
        <w:spacing w:line="276" w:lineRule="auto"/>
        <w:rPr>
          <w:color w:val="000000" w:themeColor="text1"/>
          <w:sz w:val="18"/>
          <w:szCs w:val="18"/>
        </w:rPr>
      </w:pPr>
      <w:r w:rsidRPr="00EE39E1">
        <w:rPr>
          <w:color w:val="000000" w:themeColor="text1"/>
          <w:sz w:val="18"/>
          <w:szCs w:val="18"/>
        </w:rPr>
        <w:t xml:space="preserve">Bold value </w:t>
      </w:r>
      <w:r w:rsidRPr="00EE39E1">
        <w:rPr>
          <w:i/>
          <w:iCs/>
          <w:color w:val="000000" w:themeColor="text1"/>
          <w:sz w:val="18"/>
          <w:szCs w:val="18"/>
        </w:rPr>
        <w:t>P-</w:t>
      </w:r>
      <w:r w:rsidRPr="00EE39E1">
        <w:rPr>
          <w:color w:val="000000" w:themeColor="text1"/>
          <w:sz w:val="18"/>
          <w:szCs w:val="18"/>
        </w:rPr>
        <w:t>value &lt;0.05 indicating significance.</w:t>
      </w:r>
    </w:p>
    <w:p w14:paraId="13A92AC9" w14:textId="77777777" w:rsidR="00EE39E1" w:rsidRPr="00EE39E1" w:rsidRDefault="00EE39E1" w:rsidP="00EE39E1">
      <w:pPr>
        <w:spacing w:line="276" w:lineRule="auto"/>
        <w:rPr>
          <w:color w:val="000000" w:themeColor="text1"/>
          <w:sz w:val="18"/>
          <w:szCs w:val="18"/>
        </w:rPr>
      </w:pPr>
      <w:r w:rsidRPr="00EE39E1">
        <w:rPr>
          <w:color w:val="000000" w:themeColor="text1"/>
          <w:sz w:val="18"/>
          <w:szCs w:val="18"/>
        </w:rPr>
        <w:t>DM, diabetes mellitus; AKI, acute kidney injury; CAUTI, catheter-associated urinary tract infection; CLABSI, Central Line-Associated Bloodstream Infection; DVT, deep vein thrombosis. Neurocritical care is a composite variable of requiring any of the following: ICP monitor, external ventricular drain, decompressive craniectomy, or a craniotomy for hematoma evacuation</w:t>
      </w:r>
    </w:p>
    <w:p w14:paraId="0A0AC263" w14:textId="77777777" w:rsidR="00EE39E1" w:rsidRPr="00EE39E1" w:rsidRDefault="00EE39E1" w:rsidP="00EE39E1">
      <w:pPr>
        <w:spacing w:line="276" w:lineRule="auto"/>
        <w:rPr>
          <w:color w:val="000000" w:themeColor="text1"/>
          <w:sz w:val="18"/>
          <w:szCs w:val="18"/>
        </w:rPr>
      </w:pPr>
    </w:p>
    <w:p w14:paraId="5BDB2979" w14:textId="77777777" w:rsidR="00EE39E1" w:rsidRDefault="00EE39E1" w:rsidP="00EE39E1">
      <w:pPr>
        <w:spacing w:line="276" w:lineRule="auto"/>
        <w:rPr>
          <w:color w:val="000000" w:themeColor="text1"/>
          <w:sz w:val="18"/>
          <w:szCs w:val="18"/>
        </w:rPr>
      </w:pPr>
      <w:r w:rsidRPr="00EE39E1">
        <w:rPr>
          <w:b/>
          <w:bCs/>
          <w:color w:val="000000" w:themeColor="text1"/>
          <w:sz w:val="18"/>
          <w:szCs w:val="18"/>
        </w:rPr>
        <w:t xml:space="preserve">Table 2A. Clinical Outcomes and Complications in Patients with Complicated Diabetes Versus Matched Controls Without Diabetes After Severe Traumatic Brain Injury. </w:t>
      </w:r>
      <w:r w:rsidRPr="00EE39E1">
        <w:rPr>
          <w:color w:val="000000" w:themeColor="text1"/>
          <w:sz w:val="18"/>
          <w:szCs w:val="18"/>
        </w:rPr>
        <w:t>Data are presented as n (%) with risk difference (95% confidence interval) and odds ratio (95% confidence interval) from multivariable logistic regression models. Neurocritical care is a composite variable including intracranial pressure (ICP) monitor, external ventricular drain, decompressive craniectomy, or craniotomy for hematoma evacuation. Bold indicates statistical significance (P &lt;0.05).</w:t>
      </w:r>
    </w:p>
    <w:p w14:paraId="385597F3" w14:textId="77777777" w:rsidR="00EE39E1" w:rsidRPr="00EE39E1" w:rsidRDefault="00EE39E1" w:rsidP="00EE39E1">
      <w:pPr>
        <w:spacing w:line="276" w:lineRule="auto"/>
        <w:rPr>
          <w:b/>
          <w:bCs/>
          <w:color w:val="000000" w:themeColor="text1"/>
          <w:sz w:val="18"/>
          <w:szCs w:val="18"/>
        </w:rPr>
      </w:pPr>
    </w:p>
    <w:p w14:paraId="15B10F29" w14:textId="697A0D05" w:rsidR="00553036" w:rsidRPr="00EE39E1" w:rsidRDefault="00553036" w:rsidP="00EE39E1">
      <w:pPr>
        <w:rPr>
          <w:color w:val="000000" w:themeColor="text1"/>
        </w:rPr>
      </w:pPr>
    </w:p>
    <w:p w14:paraId="1A481A19" w14:textId="77777777" w:rsidR="00EE39E1" w:rsidRDefault="00EE39E1" w:rsidP="00EE39E1">
      <w:pPr>
        <w:spacing w:line="276" w:lineRule="auto"/>
        <w:rPr>
          <w:b/>
          <w:bCs/>
          <w:color w:val="000000" w:themeColor="text1"/>
          <w:sz w:val="22"/>
          <w:szCs w:val="22"/>
        </w:rPr>
      </w:pPr>
      <w:r w:rsidRPr="00EE39E1">
        <w:rPr>
          <w:b/>
          <w:bCs/>
          <w:color w:val="000000" w:themeColor="text1"/>
          <w:sz w:val="22"/>
          <w:szCs w:val="22"/>
        </w:rPr>
        <w:t>Table 2B</w:t>
      </w:r>
    </w:p>
    <w:p w14:paraId="47765ED3" w14:textId="77777777" w:rsidR="00EE39E1" w:rsidRPr="00EE39E1" w:rsidRDefault="00EE39E1" w:rsidP="00EE39E1">
      <w:pPr>
        <w:spacing w:line="276" w:lineRule="auto"/>
        <w:rPr>
          <w:b/>
          <w:bCs/>
          <w:color w:val="000000" w:themeColor="text1"/>
          <w:sz w:val="22"/>
          <w:szCs w:val="22"/>
        </w:rPr>
      </w:pPr>
    </w:p>
    <w:p w14:paraId="5B1DDF76" w14:textId="77777777" w:rsidR="00EE39E1" w:rsidRPr="00EE39E1" w:rsidRDefault="00EE39E1" w:rsidP="00EE39E1">
      <w:pPr>
        <w:spacing w:line="276" w:lineRule="auto"/>
        <w:rPr>
          <w:color w:val="000000" w:themeColor="text1"/>
          <w:sz w:val="22"/>
          <w:szCs w:val="22"/>
        </w:rPr>
      </w:pPr>
      <w:r w:rsidRPr="00EE39E1">
        <w:rPr>
          <w:color w:val="000000" w:themeColor="text1"/>
          <w:sz w:val="22"/>
          <w:szCs w:val="22"/>
        </w:rPr>
        <w:t>Uncomplicated Diabetes versus no diabetes.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0"/>
        <w:gridCol w:w="2415"/>
        <w:gridCol w:w="1549"/>
        <w:gridCol w:w="1545"/>
        <w:gridCol w:w="1131"/>
        <w:gridCol w:w="560"/>
      </w:tblGrid>
      <w:tr w:rsidR="00EE39E1" w:rsidRPr="00EE39E1" w14:paraId="4B421F5D" w14:textId="77777777" w:rsidTr="00955571">
        <w:trPr>
          <w:tblHeader/>
          <w:tblCellSpacing w:w="15" w:type="dxa"/>
        </w:trPr>
        <w:tc>
          <w:tcPr>
            <w:tcW w:w="211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4129C6B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Outcome</w:t>
            </w:r>
          </w:p>
        </w:tc>
        <w:tc>
          <w:tcPr>
            <w:tcW w:w="238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9077395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Cohort 1 (Uncomplicated DM) Events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DEA1C9B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Cohort 2 (No DM) Events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9583B5B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Risk Difference %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8E9CBC2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Odds Ratio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C3A7FB5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P </w:t>
            </w: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-value</w:t>
            </w:r>
          </w:p>
        </w:tc>
      </w:tr>
      <w:tr w:rsidR="00EE39E1" w:rsidRPr="00EE39E1" w14:paraId="6DBFBC3B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42BA201B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Mortality</w:t>
            </w:r>
          </w:p>
        </w:tc>
        <w:tc>
          <w:tcPr>
            <w:tcW w:w="2385" w:type="dxa"/>
            <w:vAlign w:val="center"/>
            <w:hideMark/>
          </w:tcPr>
          <w:p w14:paraId="796E862B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1,093 (27.9%)</w:t>
            </w:r>
          </w:p>
        </w:tc>
        <w:tc>
          <w:tcPr>
            <w:tcW w:w="0" w:type="auto"/>
            <w:vAlign w:val="center"/>
            <w:hideMark/>
          </w:tcPr>
          <w:p w14:paraId="201E2213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1,111 (28.4%)</w:t>
            </w:r>
          </w:p>
        </w:tc>
        <w:tc>
          <w:tcPr>
            <w:tcW w:w="0" w:type="auto"/>
            <w:vAlign w:val="center"/>
            <w:hideMark/>
          </w:tcPr>
          <w:p w14:paraId="3F0DEF85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-0.46 (-2.45–1.53)</w:t>
            </w:r>
          </w:p>
        </w:tc>
        <w:tc>
          <w:tcPr>
            <w:tcW w:w="0" w:type="auto"/>
            <w:vAlign w:val="center"/>
            <w:hideMark/>
          </w:tcPr>
          <w:p w14:paraId="14AA9923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0.98 (0.89–1.08)</w:t>
            </w:r>
          </w:p>
        </w:tc>
        <w:tc>
          <w:tcPr>
            <w:tcW w:w="0" w:type="auto"/>
            <w:vAlign w:val="center"/>
            <w:hideMark/>
          </w:tcPr>
          <w:p w14:paraId="6FC182B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0.651</w:t>
            </w:r>
          </w:p>
        </w:tc>
      </w:tr>
      <w:tr w:rsidR="00EE39E1" w:rsidRPr="00EE39E1" w14:paraId="7F45E0F4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6FA50E0E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30-Day Readmission</w:t>
            </w:r>
          </w:p>
        </w:tc>
        <w:tc>
          <w:tcPr>
            <w:tcW w:w="2385" w:type="dxa"/>
            <w:vAlign w:val="center"/>
            <w:hideMark/>
          </w:tcPr>
          <w:p w14:paraId="2A191B3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908 (23.2%)</w:t>
            </w:r>
          </w:p>
        </w:tc>
        <w:tc>
          <w:tcPr>
            <w:tcW w:w="0" w:type="auto"/>
            <w:vAlign w:val="center"/>
            <w:hideMark/>
          </w:tcPr>
          <w:p w14:paraId="20359E4B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1,024 (26.2%)</w:t>
            </w:r>
          </w:p>
        </w:tc>
        <w:tc>
          <w:tcPr>
            <w:tcW w:w="0" w:type="auto"/>
            <w:vAlign w:val="center"/>
            <w:hideMark/>
          </w:tcPr>
          <w:p w14:paraId="4406552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-2.96 (-4.87–-1.06)</w:t>
            </w:r>
          </w:p>
        </w:tc>
        <w:tc>
          <w:tcPr>
            <w:tcW w:w="0" w:type="auto"/>
            <w:vAlign w:val="center"/>
            <w:hideMark/>
          </w:tcPr>
          <w:p w14:paraId="41FD6B98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0.85 (0.77–0.95)</w:t>
            </w:r>
          </w:p>
        </w:tc>
        <w:tc>
          <w:tcPr>
            <w:tcW w:w="0" w:type="auto"/>
            <w:vAlign w:val="center"/>
            <w:hideMark/>
          </w:tcPr>
          <w:p w14:paraId="3215896D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0.002</w:t>
            </w:r>
          </w:p>
        </w:tc>
      </w:tr>
      <w:tr w:rsidR="00EE39E1" w:rsidRPr="00EE39E1" w14:paraId="649550CE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36D3DFFC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AKI</w:t>
            </w:r>
          </w:p>
        </w:tc>
        <w:tc>
          <w:tcPr>
            <w:tcW w:w="2385" w:type="dxa"/>
            <w:vAlign w:val="center"/>
            <w:hideMark/>
          </w:tcPr>
          <w:p w14:paraId="79449D63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622 (15.9%)</w:t>
            </w:r>
          </w:p>
        </w:tc>
        <w:tc>
          <w:tcPr>
            <w:tcW w:w="0" w:type="auto"/>
            <w:vAlign w:val="center"/>
            <w:hideMark/>
          </w:tcPr>
          <w:p w14:paraId="5856CCCF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609 (15.6%)</w:t>
            </w:r>
          </w:p>
        </w:tc>
        <w:tc>
          <w:tcPr>
            <w:tcW w:w="0" w:type="auto"/>
            <w:vAlign w:val="center"/>
            <w:hideMark/>
          </w:tcPr>
          <w:p w14:paraId="14FC062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0.33 (-1.28–1.95)</w:t>
            </w:r>
          </w:p>
        </w:tc>
        <w:tc>
          <w:tcPr>
            <w:tcW w:w="0" w:type="auto"/>
            <w:vAlign w:val="center"/>
            <w:hideMark/>
          </w:tcPr>
          <w:p w14:paraId="2383ED2B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1.03 (0.91–1.16)</w:t>
            </w:r>
          </w:p>
        </w:tc>
        <w:tc>
          <w:tcPr>
            <w:tcW w:w="0" w:type="auto"/>
            <w:vAlign w:val="center"/>
            <w:hideMark/>
          </w:tcPr>
          <w:p w14:paraId="172E418C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0.687</w:t>
            </w:r>
          </w:p>
        </w:tc>
      </w:tr>
      <w:tr w:rsidR="00EE39E1" w:rsidRPr="00EE39E1" w14:paraId="069F0110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4F49CA79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Sepsis</w:t>
            </w:r>
          </w:p>
        </w:tc>
        <w:tc>
          <w:tcPr>
            <w:tcW w:w="2385" w:type="dxa"/>
            <w:vAlign w:val="center"/>
            <w:hideMark/>
          </w:tcPr>
          <w:p w14:paraId="5CE9636A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517 (13.2%)</w:t>
            </w:r>
          </w:p>
        </w:tc>
        <w:tc>
          <w:tcPr>
            <w:tcW w:w="0" w:type="auto"/>
            <w:vAlign w:val="center"/>
            <w:hideMark/>
          </w:tcPr>
          <w:p w14:paraId="0097C31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505 (12.9%)</w:t>
            </w:r>
          </w:p>
        </w:tc>
        <w:tc>
          <w:tcPr>
            <w:tcW w:w="0" w:type="auto"/>
            <w:vAlign w:val="center"/>
            <w:hideMark/>
          </w:tcPr>
          <w:p w14:paraId="5923D3D8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0.31 (-1.19–1.80)</w:t>
            </w:r>
          </w:p>
        </w:tc>
        <w:tc>
          <w:tcPr>
            <w:tcW w:w="0" w:type="auto"/>
            <w:vAlign w:val="center"/>
            <w:hideMark/>
          </w:tcPr>
          <w:p w14:paraId="4E82EFCB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1.03 (0.90–1.17)</w:t>
            </w:r>
          </w:p>
        </w:tc>
        <w:tc>
          <w:tcPr>
            <w:tcW w:w="0" w:type="auto"/>
            <w:vAlign w:val="center"/>
            <w:hideMark/>
          </w:tcPr>
          <w:p w14:paraId="10361A63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0.687</w:t>
            </w:r>
          </w:p>
        </w:tc>
      </w:tr>
      <w:tr w:rsidR="00EE39E1" w:rsidRPr="00EE39E1" w14:paraId="43AA55E9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1CF88607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Pneumonia</w:t>
            </w:r>
          </w:p>
        </w:tc>
        <w:tc>
          <w:tcPr>
            <w:tcW w:w="2385" w:type="dxa"/>
            <w:vAlign w:val="center"/>
            <w:hideMark/>
          </w:tcPr>
          <w:p w14:paraId="053A6B6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536 (13.7%)</w:t>
            </w:r>
          </w:p>
        </w:tc>
        <w:tc>
          <w:tcPr>
            <w:tcW w:w="0" w:type="auto"/>
            <w:vAlign w:val="center"/>
            <w:hideMark/>
          </w:tcPr>
          <w:p w14:paraId="2D36EC04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552 (14.1%)</w:t>
            </w:r>
          </w:p>
        </w:tc>
        <w:tc>
          <w:tcPr>
            <w:tcW w:w="0" w:type="auto"/>
            <w:vAlign w:val="center"/>
            <w:hideMark/>
          </w:tcPr>
          <w:p w14:paraId="2F0925A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-0.41 (-1.94–1.12)</w:t>
            </w:r>
          </w:p>
        </w:tc>
        <w:tc>
          <w:tcPr>
            <w:tcW w:w="0" w:type="auto"/>
            <w:vAlign w:val="center"/>
            <w:hideMark/>
          </w:tcPr>
          <w:p w14:paraId="0CF5529B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0.97 (0.85–1.10)</w:t>
            </w:r>
          </w:p>
        </w:tc>
        <w:tc>
          <w:tcPr>
            <w:tcW w:w="0" w:type="auto"/>
            <w:vAlign w:val="center"/>
            <w:hideMark/>
          </w:tcPr>
          <w:p w14:paraId="3A6EB1DE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0.601</w:t>
            </w:r>
          </w:p>
        </w:tc>
      </w:tr>
      <w:tr w:rsidR="00EE39E1" w:rsidRPr="00EE39E1" w14:paraId="5694DF53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78AE9153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Seizure</w:t>
            </w:r>
          </w:p>
        </w:tc>
        <w:tc>
          <w:tcPr>
            <w:tcW w:w="2385" w:type="dxa"/>
            <w:vAlign w:val="center"/>
            <w:hideMark/>
          </w:tcPr>
          <w:p w14:paraId="5C0A1A82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370 (9.45%)</w:t>
            </w:r>
          </w:p>
        </w:tc>
        <w:tc>
          <w:tcPr>
            <w:tcW w:w="0" w:type="auto"/>
            <w:vAlign w:val="center"/>
            <w:hideMark/>
          </w:tcPr>
          <w:p w14:paraId="0AA7C2B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389 (9.94%)</w:t>
            </w:r>
          </w:p>
        </w:tc>
        <w:tc>
          <w:tcPr>
            <w:tcW w:w="0" w:type="auto"/>
            <w:vAlign w:val="center"/>
            <w:hideMark/>
          </w:tcPr>
          <w:p w14:paraId="60E5F05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-0.49 (-1.80–0.83)</w:t>
            </w:r>
          </w:p>
        </w:tc>
        <w:tc>
          <w:tcPr>
            <w:tcW w:w="0" w:type="auto"/>
            <w:vAlign w:val="center"/>
            <w:hideMark/>
          </w:tcPr>
          <w:p w14:paraId="7042688F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0.95 (0.81–1.10)</w:t>
            </w:r>
          </w:p>
        </w:tc>
        <w:tc>
          <w:tcPr>
            <w:tcW w:w="0" w:type="auto"/>
            <w:vAlign w:val="center"/>
            <w:hideMark/>
          </w:tcPr>
          <w:p w14:paraId="3EB23B2C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0.468</w:t>
            </w:r>
          </w:p>
        </w:tc>
      </w:tr>
      <w:tr w:rsidR="00EE39E1" w:rsidRPr="00EE39E1" w14:paraId="3CD3F8FF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284852EA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Cerebral infarction</w:t>
            </w:r>
          </w:p>
        </w:tc>
        <w:tc>
          <w:tcPr>
            <w:tcW w:w="2385" w:type="dxa"/>
            <w:vAlign w:val="center"/>
            <w:hideMark/>
          </w:tcPr>
          <w:p w14:paraId="79A193BA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306 (7.82%)</w:t>
            </w:r>
          </w:p>
        </w:tc>
        <w:tc>
          <w:tcPr>
            <w:tcW w:w="0" w:type="auto"/>
            <w:vAlign w:val="center"/>
            <w:hideMark/>
          </w:tcPr>
          <w:p w14:paraId="46AD33AA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271 (6.92%)</w:t>
            </w:r>
          </w:p>
        </w:tc>
        <w:tc>
          <w:tcPr>
            <w:tcW w:w="0" w:type="auto"/>
            <w:vAlign w:val="center"/>
            <w:hideMark/>
          </w:tcPr>
          <w:p w14:paraId="7DA3EC94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0.89 (-0.26–2.05)</w:t>
            </w:r>
          </w:p>
        </w:tc>
        <w:tc>
          <w:tcPr>
            <w:tcW w:w="0" w:type="auto"/>
            <w:vAlign w:val="center"/>
            <w:hideMark/>
          </w:tcPr>
          <w:p w14:paraId="14B7D238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1.14 (0.96–1.35)</w:t>
            </w:r>
          </w:p>
        </w:tc>
        <w:tc>
          <w:tcPr>
            <w:tcW w:w="0" w:type="auto"/>
            <w:vAlign w:val="center"/>
            <w:hideMark/>
          </w:tcPr>
          <w:p w14:paraId="6B0869E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0.130</w:t>
            </w:r>
          </w:p>
        </w:tc>
      </w:tr>
      <w:tr w:rsidR="00EE39E1" w:rsidRPr="00EE39E1" w14:paraId="7E38CBD6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2B04111A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Prolonged Intubation/Tracheostomy</w:t>
            </w:r>
          </w:p>
        </w:tc>
        <w:tc>
          <w:tcPr>
            <w:tcW w:w="2385" w:type="dxa"/>
            <w:vAlign w:val="center"/>
            <w:hideMark/>
          </w:tcPr>
          <w:p w14:paraId="5610CA57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275 (7.03%)</w:t>
            </w:r>
          </w:p>
        </w:tc>
        <w:tc>
          <w:tcPr>
            <w:tcW w:w="0" w:type="auto"/>
            <w:vAlign w:val="center"/>
            <w:hideMark/>
          </w:tcPr>
          <w:p w14:paraId="5D2F58C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303 (7.74%)</w:t>
            </w:r>
          </w:p>
        </w:tc>
        <w:tc>
          <w:tcPr>
            <w:tcW w:w="0" w:type="auto"/>
            <w:vAlign w:val="center"/>
            <w:hideMark/>
          </w:tcPr>
          <w:p w14:paraId="7C6D96B7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-0.72 (-1.87–0.44)</w:t>
            </w:r>
          </w:p>
        </w:tc>
        <w:tc>
          <w:tcPr>
            <w:tcW w:w="0" w:type="auto"/>
            <w:vAlign w:val="center"/>
            <w:hideMark/>
          </w:tcPr>
          <w:p w14:paraId="133BF52D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0.90 (0.76–1.07)</w:t>
            </w:r>
          </w:p>
        </w:tc>
        <w:tc>
          <w:tcPr>
            <w:tcW w:w="0" w:type="auto"/>
            <w:vAlign w:val="center"/>
            <w:hideMark/>
          </w:tcPr>
          <w:p w14:paraId="7E397B3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0.226</w:t>
            </w:r>
          </w:p>
        </w:tc>
      </w:tr>
      <w:tr w:rsidR="00EE39E1" w:rsidRPr="00EE39E1" w14:paraId="289D4FB3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63F0CF72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Emergency intubation</w:t>
            </w:r>
          </w:p>
        </w:tc>
        <w:tc>
          <w:tcPr>
            <w:tcW w:w="2385" w:type="dxa"/>
            <w:vAlign w:val="center"/>
            <w:hideMark/>
          </w:tcPr>
          <w:p w14:paraId="28532840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158 (4.04%)</w:t>
            </w:r>
          </w:p>
        </w:tc>
        <w:tc>
          <w:tcPr>
            <w:tcW w:w="0" w:type="auto"/>
            <w:vAlign w:val="center"/>
            <w:hideMark/>
          </w:tcPr>
          <w:p w14:paraId="193BDEF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169 (4.32%)</w:t>
            </w:r>
          </w:p>
        </w:tc>
        <w:tc>
          <w:tcPr>
            <w:tcW w:w="0" w:type="auto"/>
            <w:vAlign w:val="center"/>
            <w:hideMark/>
          </w:tcPr>
          <w:p w14:paraId="28E4862A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-0.28 (-1.17–0.61)</w:t>
            </w:r>
          </w:p>
        </w:tc>
        <w:tc>
          <w:tcPr>
            <w:tcW w:w="0" w:type="auto"/>
            <w:vAlign w:val="center"/>
            <w:hideMark/>
          </w:tcPr>
          <w:p w14:paraId="61FBBF17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0.93 (0.75–1.16)</w:t>
            </w:r>
          </w:p>
        </w:tc>
        <w:tc>
          <w:tcPr>
            <w:tcW w:w="0" w:type="auto"/>
            <w:vAlign w:val="center"/>
            <w:hideMark/>
          </w:tcPr>
          <w:p w14:paraId="11DEBA4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0.534</w:t>
            </w:r>
          </w:p>
        </w:tc>
      </w:tr>
      <w:tr w:rsidR="00EE39E1" w:rsidRPr="00EE39E1" w14:paraId="1AFFFCF3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36073CF3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Heart failure</w:t>
            </w:r>
          </w:p>
        </w:tc>
        <w:tc>
          <w:tcPr>
            <w:tcW w:w="2385" w:type="dxa"/>
            <w:vAlign w:val="center"/>
            <w:hideMark/>
          </w:tcPr>
          <w:p w14:paraId="4EBA159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556 (14.2%)</w:t>
            </w:r>
          </w:p>
        </w:tc>
        <w:tc>
          <w:tcPr>
            <w:tcW w:w="0" w:type="auto"/>
            <w:vAlign w:val="center"/>
            <w:hideMark/>
          </w:tcPr>
          <w:p w14:paraId="53DAF72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540 (13.8%)</w:t>
            </w:r>
          </w:p>
        </w:tc>
        <w:tc>
          <w:tcPr>
            <w:tcW w:w="0" w:type="auto"/>
            <w:vAlign w:val="center"/>
            <w:hideMark/>
          </w:tcPr>
          <w:p w14:paraId="12478C73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0.41 (-1.13–1.95)</w:t>
            </w:r>
          </w:p>
        </w:tc>
        <w:tc>
          <w:tcPr>
            <w:tcW w:w="0" w:type="auto"/>
            <w:vAlign w:val="center"/>
            <w:hideMark/>
          </w:tcPr>
          <w:p w14:paraId="5DE3DAFD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1.04 (0.91–1.17)</w:t>
            </w:r>
          </w:p>
        </w:tc>
        <w:tc>
          <w:tcPr>
            <w:tcW w:w="0" w:type="auto"/>
            <w:vAlign w:val="center"/>
            <w:hideMark/>
          </w:tcPr>
          <w:p w14:paraId="0954F32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0.602</w:t>
            </w:r>
          </w:p>
        </w:tc>
      </w:tr>
      <w:tr w:rsidR="00EE39E1" w:rsidRPr="00EE39E1" w14:paraId="56DFE753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6997C673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CAUTI</w:t>
            </w:r>
          </w:p>
        </w:tc>
        <w:tc>
          <w:tcPr>
            <w:tcW w:w="2385" w:type="dxa"/>
            <w:vAlign w:val="center"/>
            <w:hideMark/>
          </w:tcPr>
          <w:p w14:paraId="7EA51140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19 (0.49%)</w:t>
            </w:r>
          </w:p>
        </w:tc>
        <w:tc>
          <w:tcPr>
            <w:tcW w:w="0" w:type="auto"/>
            <w:vAlign w:val="center"/>
            <w:hideMark/>
          </w:tcPr>
          <w:p w14:paraId="1D93BE8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11 (0.28%)</w:t>
            </w:r>
          </w:p>
        </w:tc>
        <w:tc>
          <w:tcPr>
            <w:tcW w:w="0" w:type="auto"/>
            <w:vAlign w:val="center"/>
            <w:hideMark/>
          </w:tcPr>
          <w:p w14:paraId="48015207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0.20 (-0.07–0.48)</w:t>
            </w:r>
          </w:p>
        </w:tc>
        <w:tc>
          <w:tcPr>
            <w:tcW w:w="0" w:type="auto"/>
            <w:vAlign w:val="center"/>
            <w:hideMark/>
          </w:tcPr>
          <w:p w14:paraId="75B4C29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1.73 (0.82–3.64)</w:t>
            </w:r>
          </w:p>
        </w:tc>
        <w:tc>
          <w:tcPr>
            <w:tcW w:w="0" w:type="auto"/>
            <w:vAlign w:val="center"/>
            <w:hideMark/>
          </w:tcPr>
          <w:p w14:paraId="3299F1D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0.143</w:t>
            </w:r>
          </w:p>
        </w:tc>
      </w:tr>
      <w:tr w:rsidR="00EE39E1" w:rsidRPr="00EE39E1" w14:paraId="747B68F9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66BA3EA8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lastRenderedPageBreak/>
              <w:t>Neurocritical care</w:t>
            </w:r>
          </w:p>
        </w:tc>
        <w:tc>
          <w:tcPr>
            <w:tcW w:w="2385" w:type="dxa"/>
            <w:vAlign w:val="center"/>
            <w:hideMark/>
          </w:tcPr>
          <w:p w14:paraId="12029544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38 (0.97%)</w:t>
            </w:r>
          </w:p>
        </w:tc>
        <w:tc>
          <w:tcPr>
            <w:tcW w:w="0" w:type="auto"/>
            <w:vAlign w:val="center"/>
            <w:hideMark/>
          </w:tcPr>
          <w:p w14:paraId="08250A34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37 (0.95%)</w:t>
            </w:r>
          </w:p>
        </w:tc>
        <w:tc>
          <w:tcPr>
            <w:tcW w:w="0" w:type="auto"/>
            <w:vAlign w:val="center"/>
            <w:hideMark/>
          </w:tcPr>
          <w:p w14:paraId="10051EB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0.03 (-0.41–0.46)</w:t>
            </w:r>
          </w:p>
        </w:tc>
        <w:tc>
          <w:tcPr>
            <w:tcW w:w="0" w:type="auto"/>
            <w:vAlign w:val="center"/>
            <w:hideMark/>
          </w:tcPr>
          <w:p w14:paraId="2F784AAB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1.03 (0.65–1.62)</w:t>
            </w:r>
          </w:p>
        </w:tc>
        <w:tc>
          <w:tcPr>
            <w:tcW w:w="0" w:type="auto"/>
            <w:vAlign w:val="center"/>
            <w:hideMark/>
          </w:tcPr>
          <w:p w14:paraId="34D5431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0.908</w:t>
            </w:r>
          </w:p>
        </w:tc>
      </w:tr>
      <w:tr w:rsidR="00EE39E1" w:rsidRPr="00EE39E1" w14:paraId="204927E8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3D770B53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CLABSI</w:t>
            </w:r>
          </w:p>
        </w:tc>
        <w:tc>
          <w:tcPr>
            <w:tcW w:w="2385" w:type="dxa"/>
            <w:vAlign w:val="center"/>
            <w:hideMark/>
          </w:tcPr>
          <w:p w14:paraId="1AFA342A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0BAFEDE7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774664B2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6292003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161E37A3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—</w:t>
            </w:r>
          </w:p>
        </w:tc>
      </w:tr>
      <w:tr w:rsidR="00EE39E1" w:rsidRPr="00EE39E1" w14:paraId="0F427C99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318CB1E5" w14:textId="77777777" w:rsidR="00EE39E1" w:rsidRPr="00EE39E1" w:rsidRDefault="00EE39E1" w:rsidP="00955571">
            <w:pPr>
              <w:jc w:val="center"/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  <w:t>C. difficile</w:t>
            </w:r>
          </w:p>
        </w:tc>
        <w:tc>
          <w:tcPr>
            <w:tcW w:w="2385" w:type="dxa"/>
            <w:vAlign w:val="center"/>
            <w:hideMark/>
          </w:tcPr>
          <w:p w14:paraId="7D916405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54 (1.38%)</w:t>
            </w:r>
          </w:p>
        </w:tc>
        <w:tc>
          <w:tcPr>
            <w:tcW w:w="0" w:type="auto"/>
            <w:vAlign w:val="center"/>
            <w:hideMark/>
          </w:tcPr>
          <w:p w14:paraId="4DB71F1C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77 (1.97%)</w:t>
            </w:r>
          </w:p>
        </w:tc>
        <w:tc>
          <w:tcPr>
            <w:tcW w:w="0" w:type="auto"/>
            <w:vAlign w:val="center"/>
            <w:hideMark/>
          </w:tcPr>
          <w:p w14:paraId="0531426D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-0.59 (-1.16–-0.02)</w:t>
            </w:r>
          </w:p>
        </w:tc>
        <w:tc>
          <w:tcPr>
            <w:tcW w:w="0" w:type="auto"/>
            <w:vAlign w:val="center"/>
            <w:hideMark/>
          </w:tcPr>
          <w:p w14:paraId="4DCE0D7D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0.70 (0.49–0.99)</w:t>
            </w:r>
          </w:p>
        </w:tc>
        <w:tc>
          <w:tcPr>
            <w:tcW w:w="0" w:type="auto"/>
            <w:vAlign w:val="center"/>
            <w:hideMark/>
          </w:tcPr>
          <w:p w14:paraId="74E84F98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0.043</w:t>
            </w:r>
          </w:p>
        </w:tc>
      </w:tr>
      <w:tr w:rsidR="00EE39E1" w:rsidRPr="00EE39E1" w14:paraId="20F2230A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04B2AF29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Pulmonary embolism</w:t>
            </w:r>
          </w:p>
        </w:tc>
        <w:tc>
          <w:tcPr>
            <w:tcW w:w="2385" w:type="dxa"/>
            <w:vAlign w:val="center"/>
            <w:hideMark/>
          </w:tcPr>
          <w:p w14:paraId="55F66680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118 (3.02%)</w:t>
            </w:r>
          </w:p>
        </w:tc>
        <w:tc>
          <w:tcPr>
            <w:tcW w:w="0" w:type="auto"/>
            <w:vAlign w:val="center"/>
            <w:hideMark/>
          </w:tcPr>
          <w:p w14:paraId="68C7159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111 (2.84%)</w:t>
            </w:r>
          </w:p>
        </w:tc>
        <w:tc>
          <w:tcPr>
            <w:tcW w:w="0" w:type="auto"/>
            <w:vAlign w:val="center"/>
            <w:hideMark/>
          </w:tcPr>
          <w:p w14:paraId="38941A92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0.18 (-0.57–0.93)</w:t>
            </w:r>
          </w:p>
        </w:tc>
        <w:tc>
          <w:tcPr>
            <w:tcW w:w="0" w:type="auto"/>
            <w:vAlign w:val="center"/>
            <w:hideMark/>
          </w:tcPr>
          <w:p w14:paraId="24CC2F47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1.07 (0.82–1.39)</w:t>
            </w:r>
          </w:p>
        </w:tc>
        <w:tc>
          <w:tcPr>
            <w:tcW w:w="0" w:type="auto"/>
            <w:vAlign w:val="center"/>
            <w:hideMark/>
          </w:tcPr>
          <w:p w14:paraId="483E814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0.639</w:t>
            </w:r>
          </w:p>
        </w:tc>
      </w:tr>
      <w:tr w:rsidR="00EE39E1" w:rsidRPr="00EE39E1" w14:paraId="0B5A65C1" w14:textId="77777777" w:rsidTr="00955571">
        <w:trPr>
          <w:tblCellSpacing w:w="15" w:type="dxa"/>
        </w:trPr>
        <w:tc>
          <w:tcPr>
            <w:tcW w:w="2115" w:type="dxa"/>
            <w:vAlign w:val="center"/>
            <w:hideMark/>
          </w:tcPr>
          <w:p w14:paraId="0436EA7D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DVT</w:t>
            </w:r>
          </w:p>
        </w:tc>
        <w:tc>
          <w:tcPr>
            <w:tcW w:w="2385" w:type="dxa"/>
            <w:vAlign w:val="center"/>
            <w:hideMark/>
          </w:tcPr>
          <w:p w14:paraId="49CE6532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228 (5.83%)</w:t>
            </w:r>
          </w:p>
        </w:tc>
        <w:tc>
          <w:tcPr>
            <w:tcW w:w="0" w:type="auto"/>
            <w:vAlign w:val="center"/>
            <w:hideMark/>
          </w:tcPr>
          <w:p w14:paraId="0E0D1A5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257 (6.57%)</w:t>
            </w:r>
          </w:p>
        </w:tc>
        <w:tc>
          <w:tcPr>
            <w:tcW w:w="0" w:type="auto"/>
            <w:vAlign w:val="center"/>
            <w:hideMark/>
          </w:tcPr>
          <w:p w14:paraId="27B73F2A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-0.74 (-1.81–0.33)</w:t>
            </w:r>
          </w:p>
        </w:tc>
        <w:tc>
          <w:tcPr>
            <w:tcW w:w="0" w:type="auto"/>
            <w:vAlign w:val="center"/>
            <w:hideMark/>
          </w:tcPr>
          <w:p w14:paraId="3BFEE867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0.88 (0.73–1.06)</w:t>
            </w:r>
          </w:p>
        </w:tc>
        <w:tc>
          <w:tcPr>
            <w:tcW w:w="0" w:type="auto"/>
            <w:vAlign w:val="center"/>
            <w:hideMark/>
          </w:tcPr>
          <w:p w14:paraId="3D268F7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0.174</w:t>
            </w:r>
          </w:p>
        </w:tc>
      </w:tr>
      <w:tr w:rsidR="00EE39E1" w:rsidRPr="00EE39E1" w14:paraId="7FA52580" w14:textId="77777777" w:rsidTr="00955571">
        <w:trPr>
          <w:tblCellSpacing w:w="15" w:type="dxa"/>
        </w:trPr>
        <w:tc>
          <w:tcPr>
            <w:tcW w:w="2115" w:type="dxa"/>
            <w:tcBorders>
              <w:bottom w:val="single" w:sz="4" w:space="0" w:color="auto"/>
            </w:tcBorders>
            <w:vAlign w:val="center"/>
            <w:hideMark/>
          </w:tcPr>
          <w:p w14:paraId="25FE6652" w14:textId="77777777" w:rsidR="00EE39E1" w:rsidRPr="00EE39E1" w:rsidRDefault="00EE39E1" w:rsidP="0095557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39E1">
              <w:rPr>
                <w:b/>
                <w:bCs/>
                <w:color w:val="000000" w:themeColor="text1"/>
                <w:sz w:val="16"/>
                <w:szCs w:val="16"/>
              </w:rPr>
              <w:t>Cardiogenic shock</w:t>
            </w:r>
          </w:p>
        </w:tc>
        <w:tc>
          <w:tcPr>
            <w:tcW w:w="2385" w:type="dxa"/>
            <w:tcBorders>
              <w:bottom w:val="single" w:sz="4" w:space="0" w:color="auto"/>
            </w:tcBorders>
            <w:vAlign w:val="center"/>
            <w:hideMark/>
          </w:tcPr>
          <w:p w14:paraId="2BA81D06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72 (1.84%)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B6E42B9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65 (1.66%)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002A15B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0.18 (-0.40–0.76)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FF4D421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1.11 (0.79–1.56)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E7AFF68" w14:textId="77777777" w:rsidR="00EE39E1" w:rsidRPr="00EE39E1" w:rsidRDefault="00EE39E1" w:rsidP="00955571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EE39E1">
              <w:rPr>
                <w:color w:val="000000" w:themeColor="text1"/>
                <w:sz w:val="16"/>
                <w:szCs w:val="16"/>
              </w:rPr>
              <w:t>0.546</w:t>
            </w:r>
          </w:p>
        </w:tc>
      </w:tr>
    </w:tbl>
    <w:p w14:paraId="7D9C8EEA" w14:textId="77777777" w:rsidR="00EE39E1" w:rsidRPr="00EE39E1" w:rsidRDefault="00EE39E1" w:rsidP="00EE39E1">
      <w:pPr>
        <w:spacing w:line="276" w:lineRule="auto"/>
        <w:rPr>
          <w:color w:val="000000" w:themeColor="text1"/>
          <w:sz w:val="18"/>
          <w:szCs w:val="18"/>
        </w:rPr>
      </w:pPr>
      <w:r w:rsidRPr="00EE39E1">
        <w:rPr>
          <w:color w:val="000000" w:themeColor="text1"/>
          <w:sz w:val="18"/>
          <w:szCs w:val="18"/>
        </w:rPr>
        <w:t xml:space="preserve">Bold value </w:t>
      </w:r>
      <w:r w:rsidRPr="00EE39E1">
        <w:rPr>
          <w:i/>
          <w:iCs/>
          <w:color w:val="000000" w:themeColor="text1"/>
          <w:sz w:val="18"/>
          <w:szCs w:val="18"/>
        </w:rPr>
        <w:t>P-</w:t>
      </w:r>
      <w:r w:rsidRPr="00EE39E1">
        <w:rPr>
          <w:color w:val="000000" w:themeColor="text1"/>
          <w:sz w:val="18"/>
          <w:szCs w:val="18"/>
        </w:rPr>
        <w:t>value &lt;0.05 indicating significance.</w:t>
      </w:r>
    </w:p>
    <w:p w14:paraId="7A23AB1A" w14:textId="77777777" w:rsidR="00EE39E1" w:rsidRDefault="00EE39E1" w:rsidP="00EE39E1">
      <w:pPr>
        <w:spacing w:line="276" w:lineRule="auto"/>
        <w:rPr>
          <w:color w:val="000000" w:themeColor="text1"/>
          <w:sz w:val="18"/>
          <w:szCs w:val="18"/>
        </w:rPr>
      </w:pPr>
      <w:r w:rsidRPr="00EE39E1">
        <w:rPr>
          <w:color w:val="000000" w:themeColor="text1"/>
          <w:sz w:val="18"/>
          <w:szCs w:val="18"/>
        </w:rPr>
        <w:t>DM, diabetes mellitus; AKI, acute kidney injury; CAUTI, catheter-associated urinary tract infection; CLABSI, Central Line-Associated Bloodstream Infection; DVT, deep vein thrombosis. Neurocritical care is a composite variable of requiring any of the following: ICP monitor, external ventricular drain, decompressive craniectomy, or a craniotomy for hematoma evacuation</w:t>
      </w:r>
    </w:p>
    <w:p w14:paraId="61B1E893" w14:textId="77777777" w:rsidR="00EE39E1" w:rsidRPr="00EE39E1" w:rsidRDefault="00EE39E1" w:rsidP="00EE39E1">
      <w:pPr>
        <w:spacing w:line="276" w:lineRule="auto"/>
        <w:rPr>
          <w:color w:val="000000" w:themeColor="text1"/>
          <w:sz w:val="18"/>
          <w:szCs w:val="18"/>
        </w:rPr>
      </w:pPr>
    </w:p>
    <w:p w14:paraId="45680DA4" w14:textId="77777777" w:rsidR="00EE39E1" w:rsidRPr="00EE39E1" w:rsidRDefault="00EE39E1" w:rsidP="00EE39E1">
      <w:pPr>
        <w:spacing w:line="276" w:lineRule="auto"/>
        <w:rPr>
          <w:b/>
          <w:bCs/>
          <w:color w:val="000000" w:themeColor="text1"/>
          <w:sz w:val="22"/>
          <w:szCs w:val="22"/>
        </w:rPr>
      </w:pPr>
      <w:r w:rsidRPr="00EE39E1">
        <w:rPr>
          <w:b/>
          <w:bCs/>
          <w:color w:val="000000" w:themeColor="text1"/>
          <w:sz w:val="22"/>
          <w:szCs w:val="22"/>
        </w:rPr>
        <w:t xml:space="preserve">Table 2B. Clinical Outcomes and Complications in Patients with Uncomplicated Diabetes Versus Matched Controls Without Diabetes After Severe Traumatic Brain Injury. </w:t>
      </w:r>
      <w:r w:rsidRPr="00EE39E1">
        <w:rPr>
          <w:color w:val="000000" w:themeColor="text1"/>
          <w:sz w:val="18"/>
          <w:szCs w:val="18"/>
        </w:rPr>
        <w:t>Data are presented as n (%) with risk difference (95% confidence interval) and odds ratio (95% confidence interval) from multivariable logistic regression models. Neurocritical care is a composite variable including intracranial pressure (ICP) monitor, external ventricular drain, decompressive craniectomy, or craniotomy for hematoma evacuation. Bold indicates statistical significance (P &lt;0.05). CLABSI events were too few for analysis in the uncomplicated diabetes cohort.</w:t>
      </w:r>
    </w:p>
    <w:p w14:paraId="43E01688" w14:textId="77777777" w:rsidR="00EE39E1" w:rsidRPr="00EE39E1" w:rsidRDefault="00EE39E1" w:rsidP="00EE39E1">
      <w:pPr>
        <w:spacing w:line="276" w:lineRule="auto"/>
        <w:rPr>
          <w:color w:val="000000" w:themeColor="text1"/>
          <w:sz w:val="22"/>
          <w:szCs w:val="22"/>
        </w:rPr>
      </w:pPr>
    </w:p>
    <w:p w14:paraId="1805317C" w14:textId="77777777" w:rsidR="00EE39E1" w:rsidRPr="00EE39E1" w:rsidRDefault="00EE39E1" w:rsidP="00EE39E1">
      <w:pPr>
        <w:rPr>
          <w:color w:val="000000" w:themeColor="text1"/>
        </w:rPr>
      </w:pPr>
    </w:p>
    <w:sectPr w:rsidR="00EE39E1" w:rsidRPr="00EE39E1" w:rsidSect="00EE39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036"/>
    <w:rsid w:val="000602F4"/>
    <w:rsid w:val="000D3A58"/>
    <w:rsid w:val="0019075B"/>
    <w:rsid w:val="004058E5"/>
    <w:rsid w:val="004270DE"/>
    <w:rsid w:val="00553036"/>
    <w:rsid w:val="005A0832"/>
    <w:rsid w:val="006A151E"/>
    <w:rsid w:val="007000B9"/>
    <w:rsid w:val="007A2C99"/>
    <w:rsid w:val="00833A63"/>
    <w:rsid w:val="00937360"/>
    <w:rsid w:val="00956BDF"/>
    <w:rsid w:val="00C44CCF"/>
    <w:rsid w:val="00E05EE6"/>
    <w:rsid w:val="00E57CE6"/>
    <w:rsid w:val="00EE3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D4A1C"/>
  <w15:chartTrackingRefBased/>
  <w15:docId w15:val="{8D9A9BEC-CD73-E24B-B3EC-E6B2A3B7B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9E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303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303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303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303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303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303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303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303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303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30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30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30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30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30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30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30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30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30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30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30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303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30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303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30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303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30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30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30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3036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553036"/>
    <w:rPr>
      <w:b/>
      <w:bCs/>
    </w:rPr>
  </w:style>
  <w:style w:type="character" w:styleId="Emphasis">
    <w:name w:val="Emphasis"/>
    <w:basedOn w:val="DefaultParagraphFont"/>
    <w:uiPriority w:val="20"/>
    <w:qFormat/>
    <w:rsid w:val="005530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733</Words>
  <Characters>4372</Characters>
  <Application>Microsoft Office Word</Application>
  <DocSecurity>0</DocSecurity>
  <Lines>257</Lines>
  <Paragraphs>255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Kotzur</dc:creator>
  <cp:keywords/>
  <dc:description/>
  <cp:lastModifiedBy>Chui, Chloe Kaijia</cp:lastModifiedBy>
  <cp:revision>6</cp:revision>
  <dcterms:created xsi:type="dcterms:W3CDTF">2026-02-09T04:28:00Z</dcterms:created>
  <dcterms:modified xsi:type="dcterms:W3CDTF">2026-03-15T04:00:00Z</dcterms:modified>
</cp:coreProperties>
</file>