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Pr>
      <w:r>
        <w:t xml:space="preserve">HAM10000 Skin Lesion Classification — Models Results</w:t>
      </w:r>
    </w:p>
    <w:p>
      <w:pPr>
        <w:spacing w:after="80"/>
      </w:pPr>
      <w:r>
        <w:rPr>
          <w:rFonts w:ascii="Arial" w:cs="Arial" w:eastAsia="Arial" w:hAnsi="Arial"/>
          <w:color w:val="666666"/>
          <w:sz w:val="20"/>
          <w:szCs w:val="20"/>
        </w:rPr>
        <w:t xml:space="preserve">Dataset: HAM10000  |  Classes: 7  |  Split: Patient-level (no lesion leakage)</w:t>
      </w:r>
    </w:p>
    <w:p>
      <w:pPr>
        <w:spacing w:after="80"/>
      </w:pPr>
      <w:r>
        <w:rPr>
          <w:rFonts w:ascii="Arial" w:cs="Arial" w:eastAsia="Arial" w:hAnsi="Arial"/>
          <w:color w:val="666666"/>
          <w:sz w:val="20"/>
          <w:szCs w:val="20"/>
        </w:rPr>
        <w:t xml:space="preserve">Training config: AdamW  |  CosineAnnealingWarmRestarts  |  Label Smoothing 0.1  |  Mixed Precision fp16  |  WeightedRandomSampler</w:t>
      </w:r>
    </w:p>
    <w:p>
      <w:pPr>
        <w:spacing w:after="240"/>
      </w:pPr>
      <w:r>
        <w:t xml:space="preserve"/>
      </w:r>
    </w:p>
    <w:p>
      <w:pPr>
        <w:pStyle w:val="Heading2"/>
      </w:pPr>
      <w:r>
        <w:t xml:space="preserve">Results Comparison</w:t>
      </w:r>
    </w:p>
    <w:tbl>
      <w:tblPr>
        <w:tblW w:type="dxa" w:w="13360"/>
        <w:tblBorders>
          <w:top w:val="single" w:color="auto" w:sz="4"/>
          <w:left w:val="single" w:color="auto" w:sz="4"/>
          <w:bottom w:val="single" w:color="auto" w:sz="4"/>
          <w:right w:val="single" w:color="auto" w:sz="4"/>
          <w:insideH w:val="single" w:color="auto" w:sz="4"/>
          <w:insideV w:val="single" w:color="auto" w:sz="4"/>
        </w:tblBorders>
      </w:tblPr>
      <w:tblGrid>
        <w:gridCol w:w="2800"/>
        <w:gridCol w:w="1760"/>
        <w:gridCol w:w="1760"/>
        <w:gridCol w:w="1760"/>
        <w:gridCol w:w="1760"/>
        <w:gridCol w:w="1760"/>
        <w:gridCol w:w="1760"/>
      </w:tblGrid>
      <w:tr>
        <w:trPr>
          <w:tblHeader/>
        </w:trPr>
        <w:tc>
          <w:tcPr>
            <w:tcW w:type="dxa" w:w="2800"/>
            <w:tcBorders>
              <w:top w:val="single" w:color="2E5FA3" w:sz="1"/>
              <w:left w:val="single" w:color="2E5FA3" w:sz="1"/>
              <w:bottom w:val="single" w:color="2E5FA3" w:sz="1"/>
              <w:right w:val="single" w:color="2E5FA3" w:sz="1"/>
            </w:tcBorders>
            <w:shd w:fill="2E5FA3"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Model</w:t>
            </w:r>
          </w:p>
        </w:tc>
        <w:tc>
          <w:tcPr>
            <w:tcW w:type="dxa" w:w="1760"/>
            <w:tcBorders>
              <w:top w:val="single" w:color="2E5FA3" w:sz="1"/>
              <w:left w:val="single" w:color="2E5FA3" w:sz="1"/>
              <w:bottom w:val="single" w:color="2E5FA3" w:sz="1"/>
              <w:right w:val="single" w:color="2E5FA3" w:sz="1"/>
            </w:tcBorders>
            <w:shd w:fill="2E5FA3"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Test Loss</w:t>
            </w:r>
          </w:p>
        </w:tc>
        <w:tc>
          <w:tcPr>
            <w:tcW w:type="dxa" w:w="1760"/>
            <w:tcBorders>
              <w:top w:val="single" w:color="2E5FA3" w:sz="1"/>
              <w:left w:val="single" w:color="2E5FA3" w:sz="1"/>
              <w:bottom w:val="single" w:color="2E5FA3" w:sz="1"/>
              <w:right w:val="single" w:color="2E5FA3" w:sz="1"/>
            </w:tcBorders>
            <w:shd w:fill="2E5FA3"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Test Acc</w:t>
            </w:r>
          </w:p>
        </w:tc>
        <w:tc>
          <w:tcPr>
            <w:tcW w:type="dxa" w:w="1760"/>
            <w:tcBorders>
              <w:top w:val="single" w:color="2E5FA3" w:sz="1"/>
              <w:left w:val="single" w:color="2E5FA3" w:sz="1"/>
              <w:bottom w:val="single" w:color="2E5FA3" w:sz="1"/>
              <w:right w:val="single" w:color="2E5FA3" w:sz="1"/>
            </w:tcBorders>
            <w:shd w:fill="2E5FA3"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Balanced Acc</w:t>
            </w:r>
          </w:p>
        </w:tc>
        <w:tc>
          <w:tcPr>
            <w:tcW w:type="dxa" w:w="1760"/>
            <w:tcBorders>
              <w:top w:val="single" w:color="2E5FA3" w:sz="1"/>
              <w:left w:val="single" w:color="2E5FA3" w:sz="1"/>
              <w:bottom w:val="single" w:color="2E5FA3" w:sz="1"/>
              <w:right w:val="single" w:color="2E5FA3" w:sz="1"/>
            </w:tcBorders>
            <w:shd w:fill="2E5FA3"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Macro F1</w:t>
            </w:r>
          </w:p>
        </w:tc>
        <w:tc>
          <w:tcPr>
            <w:tcW w:type="dxa" w:w="1760"/>
            <w:tcBorders>
              <w:top w:val="single" w:color="2E5FA3" w:sz="1"/>
              <w:left w:val="single" w:color="2E5FA3" w:sz="1"/>
              <w:bottom w:val="single" w:color="2E5FA3" w:sz="1"/>
              <w:right w:val="single" w:color="2E5FA3" w:sz="1"/>
            </w:tcBorders>
            <w:shd w:fill="2E5FA3"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AUC-ROC</w:t>
            </w:r>
          </w:p>
        </w:tc>
        <w:tc>
          <w:tcPr>
            <w:tcW w:type="dxa" w:w="1760"/>
            <w:tcBorders>
              <w:top w:val="single" w:color="2E5FA3" w:sz="1"/>
              <w:left w:val="single" w:color="2E5FA3" w:sz="1"/>
              <w:bottom w:val="single" w:color="2E5FA3" w:sz="1"/>
              <w:right w:val="single" w:color="2E5FA3" w:sz="1"/>
            </w:tcBorders>
            <w:shd w:fill="2E5FA3"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Best Val Acc</w:t>
            </w:r>
          </w:p>
        </w:tc>
      </w:tr>
      <w:tr>
        <w:tc>
          <w:tcPr>
            <w:tcW w:type="dxa" w:w="280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left"/>
            </w:pPr>
            <w:r>
              <w:rPr>
                <w:rFonts w:ascii="Arial" w:cs="Arial" w:eastAsia="Arial" w:hAnsi="Arial"/>
                <w:b/>
                <w:bCs/>
                <w:sz w:val="20"/>
                <w:szCs w:val="20"/>
              </w:rPr>
              <w:t xml:space="preserve">ResNet-50</w:t>
            </w:r>
          </w:p>
        </w:tc>
        <w:tc>
          <w:tcPr>
            <w:tcW w:type="dxa" w:w="176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0.9402</w:t>
            </w:r>
          </w:p>
        </w:tc>
        <w:tc>
          <w:tcPr>
            <w:tcW w:type="dxa" w:w="176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0.7590</w:t>
            </w:r>
          </w:p>
        </w:tc>
        <w:tc>
          <w:tcPr>
            <w:tcW w:type="dxa" w:w="176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0.7500</w:t>
            </w:r>
          </w:p>
        </w:tc>
        <w:tc>
          <w:tcPr>
            <w:tcW w:type="dxa" w:w="176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0.6681</w:t>
            </w:r>
          </w:p>
        </w:tc>
        <w:tc>
          <w:tcPr>
            <w:tcW w:type="dxa" w:w="176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0.9548</w:t>
            </w:r>
          </w:p>
        </w:tc>
        <w:tc>
          <w:tcPr>
            <w:tcW w:type="dxa" w:w="176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0.7734</w:t>
            </w:r>
          </w:p>
        </w:tc>
      </w:tr>
      <w:tr>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left"/>
            </w:pPr>
            <w:r>
              <w:rPr>
                <w:rFonts w:ascii="Arial" w:cs="Arial" w:eastAsia="Arial" w:hAnsi="Arial"/>
                <w:b/>
                <w:bCs/>
                <w:sz w:val="20"/>
                <w:szCs w:val="20"/>
              </w:rPr>
              <w:t xml:space="preserve">EfficientNet-B4</w:t>
            </w:r>
          </w:p>
        </w:tc>
        <w:tc>
          <w:tcPr>
            <w:tcW w:type="dxa" w:w="1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0.7679</w:t>
            </w:r>
          </w:p>
        </w:tc>
        <w:tc>
          <w:tcPr>
            <w:tcW w:type="dxa" w:w="1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0.8507</w:t>
            </w:r>
          </w:p>
        </w:tc>
        <w:tc>
          <w:tcPr>
            <w:tcW w:type="dxa" w:w="1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0.7083</w:t>
            </w:r>
          </w:p>
        </w:tc>
        <w:tc>
          <w:tcPr>
            <w:tcW w:type="dxa" w:w="1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0.7380</w:t>
            </w:r>
          </w:p>
        </w:tc>
        <w:tc>
          <w:tcPr>
            <w:tcW w:type="dxa" w:w="1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0.9712</w:t>
            </w:r>
          </w:p>
        </w:tc>
        <w:tc>
          <w:tcPr>
            <w:tcW w:type="dxa" w:w="1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0.8629</w:t>
            </w:r>
          </w:p>
        </w:tc>
      </w:tr>
      <w:tr>
        <w:tc>
          <w:tcPr>
            <w:tcW w:type="dxa" w:w="280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left"/>
            </w:pPr>
            <w:r>
              <w:rPr>
                <w:rFonts w:ascii="Arial" w:cs="Arial" w:eastAsia="Arial" w:hAnsi="Arial"/>
                <w:b/>
                <w:bCs/>
                <w:sz w:val="20"/>
                <w:szCs w:val="20"/>
              </w:rPr>
              <w:t xml:space="preserve">ConvNeXt-Base</w:t>
            </w:r>
          </w:p>
        </w:tc>
        <w:tc>
          <w:tcPr>
            <w:tcW w:type="dxa" w:w="176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0.8856</w:t>
            </w:r>
          </w:p>
        </w:tc>
        <w:tc>
          <w:tcPr>
            <w:tcW w:type="dxa" w:w="176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0.8474</w:t>
            </w:r>
          </w:p>
        </w:tc>
        <w:tc>
          <w:tcPr>
            <w:tcW w:type="dxa" w:w="176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0.7634</w:t>
            </w:r>
          </w:p>
        </w:tc>
        <w:tc>
          <w:tcPr>
            <w:tcW w:type="dxa" w:w="176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0.7510</w:t>
            </w:r>
          </w:p>
        </w:tc>
        <w:tc>
          <w:tcPr>
            <w:tcW w:type="dxa" w:w="176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0.9428</w:t>
            </w:r>
          </w:p>
        </w:tc>
        <w:tc>
          <w:tcPr>
            <w:tcW w:type="dxa" w:w="176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0.8476</w:t>
            </w:r>
          </w:p>
        </w:tc>
      </w:tr>
      <w:tr>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left"/>
            </w:pPr>
            <w:r>
              <w:rPr>
                <w:rFonts w:ascii="Arial" w:cs="Arial" w:eastAsia="Arial" w:hAnsi="Arial"/>
                <w:b/>
                <w:bCs/>
                <w:sz w:val="20"/>
                <w:szCs w:val="20"/>
              </w:rPr>
              <w:t xml:space="preserve">Swin Transformer</w:t>
            </w:r>
          </w:p>
        </w:tc>
        <w:tc>
          <w:tcPr>
            <w:tcW w:type="dxa" w:w="1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0.7920</w:t>
            </w:r>
          </w:p>
        </w:tc>
        <w:tc>
          <w:tcPr>
            <w:tcW w:type="dxa" w:w="1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0.8507</w:t>
            </w:r>
          </w:p>
        </w:tc>
        <w:tc>
          <w:tcPr>
            <w:tcW w:type="dxa" w:w="1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0.7966</w:t>
            </w:r>
          </w:p>
        </w:tc>
        <w:tc>
          <w:tcPr>
            <w:tcW w:type="dxa" w:w="1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0.7719</w:t>
            </w:r>
          </w:p>
        </w:tc>
        <w:tc>
          <w:tcPr>
            <w:tcW w:type="dxa" w:w="1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0.9717</w:t>
            </w:r>
          </w:p>
        </w:tc>
        <w:tc>
          <w:tcPr>
            <w:tcW w:type="dxa" w:w="1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0.8752</w:t>
            </w:r>
          </w:p>
        </w:tc>
      </w:tr>
      <w:tr>
        <w:tc>
          <w:tcPr>
            <w:tcW w:type="dxa" w:w="280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left"/>
            </w:pPr>
            <w:r>
              <w:rPr>
                <w:rFonts w:ascii="Arial" w:cs="Arial" w:eastAsia="Arial" w:hAnsi="Arial"/>
                <w:b/>
                <w:bCs/>
                <w:sz w:val="20"/>
                <w:szCs w:val="20"/>
              </w:rPr>
              <w:t xml:space="preserve">ViT-B/16</w:t>
            </w:r>
          </w:p>
        </w:tc>
        <w:tc>
          <w:tcPr>
            <w:tcW w:type="dxa" w:w="176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0.8226</w:t>
            </w:r>
          </w:p>
        </w:tc>
        <w:tc>
          <w:tcPr>
            <w:tcW w:type="dxa" w:w="176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0.8566</w:t>
            </w:r>
          </w:p>
        </w:tc>
        <w:tc>
          <w:tcPr>
            <w:tcW w:type="dxa" w:w="176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0.7720</w:t>
            </w:r>
          </w:p>
        </w:tc>
        <w:tc>
          <w:tcPr>
            <w:tcW w:type="dxa" w:w="176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0.7741</w:t>
            </w:r>
          </w:p>
        </w:tc>
        <w:tc>
          <w:tcPr>
            <w:tcW w:type="dxa" w:w="176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0.9629</w:t>
            </w:r>
          </w:p>
        </w:tc>
        <w:tc>
          <w:tcPr>
            <w:tcW w:type="dxa" w:w="1760"/>
            <w:tcBorders>
              <w:top w:val="single" w:color="CCCCCC" w:sz="1"/>
              <w:left w:val="single" w:color="CCCCCC" w:sz="1"/>
              <w:bottom w:val="single" w:color="CCCCCC" w:sz="1"/>
              <w:right w:val="single" w:color="CCCCCC" w:sz="1"/>
            </w:tcBorders>
            <w:shd w:fill="EEF3FB"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0.8714</w:t>
            </w:r>
          </w:p>
        </w:tc>
      </w:tr>
      <w:tr>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left"/>
            </w:pPr>
            <w:r>
              <w:rPr>
                <w:rFonts w:ascii="Arial" w:cs="Arial" w:eastAsia="Arial" w:hAnsi="Arial"/>
                <w:b/>
                <w:bCs/>
                <w:sz w:val="20"/>
                <w:szCs w:val="20"/>
              </w:rPr>
              <w:t xml:space="preserve">Ensemble</w:t>
            </w:r>
          </w:p>
        </w:tc>
        <w:tc>
          <w:tcPr>
            <w:tcW w:type="dxa" w:w="1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w:t>
            </w:r>
          </w:p>
        </w:tc>
        <w:tc>
          <w:tcPr>
            <w:tcW w:type="dxa" w:w="1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0.8657</w:t>
            </w:r>
          </w:p>
        </w:tc>
        <w:tc>
          <w:tcPr>
            <w:tcW w:type="dxa" w:w="1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0.7998</w:t>
            </w:r>
          </w:p>
        </w:tc>
        <w:tc>
          <w:tcPr>
            <w:tcW w:type="dxa" w:w="1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0.7856</w:t>
            </w:r>
          </w:p>
        </w:tc>
        <w:tc>
          <w:tcPr>
            <w:tcW w:type="dxa" w:w="1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0.9811</w:t>
            </w:r>
          </w:p>
        </w:tc>
        <w:tc>
          <w:tcPr>
            <w:tcW w:type="dxa" w:w="1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b w:val="false"/>
                <w:bCs w:val="false"/>
                <w:sz w:val="20"/>
                <w:szCs w:val="20"/>
              </w:rPr>
              <w:t xml:space="preserve">—</w:t>
            </w:r>
          </w:p>
        </w:tc>
      </w:tr>
    </w:tbl>
    <w:p>
      <w:pPr>
        <w:spacing w:after="360"/>
      </w:pPr>
      <w:r>
        <w:t xml:space="preserve"/>
      </w:r>
    </w:p>
    <w:p>
      <w:pPr>
        <w:pStyle w:val="Heading2"/>
      </w:pPr>
      <w:r>
        <w:t xml:space="preserve">ResNet-50 — Baseline</w:t>
      </w:r>
    </w:p>
    <w:p>
      <w:pPr>
        <w:spacing w:after="80"/>
      </w:pPr>
      <w:r>
        <w:rPr>
          <w:rFonts w:ascii="Arial" w:cs="Arial" w:eastAsia="Arial" w:hAnsi="Arial"/>
          <w:sz w:val="22"/>
          <w:szCs w:val="22"/>
        </w:rPr>
        <w:t xml:space="preserve">Architecture: ResNet-50  |  Image size: 224x224  |  Params: ~25M  |  Epochs: 25 (early stopping)</w:t>
      </w:r>
    </w:p>
    <w:p>
      <w:pPr>
        <w:spacing w:after="80"/>
      </w:pPr>
      <w:r>
        <w:rPr>
          <w:rFonts w:ascii="Arial" w:cs="Arial" w:eastAsia="Arial" w:hAnsi="Arial"/>
          <w:sz w:val="22"/>
          <w:szCs w:val="22"/>
        </w:rPr>
        <w:t xml:space="preserve">Test Accuracy: 0.7590  |  Balanced Accuracy: 0.7500  |  Macro F1: 0.6681  |  AUC-ROC: 0.9548  |  Test Loss: 0.9402</w:t>
      </w:r>
    </w:p>
    <w:p>
      <w:pPr>
        <w:spacing w:after="80"/>
      </w:pPr>
      <w:r>
        <w:rPr>
          <w:rFonts w:ascii="Arial" w:cs="Arial" w:eastAsia="Arial" w:hAnsi="Arial"/>
          <w:sz w:val="22"/>
          <w:szCs w:val="22"/>
        </w:rPr>
        <w:t xml:space="preserve">Best Val Accuracy: 0.7734</w:t>
      </w:r>
    </w:p>
    <w:p>
      <w:pPr>
        <w:spacing w:after="80"/>
      </w:pPr>
      <w:r>
        <w:rPr>
          <w:rFonts w:ascii="Arial" w:cs="Arial" w:eastAsia="Arial" w:hAnsi="Arial"/>
          <w:color w:val="666666"/>
          <w:sz w:val="20"/>
          <w:szCs w:val="20"/>
        </w:rPr>
        <w:t xml:space="preserve">Notes: Overfitting observed (~14% gap between train and val accuracy). Val accuracy showed oscillation due to CosineAnnealingWarmRestarts restarts. Serves as baseline for comparison with stronger models.</w:t>
      </w:r>
    </w:p>
    <w:p>
      <w:pPr>
        <w:spacing w:after="360"/>
      </w:pPr>
      <w:r>
        <w:t xml:space="preserve"/>
      </w:r>
    </w:p>
    <w:p>
      <w:pPr>
        <w:pStyle w:val="Heading2"/>
      </w:pPr>
      <w:r>
        <w:t xml:space="preserve">EfficientNet-B4</w:t>
      </w:r>
    </w:p>
    <w:p>
      <w:pPr>
        <w:spacing w:after="80"/>
      </w:pPr>
      <w:r>
        <w:rPr>
          <w:rFonts w:ascii="Arial" w:cs="Arial" w:eastAsia="Arial" w:hAnsi="Arial"/>
          <w:sz w:val="22"/>
          <w:szCs w:val="22"/>
        </w:rPr>
        <w:t xml:space="preserve">Architecture: EfficientNet-B4  |  Image size: 380x380  |  Params: ~19M  |  Epochs: 30 (full)</w:t>
      </w:r>
    </w:p>
    <w:p>
      <w:pPr>
        <w:spacing w:after="80"/>
      </w:pPr>
      <w:r>
        <w:rPr>
          <w:rFonts w:ascii="Arial" w:cs="Arial" w:eastAsia="Arial" w:hAnsi="Arial"/>
          <w:sz w:val="22"/>
          <w:szCs w:val="22"/>
        </w:rPr>
        <w:t xml:space="preserve">Test Accuracy: 0.8507  |  Balanced Accuracy: 0.7083  |  Macro F1: 0.7380  |  AUC-ROC: 0.9712  |  Test Loss: 0.7679</w:t>
      </w:r>
    </w:p>
    <w:p>
      <w:pPr>
        <w:spacing w:after="80"/>
      </w:pPr>
      <w:r>
        <w:rPr>
          <w:rFonts w:ascii="Arial" w:cs="Arial" w:eastAsia="Arial" w:hAnsi="Arial"/>
          <w:sz w:val="22"/>
          <w:szCs w:val="22"/>
        </w:rPr>
        <w:t xml:space="preserve">Best Val Accuracy: 0.8629</w:t>
      </w:r>
    </w:p>
    <w:p>
      <w:pPr>
        <w:spacing w:after="80"/>
      </w:pPr>
      <w:r>
        <w:rPr>
          <w:rFonts w:ascii="Arial" w:cs="Arial" w:eastAsia="Arial" w:hAnsi="Arial"/>
          <w:color w:val="666666"/>
          <w:sz w:val="20"/>
          <w:szCs w:val="20"/>
        </w:rPr>
        <w:t xml:space="preserve">Notes: Significant improvement over ResNet-50 (+9.17% test accuracy). Overfitting is still present (~13% gap) but the model converged steadily across all 30 epochs. Val accuracy stabilized well in the second half of training with minimal oscillation compared to ResNet-50.</w:t>
      </w:r>
    </w:p>
    <w:p>
      <w:pPr>
        <w:spacing w:after="360"/>
      </w:pPr>
      <w:r>
        <w:t xml:space="preserve"/>
      </w:r>
    </w:p>
    <w:p>
      <w:pPr>
        <w:pStyle w:val="Heading2"/>
      </w:pPr>
      <w:r>
        <w:t xml:space="preserve">ConvNeXt-Base</w:t>
      </w:r>
    </w:p>
    <w:p>
      <w:pPr>
        <w:spacing w:after="80"/>
      </w:pPr>
      <w:r>
        <w:rPr>
          <w:rFonts w:ascii="Arial" w:cs="Arial" w:eastAsia="Arial" w:hAnsi="Arial"/>
          <w:sz w:val="22"/>
          <w:szCs w:val="22"/>
        </w:rPr>
        <w:t xml:space="preserve">Architecture: ConvNeXt-Base  |  Image size: 224x224  |  Params: ~89M  |  Epochs: 26 (early stopping)</w:t>
      </w:r>
    </w:p>
    <w:p>
      <w:pPr>
        <w:spacing w:after="80"/>
      </w:pPr>
      <w:r>
        <w:rPr>
          <w:rFonts w:ascii="Arial" w:cs="Arial" w:eastAsia="Arial" w:hAnsi="Arial"/>
          <w:sz w:val="22"/>
          <w:szCs w:val="22"/>
        </w:rPr>
        <w:t xml:space="preserve">Test Accuracy: 0.8474  |  Balanced Accuracy: 0.7634  |  Macro F1: 0.7510  |  AUC-ROC: 0.9428  |  Test Loss: 0.8856</w:t>
      </w:r>
    </w:p>
    <w:p>
      <w:pPr>
        <w:spacing w:after="80"/>
      </w:pPr>
      <w:r>
        <w:rPr>
          <w:rFonts w:ascii="Arial" w:cs="Arial" w:eastAsia="Arial" w:hAnsi="Arial"/>
          <w:sz w:val="22"/>
          <w:szCs w:val="22"/>
        </w:rPr>
        <w:t xml:space="preserve">Best Val Accuracy: 0.8476</w:t>
      </w:r>
    </w:p>
    <w:p>
      <w:pPr>
        <w:spacing w:after="80"/>
      </w:pPr>
      <w:r>
        <w:rPr>
          <w:rFonts w:ascii="Arial" w:cs="Arial" w:eastAsia="Arial" w:hAnsi="Arial"/>
          <w:color w:val="666666"/>
          <w:sz w:val="20"/>
          <w:szCs w:val="20"/>
        </w:rPr>
        <w:t xml:space="preserve">Notes: Comparable to EfficientNet-B4 in test accuracy (0.8474 vs 0.8507) but with better Balanced Accuracy and Macro F1. Training showed noticeable oscillation in val accuracy due to the CosineAnnealingWarmRestarts restarts, particularly visible at epoch 10 reset. Early stopping triggered at epoch 26.</w:t>
      </w:r>
    </w:p>
    <w:p>
      <w:pPr>
        <w:spacing w:after="360"/>
      </w:pPr>
      <w:r>
        <w:t xml:space="preserve"/>
      </w:r>
    </w:p>
    <w:p>
      <w:pPr>
        <w:pStyle w:val="Heading2"/>
      </w:pPr>
      <w:r>
        <w:t xml:space="preserve">Swin Transformer-Base</w:t>
      </w:r>
    </w:p>
    <w:p>
      <w:pPr>
        <w:spacing w:after="80"/>
      </w:pPr>
      <w:r>
        <w:rPr>
          <w:rFonts w:ascii="Arial" w:cs="Arial" w:eastAsia="Arial" w:hAnsi="Arial"/>
          <w:sz w:val="22"/>
          <w:szCs w:val="22"/>
        </w:rPr>
        <w:t xml:space="preserve">Architecture: Swin Transformer-Base  |  Image size: 224x224  |  Params: ~88M  |  Epochs: 22 (early stopping)</w:t>
      </w:r>
    </w:p>
    <w:p>
      <w:pPr>
        <w:spacing w:after="80"/>
      </w:pPr>
      <w:r>
        <w:rPr>
          <w:rFonts w:ascii="Arial" w:cs="Arial" w:eastAsia="Arial" w:hAnsi="Arial"/>
          <w:sz w:val="22"/>
          <w:szCs w:val="22"/>
        </w:rPr>
        <w:t xml:space="preserve">Test Accuracy: 0.8507  |  Balanced Accuracy: 0.7966  |  Macro F1: 0.7719  |  AUC-ROC: 0.9717  |  Test Loss: 0.7920</w:t>
      </w:r>
    </w:p>
    <w:p>
      <w:pPr>
        <w:spacing w:after="80"/>
      </w:pPr>
      <w:r>
        <w:rPr>
          <w:rFonts w:ascii="Arial" w:cs="Arial" w:eastAsia="Arial" w:hAnsi="Arial"/>
          <w:sz w:val="22"/>
          <w:szCs w:val="22"/>
        </w:rPr>
        <w:t xml:space="preserve">Best Val Accuracy: 0.8752</w:t>
      </w:r>
    </w:p>
    <w:p>
      <w:pPr>
        <w:spacing w:after="80"/>
      </w:pPr>
      <w:r>
        <w:rPr>
          <w:rFonts w:ascii="Arial" w:cs="Arial" w:eastAsia="Arial" w:hAnsi="Arial"/>
          <w:color w:val="666666"/>
          <w:sz w:val="20"/>
          <w:szCs w:val="20"/>
        </w:rPr>
        <w:t xml:space="preserve">Notes: Best Balanced Accuracy and Macro F1 among all models so far (0.7966 and 0.7719). Training was stable with Linear Warmup (3 epochs) + Cosine Decay and no hard restarts. Drop path rate 0.3 helped reduce overfitting. LR started at 1.67e-05 and peaked at 5e-05 after warmup. Early stopping triggered at epoch 22.</w:t>
      </w:r>
    </w:p>
    <w:sectPr>
      <w:pgSz w:w="15840" w:h="122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00" w:after="200"/>
      <w:outlineLvl w:val="0"/>
    </w:pPr>
    <w:rPr>
      <w:rFonts w:ascii="Arial" w:cs="Arial" w:eastAsia="Arial" w:hAnsi="Arial"/>
      <w:b/>
      <w:bCs/>
      <w:color w:val="2E5FA3"/>
      <w:sz w:val="36"/>
      <w:szCs w:val="36"/>
    </w:rPr>
  </w:style>
  <w:style w:type="paragraph" w:styleId="Heading2">
    <w:name w:val="Heading 2"/>
    <w:basedOn w:val="Normal"/>
    <w:next w:val="Normal"/>
    <w:qFormat/>
    <w:pPr>
      <w:spacing w:before="240" w:after="120"/>
      <w:outlineLvl w:val="1"/>
    </w:pPr>
    <w:rPr>
      <w:rFonts w:ascii="Arial" w:cs="Arial" w:eastAsia="Arial" w:hAnsi="Arial"/>
      <w:b/>
      <w:bCs/>
      <w:color w:val="2E5FA3"/>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2026-03-27T21:32:20.741Z</dcterms:created>
  <dcterms:modified xsi:type="dcterms:W3CDTF">2026-03-27T21:32:20.742Z</dcterms:modified>
</cp:coreProperties>
</file>

<file path=docProps/custom.xml><?xml version="1.0" encoding="utf-8"?>
<Properties xmlns="http://schemas.openxmlformats.org/officeDocument/2006/custom-properties" xmlns:vt="http://schemas.openxmlformats.org/officeDocument/2006/docPropsVTypes"/>
</file>