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0A1F79" w14:textId="77777777" w:rsidR="00356C33" w:rsidRDefault="00356C33" w:rsidP="00356C33">
      <w:pPr>
        <w:spacing w:line="480" w:lineRule="auto"/>
        <w:rPr>
          <w:rFonts w:ascii="Times New Roman" w:eastAsia="MS Mincho" w:hAnsi="Times New Roman" w:cs="Times New Roman"/>
          <w:b/>
          <w:bCs/>
          <w:color w:val="000000" w:themeColor="text1"/>
          <w:sz w:val="20"/>
          <w:szCs w:val="20"/>
        </w:rPr>
      </w:pPr>
      <w:r w:rsidRPr="00FC45C3">
        <w:rPr>
          <w:rFonts w:ascii="Times New Roman" w:eastAsia="MS Mincho" w:hAnsi="Times New Roman" w:cs="Times New Roman"/>
          <w:b/>
          <w:bCs/>
          <w:color w:val="000000" w:themeColor="text1"/>
          <w:sz w:val="20"/>
          <w:szCs w:val="20"/>
        </w:rPr>
        <w:t>Table 1. Comparison of patient characteristics between the 2L(+) and 2L(−) groups.</w:t>
      </w:r>
    </w:p>
    <w:p w14:paraId="09666936" w14:textId="77777777" w:rsidR="00356C33" w:rsidRPr="00B27816" w:rsidRDefault="00356C33" w:rsidP="00356C33">
      <w:pPr>
        <w:spacing w:line="480" w:lineRule="auto"/>
        <w:rPr>
          <w:rFonts w:ascii="Times New Roman" w:eastAsia="MS Mincho" w:hAnsi="Times New Roman" w:cs="Times New Roman"/>
          <w:b/>
          <w:bCs/>
          <w:color w:val="000000" w:themeColor="text1"/>
          <w:sz w:val="20"/>
          <w:szCs w:val="20"/>
        </w:rPr>
      </w:pPr>
      <w:r w:rsidRPr="00B27816">
        <w:rPr>
          <w:rFonts w:ascii="Times New Roman" w:eastAsia="MS Mincho" w:hAnsi="Times New Roman" w:cs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42932B83" wp14:editId="22F9181C">
            <wp:extent cx="6040748" cy="5458119"/>
            <wp:effectExtent l="0" t="0" r="5080" b="3175"/>
            <wp:docPr id="28830082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30082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46871" cy="5463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EE0A9" w14:textId="77777777" w:rsidR="00356C33" w:rsidRDefault="00356C33" w:rsidP="00356C33">
      <w:pPr>
        <w:spacing w:line="480" w:lineRule="auto"/>
        <w:rPr>
          <w:rFonts w:ascii="Times New Roman" w:eastAsia="MS Mincho" w:hAnsi="Times New Roman" w:cs="Times New Roman"/>
          <w:b/>
          <w:bCs/>
          <w:color w:val="000000" w:themeColor="text1"/>
          <w:sz w:val="20"/>
          <w:szCs w:val="20"/>
        </w:rPr>
      </w:pPr>
      <w:r w:rsidRPr="00FC45C3">
        <w:rPr>
          <w:rFonts w:ascii="Times New Roman" w:eastAsia="MS Mincho" w:hAnsi="Times New Roman" w:cs="Times New Roman"/>
          <w:b/>
          <w:bCs/>
          <w:color w:val="000000" w:themeColor="text1"/>
          <w:sz w:val="20"/>
          <w:szCs w:val="20"/>
        </w:rPr>
        <w:t>Table 2. Efficacy results and best therapeutic response (RECIST version 1.1) to GnP.</w:t>
      </w:r>
    </w:p>
    <w:p w14:paraId="595D7508" w14:textId="77777777" w:rsidR="00356C33" w:rsidRPr="00B27816" w:rsidRDefault="00356C33" w:rsidP="00356C33">
      <w:pPr>
        <w:spacing w:line="480" w:lineRule="auto"/>
        <w:rPr>
          <w:rFonts w:ascii="Times New Roman" w:eastAsia="MS Mincho" w:hAnsi="Times New Roman" w:cs="Times New Roman"/>
          <w:b/>
          <w:bCs/>
          <w:color w:val="000000" w:themeColor="text1"/>
          <w:sz w:val="20"/>
          <w:szCs w:val="20"/>
        </w:rPr>
      </w:pPr>
      <w:r w:rsidRPr="00B27816">
        <w:rPr>
          <w:rFonts w:ascii="Times New Roman" w:eastAsia="MS Mincho" w:hAnsi="Times New Roman" w:cs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491EA3A4" wp14:editId="3778B0A2">
            <wp:extent cx="5929459" cy="2097152"/>
            <wp:effectExtent l="0" t="0" r="1905" b="0"/>
            <wp:docPr id="154795982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95982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4577" cy="2102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F923D" w14:textId="77777777" w:rsidR="00356C33" w:rsidRDefault="00356C33" w:rsidP="00356C33">
      <w:pPr>
        <w:spacing w:line="480" w:lineRule="auto"/>
        <w:rPr>
          <w:rFonts w:ascii="Times New Roman" w:eastAsia="MS Mincho" w:hAnsi="Times New Roman" w:cs="Times New Roman"/>
          <w:b/>
          <w:bCs/>
          <w:color w:val="000000" w:themeColor="text1"/>
          <w:sz w:val="20"/>
          <w:szCs w:val="20"/>
        </w:rPr>
      </w:pPr>
      <w:r w:rsidRPr="00FC45C3">
        <w:rPr>
          <w:rFonts w:ascii="Times New Roman" w:eastAsia="MS Mincho" w:hAnsi="Times New Roman" w:cs="Times New Roman"/>
          <w:b/>
          <w:bCs/>
          <w:color w:val="000000" w:themeColor="text1"/>
          <w:sz w:val="20"/>
          <w:szCs w:val="20"/>
        </w:rPr>
        <w:lastRenderedPageBreak/>
        <w:t>Table 3. Univariate and multivariate analyses of prognostic factors for OS in patients with UR-PC.</w:t>
      </w:r>
    </w:p>
    <w:p w14:paraId="7A7A224C" w14:textId="77777777" w:rsidR="00356C33" w:rsidRPr="00FC45C3" w:rsidRDefault="00356C33" w:rsidP="00356C33">
      <w:pPr>
        <w:spacing w:line="480" w:lineRule="auto"/>
        <w:rPr>
          <w:rFonts w:ascii="Times New Roman" w:eastAsia="MS Mincho" w:hAnsi="Times New Roman" w:cs="Times New Roman"/>
          <w:color w:val="000000" w:themeColor="text1"/>
          <w:sz w:val="20"/>
          <w:szCs w:val="20"/>
        </w:rPr>
      </w:pPr>
      <w:r w:rsidRPr="00B27816">
        <w:rPr>
          <w:rFonts w:ascii="Times New Roman" w:eastAsia="MS Mincho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2C1CF977" wp14:editId="6E9B1010">
            <wp:extent cx="5850302" cy="2771480"/>
            <wp:effectExtent l="0" t="0" r="4445" b="0"/>
            <wp:docPr id="152328940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328940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65162" cy="277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2AC6E" w14:textId="77777777" w:rsidR="00356C33" w:rsidRDefault="00356C33" w:rsidP="00356C33">
      <w:pPr>
        <w:spacing w:line="480" w:lineRule="auto"/>
        <w:rPr>
          <w:rFonts w:ascii="Times New Roman" w:eastAsia="MS Mincho" w:hAnsi="Times New Roman" w:cs="Times New Roman"/>
          <w:b/>
          <w:bCs/>
          <w:color w:val="000000" w:themeColor="text1"/>
          <w:sz w:val="20"/>
          <w:szCs w:val="20"/>
        </w:rPr>
      </w:pPr>
      <w:r w:rsidRPr="00FC45C3">
        <w:rPr>
          <w:rFonts w:ascii="Times New Roman" w:eastAsia="MS Mincho" w:hAnsi="Times New Roman" w:cs="Times New Roman"/>
          <w:b/>
          <w:bCs/>
          <w:color w:val="000000" w:themeColor="text1"/>
          <w:sz w:val="20"/>
          <w:szCs w:val="20"/>
        </w:rPr>
        <w:t>Table 4. Univariate and multivariate binomial logistic regression analyses to identify factors associated with 2L administration.</w:t>
      </w:r>
    </w:p>
    <w:p w14:paraId="421DC450" w14:textId="77777777" w:rsidR="00356C33" w:rsidRPr="00FC45C3" w:rsidRDefault="00356C33" w:rsidP="00356C33">
      <w:pPr>
        <w:spacing w:line="480" w:lineRule="auto"/>
        <w:rPr>
          <w:rFonts w:ascii="Times New Roman" w:eastAsia="MS Mincho" w:hAnsi="Times New Roman" w:cs="Times New Roman"/>
          <w:color w:val="000000" w:themeColor="text1"/>
          <w:sz w:val="20"/>
          <w:szCs w:val="20"/>
        </w:rPr>
      </w:pPr>
      <w:r w:rsidRPr="00B27816">
        <w:rPr>
          <w:rFonts w:ascii="Times New Roman" w:eastAsia="MS Mincho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4DC41ABE" wp14:editId="7742B845">
            <wp:extent cx="5929459" cy="2324085"/>
            <wp:effectExtent l="0" t="0" r="1905" b="635"/>
            <wp:docPr id="84384845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84845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7734" cy="2331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010E6D" w14:textId="77777777" w:rsidR="00356C33" w:rsidRPr="008B0098" w:rsidRDefault="00356C33" w:rsidP="00356C33">
      <w:pPr>
        <w:spacing w:line="480" w:lineRule="auto"/>
        <w:rPr>
          <w:rFonts w:ascii="Times New Roman" w:eastAsia="MS Mincho" w:hAnsi="Times New Roman" w:cs="Times New Roman"/>
          <w:color w:val="000000" w:themeColor="text1"/>
          <w:sz w:val="20"/>
          <w:szCs w:val="20"/>
        </w:rPr>
      </w:pPr>
    </w:p>
    <w:p w14:paraId="3CDD96D7" w14:textId="77777777" w:rsidR="00DE6AE2" w:rsidRDefault="00DE6AE2"/>
    <w:sectPr w:rsidR="00DE6AE2" w:rsidSect="00356C33">
      <w:footerReference w:type="even" r:id="rId8"/>
      <w:footerReference w:type="default" r:id="rId9"/>
      <w:pgSz w:w="11906" w:h="16838"/>
      <w:pgMar w:top="1440" w:right="1080" w:bottom="1440" w:left="1080" w:header="851" w:footer="992" w:gutter="0"/>
      <w:lnNumType w:countBy="1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927180290"/>
      <w:docPartObj>
        <w:docPartGallery w:val="Page Numbers (Bottom of Page)"/>
        <w:docPartUnique/>
      </w:docPartObj>
    </w:sdtPr>
    <w:sdtContent>
      <w:p w14:paraId="55A439AF" w14:textId="77777777" w:rsidR="00356C33" w:rsidRDefault="00356C33" w:rsidP="0035060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1845C9EA" w14:textId="77777777" w:rsidR="00356C33" w:rsidRDefault="00356C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382908837"/>
      <w:docPartObj>
        <w:docPartGallery w:val="Page Numbers (Bottom of Page)"/>
        <w:docPartUnique/>
      </w:docPartObj>
    </w:sdtPr>
    <w:sdtContent>
      <w:p w14:paraId="202B6FEA" w14:textId="77777777" w:rsidR="00356C33" w:rsidRDefault="00356C33" w:rsidP="0035060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D7139BA" w14:textId="77777777" w:rsidR="00356C33" w:rsidRDefault="00356C3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C33"/>
    <w:rsid w:val="00195413"/>
    <w:rsid w:val="00356C33"/>
    <w:rsid w:val="003A13D1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F898F"/>
  <w15:chartTrackingRefBased/>
  <w15:docId w15:val="{B05E75F0-494F-45FE-A685-6DBAAEACA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C33"/>
    <w:pPr>
      <w:spacing w:after="0" w:line="240" w:lineRule="auto"/>
    </w:pPr>
    <w:rPr>
      <w:rFonts w:ascii="MS PGothic" w:eastAsia="MS PGothic" w:hAnsi="MS PGothic" w:cs="MS PGothic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6C3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6C3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6C3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6C3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6C3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6C3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6C3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6C3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6C3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6C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6C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6C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6C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6C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6C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6C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6C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6C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6C3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6C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6C3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6C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6C3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6C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6C3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6C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6C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6C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6C3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356C33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56C33"/>
    <w:rPr>
      <w:rFonts w:ascii="MS PGothic" w:eastAsia="MS PGothic" w:hAnsi="MS PGothic" w:cs="MS PGothic"/>
      <w:kern w:val="0"/>
      <w:lang w:eastAsia="ja-JP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356C33"/>
  </w:style>
  <w:style w:type="character" w:styleId="LineNumber">
    <w:name w:val="line number"/>
    <w:basedOn w:val="DefaultParagraphFont"/>
    <w:uiPriority w:val="99"/>
    <w:semiHidden/>
    <w:unhideWhenUsed/>
    <w:rsid w:val="00356C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349</Characters>
  <Application>Microsoft Office Word</Application>
  <DocSecurity>0</DocSecurity>
  <Lines>5</Lines>
  <Paragraphs>2</Paragraphs>
  <ScaleCrop>false</ScaleCrop>
  <Company>Springer Nature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2026-04-10T12:42:00Z</dcterms:created>
  <dcterms:modified xsi:type="dcterms:W3CDTF">2026-04-10T12:42:00Z</dcterms:modified>
</cp:coreProperties>
</file>