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A7C8C" w14:textId="77777777" w:rsidR="005B463F" w:rsidRDefault="005B463F" w:rsidP="005B463F">
      <w:pPr>
        <w:pStyle w:val="Heading1"/>
      </w:pPr>
      <w:r>
        <w:rPr>
          <w:rFonts w:ascii="Times New Roman" w:hAnsi="Times New Roman"/>
          <w:color w:val="000000"/>
        </w:rPr>
        <w:t>Supplementary Material: Simulation Analysis</w:t>
      </w:r>
    </w:p>
    <w:p w14:paraId="0DB8C43B" w14:textId="77777777" w:rsidR="005B463F" w:rsidRDefault="005B463F" w:rsidP="005B463F">
      <w:pPr>
        <w:pStyle w:val="Heading2"/>
      </w:pPr>
      <w:r>
        <w:rPr>
          <w:rFonts w:ascii="Times New Roman" w:hAnsi="Times New Roman"/>
          <w:color w:val="000000"/>
        </w:rPr>
        <w:t>Model Distinguishability in Non-Stationary Paradigms</w:t>
      </w:r>
    </w:p>
    <w:p w14:paraId="044CB5D9" w14:textId="77777777" w:rsidR="005B463F" w:rsidRDefault="005B463F" w:rsidP="005B463F">
      <w:r>
        <w:t>The stationary oddball paradigm used in our main analyses produces highly correlated surprise regressors (VIF &gt; 70 for Shannon and change-point models), preventing meaningful model comparison. To assess whether these models can be distinguished with appropriate experimental designs, we conducted a simulation study using a roving oddball paradigm with known change points.</w:t>
      </w:r>
    </w:p>
    <w:p w14:paraId="0DE8F1F8" w14:textId="77777777" w:rsidR="005B463F" w:rsidRDefault="005B463F" w:rsidP="005B463F">
      <w:pPr>
        <w:pStyle w:val="Heading2"/>
      </w:pPr>
      <w:r>
        <w:rPr>
          <w:rFonts w:ascii="Times New Roman" w:hAnsi="Times New Roman"/>
          <w:color w:val="000000"/>
        </w:rPr>
        <w:t>Methods</w:t>
      </w:r>
    </w:p>
    <w:p w14:paraId="3C976A0C" w14:textId="77777777" w:rsidR="005B463F" w:rsidRDefault="005B463F" w:rsidP="005B463F">
      <w:r>
        <w:t>Stimulus sequences. We generated non-stationary oddball sequences (800 trials, 10 blocks of 80 trials) where the deviant probability alternated between low (p = 0.10–0.15) and high (p = 0.35–0.50) blocks, creating 9 change points. For comparison, we also generated stationary sequences with fixed p = 0.20.</w:t>
      </w:r>
    </w:p>
    <w:p w14:paraId="17CC159E" w14:textId="77777777" w:rsidR="005B463F" w:rsidRDefault="005B463F" w:rsidP="005B463F">
      <w:r>
        <w:t>Regressor dissociability. All four surprise models were computed on each sequence type, and we compared correlation matrices and VIF values.</w:t>
      </w:r>
    </w:p>
    <w:p w14:paraId="0B661E47" w14:textId="77777777" w:rsidR="005B463F" w:rsidRDefault="005B463F" w:rsidP="005B463F">
      <w:r>
        <w:t>Model recovery. For each of the four surprise models as ground truth, we simulated single-trial EEG data: amplitude = β₀ + β₁·stimulus + β₂·surprise_true + noise (effect size β₂ = 0.05–0.50, noise σ = 1.0). All four models were then fit to the simulated data, and the model with the lowest AIC was selected as the recovered model. We ran 500 simulations per ground-truth model at β = 0.20 and swept across 6 effect sizes with 200 simulations each.</w:t>
      </w:r>
    </w:p>
    <w:p w14:paraId="67A42F08" w14:textId="77777777" w:rsidR="005B463F" w:rsidRDefault="005B463F" w:rsidP="005B463F">
      <w:pPr>
        <w:pStyle w:val="Heading2"/>
      </w:pPr>
      <w:r>
        <w:rPr>
          <w:rFonts w:ascii="Times New Roman" w:hAnsi="Times New Roman"/>
          <w:color w:val="000000"/>
        </w:rPr>
        <w:t>Results</w:t>
      </w:r>
    </w:p>
    <w:p w14:paraId="20AD2A50" w14:textId="77777777" w:rsidR="005B463F" w:rsidRDefault="005B463F" w:rsidP="005B463F">
      <w:r>
        <w:t>Regressor dissociability. In the roving paradigm, mean VIF decreased from 11.7 (stationary) to 6.5 (roving), a 44% reduction. Static Shannon VIF dropped from 10.9 to 2.4 (78% reduction). However, adaptive Shannon and change-point remained moderately collinear (VIF ≈ 10–12) even in the roving design.</w:t>
      </w:r>
    </w:p>
    <w:p w14:paraId="2E3D01D3" w14:textId="77777777" w:rsidR="005B463F" w:rsidRDefault="005B463F" w:rsidP="005B463F">
      <w:r>
        <w:t>Model recovery. At effect size β = 0.20, overall recovery rate was 65.2%. Critically, recovery rates differed dramatically across models (Figure 5D):</w:t>
      </w:r>
    </w:p>
    <w:p w14:paraId="757BCF6B" w14:textId="77777777" w:rsidR="005B463F" w:rsidRDefault="005B463F" w:rsidP="005B463F">
      <w:r>
        <w:lastRenderedPageBreak/>
        <w:t>• Bayesian surprise: 100% recovery. The KL divergence signal is distinct from frequency-based models, producing spikes at transitions that no other model replicates.</w:t>
      </w:r>
    </w:p>
    <w:p w14:paraId="29D13EEC" w14:textId="77777777" w:rsidR="005B463F" w:rsidRDefault="005B463F" w:rsidP="005B463F">
      <w:r>
        <w:t>• Adaptive Shannon: 82% recovery. The sliding window produces a delayed tracking signal that is distinguishable from Bayesian and static models.</w:t>
      </w:r>
    </w:p>
    <w:p w14:paraId="5B67B1BC" w14:textId="77777777" w:rsidR="005B463F" w:rsidRDefault="005B463F" w:rsidP="005B463F">
      <w:r>
        <w:t>• Change-point: 79% recovery. The predictive surprise signal is similar to adaptive Shannon in roving paradigms (r = 0.95), creating some confusion between these models.</w:t>
      </w:r>
    </w:p>
    <w:p w14:paraId="341A5682" w14:textId="77777777" w:rsidR="005B463F" w:rsidRDefault="005B463F" w:rsidP="005B463F">
      <w:r>
        <w:t>• Static Shannon: 0% recovery. Because static Shannon uses global frequencies and does not adapt, its signal is indistinguishable from the other frequency-based models. It was consistently confused with Bayesian (45%) and change-point (28%) surprise.</w:t>
      </w:r>
    </w:p>
    <w:p w14:paraId="71759190" w14:textId="77777777" w:rsidR="005B463F" w:rsidRDefault="005B463F" w:rsidP="005B463F">
      <w:r>
        <w:t>Effect size sweep. Bayesian surprise reached ≥94% recovery at β = 0.10 and 100% at β ≥ 0.15. Adaptive Shannon and change-point required β ≥ 0.20 for &gt;80% recovery. Static Shannon never exceeded chance regardless of effect size, indicating a fundamental identifiability problem.</w:t>
      </w:r>
    </w:p>
    <w:p w14:paraId="465E476F" w14:textId="77777777" w:rsidR="005B463F" w:rsidRDefault="005B463F" w:rsidP="005B463F">
      <w:pPr>
        <w:jc w:val="center"/>
      </w:pPr>
      <w:r>
        <w:rPr>
          <w:noProof/>
        </w:rPr>
        <w:drawing>
          <wp:inline distT="0" distB="0" distL="0" distR="0" wp14:anchorId="3BE32678" wp14:editId="14479C51">
            <wp:extent cx="5943600" cy="424753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5_simulation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74C8F" w14:textId="77777777" w:rsidR="005B463F" w:rsidRDefault="005B463F" w:rsidP="005B463F">
      <w:r>
        <w:rPr>
          <w:b/>
          <w:sz w:val="20"/>
        </w:rPr>
        <w:lastRenderedPageBreak/>
        <w:t xml:space="preserve">Figure 5. </w:t>
      </w:r>
      <w:r>
        <w:rPr>
          <w:sz w:val="20"/>
        </w:rPr>
        <w:t>Simulation results for non-stationary (roving) oddball paradigms. (A) Surprise traces in a stationary paradigm, all models highly correlated. (B) Surprise traces in a roving paradigm, models diverge at change points (dashed lines). Dotted line shows true deviant probability. (C) VIF comparison: roving paradigms substantially reduce multicollinearity. (D) Model recovery confusion matrix (β = 0.20, 500 simulations). Bayesian surprise is perfectly recoverable; static Shannon is never recovered. (E) Recovery rate as a function of effect size. (F) Design recommendations for future studies.</w:t>
      </w:r>
    </w:p>
    <w:p w14:paraId="2970DE9F" w14:textId="77777777" w:rsidR="005B463F" w:rsidRDefault="005B463F" w:rsidP="005B463F">
      <w:pPr>
        <w:pStyle w:val="Heading2"/>
      </w:pPr>
      <w:r>
        <w:rPr>
          <w:rFonts w:ascii="Times New Roman" w:hAnsi="Times New Roman"/>
          <w:color w:val="000000"/>
        </w:rPr>
        <w:t>Implications</w:t>
      </w:r>
    </w:p>
    <w:p w14:paraId="6A1936FA" w14:textId="77777777" w:rsidR="005B463F" w:rsidRDefault="005B463F" w:rsidP="005B463F">
      <w:r>
        <w:t>The inability to distinguish surprise models in our main analyses is a property of the stationary oddball paradigm, not an inherent limitation of the computational framework. Three concrete recommendations emerge:</w:t>
      </w:r>
    </w:p>
    <w:p w14:paraId="645EFE05" w14:textId="77777777" w:rsidR="005B463F" w:rsidRDefault="005B463F" w:rsidP="005B463F">
      <w:r>
        <w:t>First, roving or volatile paradigms are essential for testing competing surprise theories. Fixed-probability oddballs render most model comparisons uninformative due to multicollinearity.</w:t>
      </w:r>
    </w:p>
    <w:p w14:paraId="2B43E08E" w14:textId="77777777" w:rsidR="005B463F" w:rsidRDefault="005B463F" w:rsidP="005B463F">
      <w:r>
        <w:t>Second, Bayesian surprise is the most identifiable model and should be prioritized in future benchmark studies. Its unique sensitivity to belief revision produces signals that no frequency-based model can mimic.</w:t>
      </w:r>
    </w:p>
    <w:p w14:paraId="660A8026" w14:textId="77777777" w:rsidR="005B463F" w:rsidRDefault="005B463F" w:rsidP="005B463F">
      <w:r>
        <w:t>Third, static Shannon surprise should not be included as a competing model in formal comparisons, as it is fundamentally unidentifiable, it cannot be recovered even under ideal conditions. Its role should be limited to serving as a naive baseline.</w:t>
      </w:r>
    </w:p>
    <w:p w14:paraId="28F7671D" w14:textId="77777777" w:rsidR="00DE6AE2" w:rsidRDefault="00DE6AE2"/>
    <w:sectPr w:rsidR="00DE6AE2" w:rsidSect="005B463F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63F"/>
    <w:rsid w:val="00195413"/>
    <w:rsid w:val="003D0186"/>
    <w:rsid w:val="005B463F"/>
    <w:rsid w:val="007278E4"/>
    <w:rsid w:val="00982B95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51753"/>
  <w15:chartTrackingRefBased/>
  <w15:docId w15:val="{D23259F8-DF79-4805-BD63-BD8DE21E4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63F"/>
    <w:pPr>
      <w:spacing w:after="120" w:line="360" w:lineRule="auto"/>
    </w:pPr>
    <w:rPr>
      <w:rFonts w:ascii="Times New Roman" w:eastAsiaTheme="minorEastAsia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463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463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463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463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463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463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463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463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463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46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B46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46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46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46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46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46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46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46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46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46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463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46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463F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46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463F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46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46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46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463F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5B46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601</Words>
  <Characters>3723</Characters>
  <Application>Microsoft Office Word</Application>
  <DocSecurity>0</DocSecurity>
  <Lines>88</Lines>
  <Paragraphs>50</Paragraphs>
  <ScaleCrop>false</ScaleCrop>
  <Company>Springer Nature</Company>
  <LinksUpToDate>false</LinksUpToDate>
  <CharactersWithSpaces>4274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2026-04-02T05:21:00Z</dcterms:created>
  <dcterms:modified xsi:type="dcterms:W3CDTF">2026-04-02T05:22:00Z</dcterms:modified>
</cp:coreProperties>
</file>