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4EEE3" w14:textId="77777777" w:rsidR="00644F83" w:rsidRDefault="00644F83" w:rsidP="00644F83">
      <w:pPr>
        <w:spacing w:after="353"/>
      </w:pPr>
      <w:r>
        <w:t xml:space="preserve">Table 1. Characteristics of Included Studies </w:t>
      </w:r>
    </w:p>
    <w:p w14:paraId="26AD55E1" w14:textId="77777777" w:rsidR="00644F83" w:rsidRDefault="00644F83" w:rsidP="00644F83">
      <w:pPr>
        <w:tabs>
          <w:tab w:val="center" w:pos="2229"/>
          <w:tab w:val="center" w:pos="4216"/>
          <w:tab w:val="center" w:pos="5873"/>
          <w:tab w:val="center" w:pos="7737"/>
        </w:tabs>
        <w:spacing w:after="255"/>
        <w:ind w:left="0" w:firstLine="0"/>
      </w:pPr>
      <w:r>
        <w:t xml:space="preserve">Author (Year) </w:t>
      </w:r>
      <w:r>
        <w:tab/>
        <w:t xml:space="preserve">Country </w:t>
      </w:r>
      <w:r>
        <w:tab/>
        <w:t xml:space="preserve">Study Design </w:t>
      </w:r>
      <w:r>
        <w:tab/>
        <w:t xml:space="preserve">Population / </w:t>
      </w:r>
      <w:r>
        <w:tab/>
        <w:t xml:space="preserve">Key Outcomes </w:t>
      </w:r>
    </w:p>
    <w:p w14:paraId="62C4634A" w14:textId="77777777" w:rsidR="00644F83" w:rsidRDefault="00644F83" w:rsidP="00644F83">
      <w:pPr>
        <w:spacing w:after="404" w:line="295" w:lineRule="auto"/>
        <w:ind w:left="2291"/>
        <w:jc w:val="center"/>
      </w:pPr>
      <w:r>
        <w:t xml:space="preserve">Sample </w:t>
      </w:r>
    </w:p>
    <w:p w14:paraId="232203D2" w14:textId="77777777" w:rsidR="00644F83" w:rsidRDefault="00644F83" w:rsidP="00644F83">
      <w:pPr>
        <w:tabs>
          <w:tab w:val="center" w:pos="2182"/>
          <w:tab w:val="center" w:pos="4085"/>
          <w:tab w:val="center" w:pos="5645"/>
          <w:tab w:val="center" w:pos="7469"/>
        </w:tabs>
        <w:spacing w:after="255"/>
        <w:ind w:left="0" w:firstLine="0"/>
      </w:pPr>
      <w:r>
        <w:t>Martínez-</w:t>
      </w:r>
      <w:r>
        <w:tab/>
        <w:t xml:space="preserve">Europe </w:t>
      </w:r>
      <w:r>
        <w:tab/>
        <w:t xml:space="preserve">Single-cell </w:t>
      </w:r>
      <w:r>
        <w:tab/>
        <w:t xml:space="preserve">Human </w:t>
      </w:r>
      <w:r>
        <w:tab/>
        <w:t xml:space="preserve">Cell-type </w:t>
      </w:r>
    </w:p>
    <w:p w14:paraId="6AF96561" w14:textId="77777777" w:rsidR="00644F83" w:rsidRDefault="00644F83" w:rsidP="00644F83">
      <w:pPr>
        <w:spacing w:after="0" w:line="475" w:lineRule="auto"/>
        <w:ind w:left="120"/>
      </w:pPr>
      <w:r>
        <w:t xml:space="preserve">López et al. transcriptomic pancreatic &amp; specific mRNA (2025) analysis immune cells regulation in </w:t>
      </w:r>
    </w:p>
    <w:p w14:paraId="7CB32F1F" w14:textId="77777777" w:rsidR="00644F83" w:rsidRDefault="00644F83" w:rsidP="00644F83">
      <w:pPr>
        <w:spacing w:after="437"/>
        <w:ind w:right="1344"/>
        <w:jc w:val="right"/>
      </w:pPr>
      <w:r>
        <w:t xml:space="preserve">T2DM </w:t>
      </w:r>
    </w:p>
    <w:p w14:paraId="0123C641" w14:textId="77777777" w:rsidR="00644F83" w:rsidRDefault="00644F83" w:rsidP="00644F83">
      <w:pPr>
        <w:tabs>
          <w:tab w:val="center" w:pos="2122"/>
          <w:tab w:val="center" w:pos="4085"/>
          <w:tab w:val="center" w:pos="6034"/>
          <w:tab w:val="center" w:pos="7421"/>
        </w:tabs>
        <w:spacing w:after="280"/>
        <w:ind w:left="0" w:firstLine="0"/>
      </w:pPr>
      <w:r>
        <w:t xml:space="preserve">Xiao et al. </w:t>
      </w:r>
      <w:r>
        <w:tab/>
        <w:t xml:space="preserve">China </w:t>
      </w:r>
      <w:r>
        <w:tab/>
        <w:t xml:space="preserve">Single-cell </w:t>
      </w:r>
      <w:r>
        <w:tab/>
        <w:t xml:space="preserve">T2DM &amp; DKD </w:t>
      </w:r>
      <w:r>
        <w:tab/>
        <w:t xml:space="preserve">Immune </w:t>
      </w:r>
    </w:p>
    <w:p w14:paraId="5479672E" w14:textId="77777777" w:rsidR="00644F83" w:rsidRDefault="00644F83" w:rsidP="00644F83">
      <w:pPr>
        <w:tabs>
          <w:tab w:val="center" w:pos="3972"/>
          <w:tab w:val="center" w:pos="5664"/>
          <w:tab w:val="center" w:pos="7441"/>
        </w:tabs>
        <w:spacing w:after="285"/>
        <w:ind w:left="0" w:firstLine="0"/>
      </w:pPr>
      <w:r>
        <w:t xml:space="preserve">(2025) </w:t>
      </w:r>
      <w:r>
        <w:tab/>
        <w:t xml:space="preserve">LacNAc </w:t>
      </w:r>
      <w:r>
        <w:tab/>
        <w:t xml:space="preserve">patients </w:t>
      </w:r>
      <w:r>
        <w:tab/>
        <w:t xml:space="preserve">profiling </w:t>
      </w:r>
    </w:p>
    <w:p w14:paraId="50783910" w14:textId="77777777" w:rsidR="00644F83" w:rsidRDefault="00644F83" w:rsidP="00644F83">
      <w:pPr>
        <w:tabs>
          <w:tab w:val="center" w:pos="4104"/>
          <w:tab w:val="center" w:pos="7519"/>
        </w:tabs>
        <w:spacing w:after="437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sequencing </w:t>
      </w:r>
      <w:r>
        <w:tab/>
        <w:t xml:space="preserve">alterations </w:t>
      </w:r>
    </w:p>
    <w:p w14:paraId="2F31E897" w14:textId="77777777" w:rsidR="00644F83" w:rsidRDefault="00644F83" w:rsidP="00644F83">
      <w:pPr>
        <w:tabs>
          <w:tab w:val="center" w:pos="2122"/>
          <w:tab w:val="center" w:pos="4122"/>
          <w:tab w:val="center" w:pos="6019"/>
          <w:tab w:val="center" w:pos="7358"/>
        </w:tabs>
        <w:spacing w:after="280"/>
        <w:ind w:left="0" w:firstLine="0"/>
      </w:pPr>
      <w:r>
        <w:t xml:space="preserve">Zhao &amp; Fang </w:t>
      </w:r>
      <w:r>
        <w:tab/>
        <w:t xml:space="preserve">China </w:t>
      </w:r>
      <w:r>
        <w:tab/>
        <w:t xml:space="preserve">scRNA-seq </w:t>
      </w:r>
      <w:r>
        <w:tab/>
        <w:t xml:space="preserve">T2DM patients </w:t>
      </w:r>
      <w:r>
        <w:tab/>
        <w:t xml:space="preserve">PBMC </w:t>
      </w:r>
    </w:p>
    <w:p w14:paraId="28B4B12A" w14:textId="77777777" w:rsidR="00644F83" w:rsidRDefault="00644F83" w:rsidP="00644F83">
      <w:pPr>
        <w:tabs>
          <w:tab w:val="center" w:pos="4315"/>
          <w:tab w:val="center" w:pos="7588"/>
        </w:tabs>
        <w:ind w:left="0" w:firstLine="0"/>
      </w:pPr>
      <w:r>
        <w:t xml:space="preserve">(2025) </w:t>
      </w:r>
      <w:r>
        <w:tab/>
        <w:t xml:space="preserve">PBMC analysis </w:t>
      </w:r>
      <w:r>
        <w:tab/>
        <w:t xml:space="preserve">dysfunction </w:t>
      </w:r>
    </w:p>
    <w:p w14:paraId="36FD5699" w14:textId="77777777" w:rsidR="00644F83" w:rsidRDefault="00644F83" w:rsidP="00644F83">
      <w:pPr>
        <w:spacing w:after="29" w:line="475" w:lineRule="auto"/>
        <w:ind w:left="120" w:right="492"/>
      </w:pPr>
      <w:r>
        <w:t xml:space="preserve">Grenko et al. USA Experimental Human Glucose(2024) transcriptomics pancreatic responsive </w:t>
      </w:r>
    </w:p>
    <w:p w14:paraId="2FF00A38" w14:textId="77777777" w:rsidR="00644F83" w:rsidRDefault="00644F83" w:rsidP="00644F83">
      <w:pPr>
        <w:tabs>
          <w:tab w:val="center" w:pos="5537"/>
          <w:tab w:val="center" w:pos="7294"/>
        </w:tabs>
        <w:spacing w:after="437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islets </w:t>
      </w:r>
      <w:r>
        <w:tab/>
        <w:t xml:space="preserve">genes </w:t>
      </w:r>
    </w:p>
    <w:p w14:paraId="26C4C9A2" w14:textId="77777777" w:rsidR="00644F83" w:rsidRDefault="00644F83" w:rsidP="00644F83">
      <w:pPr>
        <w:tabs>
          <w:tab w:val="center" w:pos="2010"/>
          <w:tab w:val="center" w:pos="4125"/>
          <w:tab w:val="center" w:pos="5902"/>
          <w:tab w:val="center" w:pos="7710"/>
        </w:tabs>
        <w:spacing w:after="280"/>
        <w:ind w:left="0" w:firstLine="0"/>
      </w:pPr>
      <w:r>
        <w:t xml:space="preserve">Yun et al. </w:t>
      </w:r>
      <w:r>
        <w:tab/>
        <w:t xml:space="preserve">UK </w:t>
      </w:r>
      <w:r>
        <w:tab/>
        <w:t xml:space="preserve">Prospective </w:t>
      </w:r>
      <w:r>
        <w:tab/>
        <w:t xml:space="preserve">UK Biobank </w:t>
      </w:r>
      <w:r>
        <w:tab/>
        <w:t xml:space="preserve">Polygenic risk </w:t>
      </w:r>
    </w:p>
    <w:p w14:paraId="667803AC" w14:textId="77777777" w:rsidR="00644F83" w:rsidRDefault="00644F83" w:rsidP="00644F83">
      <w:pPr>
        <w:tabs>
          <w:tab w:val="center" w:pos="3872"/>
          <w:tab w:val="center" w:pos="5849"/>
          <w:tab w:val="center" w:pos="7399"/>
        </w:tabs>
        <w:spacing w:after="255"/>
        <w:ind w:left="0" w:firstLine="0"/>
      </w:pPr>
      <w:r>
        <w:t xml:space="preserve">(2022) </w:t>
      </w:r>
      <w:r>
        <w:tab/>
        <w:t xml:space="preserve">cohort </w:t>
      </w:r>
      <w:r>
        <w:tab/>
        <w:t xml:space="preserve">participants </w:t>
      </w:r>
      <w:r>
        <w:tab/>
        <w:t xml:space="preserve">&amp; CVD </w:t>
      </w:r>
    </w:p>
    <w:p w14:paraId="2531C3B0" w14:textId="77777777" w:rsidR="00644F83" w:rsidRDefault="00644F83" w:rsidP="00644F83">
      <w:pPr>
        <w:spacing w:after="437"/>
        <w:ind w:right="1084"/>
        <w:jc w:val="right"/>
      </w:pPr>
      <w:r>
        <w:t xml:space="preserve">outcomes </w:t>
      </w:r>
    </w:p>
    <w:p w14:paraId="012D077D" w14:textId="77777777" w:rsidR="00644F83" w:rsidRDefault="00644F83" w:rsidP="00644F83">
      <w:pPr>
        <w:tabs>
          <w:tab w:val="center" w:pos="2078"/>
          <w:tab w:val="center" w:pos="4085"/>
          <w:tab w:val="center" w:pos="5703"/>
          <w:tab w:val="center" w:pos="7408"/>
        </w:tabs>
        <w:spacing w:after="280"/>
        <w:ind w:left="0" w:firstLine="0"/>
      </w:pPr>
      <w:r>
        <w:t xml:space="preserve">Zhang et al. </w:t>
      </w:r>
      <w:r>
        <w:tab/>
        <w:t xml:space="preserve">USA </w:t>
      </w:r>
      <w:r>
        <w:tab/>
        <w:t xml:space="preserve">Single-cell </w:t>
      </w:r>
      <w:r>
        <w:tab/>
        <w:t xml:space="preserve">Multiple </w:t>
      </w:r>
      <w:r>
        <w:tab/>
        <w:t xml:space="preserve">Cellular </w:t>
      </w:r>
    </w:p>
    <w:p w14:paraId="37850401" w14:textId="77777777" w:rsidR="00644F83" w:rsidRDefault="00644F83" w:rsidP="00644F83">
      <w:pPr>
        <w:tabs>
          <w:tab w:val="center" w:pos="4195"/>
          <w:tab w:val="center" w:pos="5611"/>
          <w:tab w:val="center" w:pos="7673"/>
        </w:tabs>
        <w:spacing w:after="255"/>
        <w:ind w:left="0" w:firstLine="0"/>
      </w:pPr>
      <w:r>
        <w:t xml:space="preserve">(2025) </w:t>
      </w:r>
      <w:r>
        <w:tab/>
        <w:t xml:space="preserve">PRS analysis </w:t>
      </w:r>
      <w:r>
        <w:tab/>
        <w:t xml:space="preserve">tissues </w:t>
      </w:r>
      <w:r>
        <w:tab/>
        <w:t xml:space="preserve">heterogeneity </w:t>
      </w:r>
    </w:p>
    <w:p w14:paraId="04F759AF" w14:textId="77777777" w:rsidR="00644F83" w:rsidRDefault="00644F83" w:rsidP="00644F83">
      <w:pPr>
        <w:spacing w:after="437"/>
        <w:ind w:right="1309"/>
        <w:jc w:val="right"/>
      </w:pPr>
      <w:r>
        <w:t xml:space="preserve">of PRS </w:t>
      </w:r>
    </w:p>
    <w:tbl>
      <w:tblPr>
        <w:tblStyle w:val="TableGrid"/>
        <w:tblW w:w="8349" w:type="dxa"/>
        <w:tblInd w:w="110" w:type="dxa"/>
        <w:tblLook w:val="04A0" w:firstRow="1" w:lastRow="0" w:firstColumn="1" w:lastColumn="0" w:noHBand="0" w:noVBand="1"/>
      </w:tblPr>
      <w:tblGrid>
        <w:gridCol w:w="1727"/>
        <w:gridCol w:w="1730"/>
        <w:gridCol w:w="1726"/>
        <w:gridCol w:w="1730"/>
        <w:gridCol w:w="1436"/>
      </w:tblGrid>
      <w:tr w:rsidR="00644F83" w14:paraId="50D27A86" w14:textId="77777777" w:rsidTr="00291805">
        <w:trPr>
          <w:trHeight w:val="768"/>
        </w:trPr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</w:tcPr>
          <w:p w14:paraId="203839CF" w14:textId="77777777" w:rsidR="00644F83" w:rsidRDefault="00644F83" w:rsidP="00291805">
            <w:pPr>
              <w:spacing w:after="250" w:line="259" w:lineRule="auto"/>
              <w:ind w:left="0" w:firstLine="0"/>
            </w:pPr>
            <w:r>
              <w:lastRenderedPageBreak/>
              <w:t xml:space="preserve">Zhang et al. </w:t>
            </w:r>
          </w:p>
          <w:p w14:paraId="280E8C9F" w14:textId="77777777" w:rsidR="00644F83" w:rsidRDefault="00644F83" w:rsidP="00291805">
            <w:pPr>
              <w:spacing w:after="0" w:line="259" w:lineRule="auto"/>
              <w:ind w:left="0" w:firstLine="0"/>
            </w:pPr>
            <w:r>
              <w:t xml:space="preserve">(2024)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5135821B" w14:textId="77777777" w:rsidR="00644F83" w:rsidRDefault="00644F83" w:rsidP="00291805">
            <w:pPr>
              <w:spacing w:after="0" w:line="259" w:lineRule="auto"/>
              <w:ind w:left="0" w:firstLine="0"/>
            </w:pPr>
            <w:r>
              <w:t xml:space="preserve">USA </w:t>
            </w: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</w:tcPr>
          <w:p w14:paraId="0CCD378E" w14:textId="77777777" w:rsidR="00644F83" w:rsidRDefault="00644F83" w:rsidP="00291805">
            <w:pPr>
              <w:spacing w:after="0" w:line="259" w:lineRule="auto"/>
              <w:ind w:left="0" w:firstLine="0"/>
            </w:pPr>
            <w:r>
              <w:t xml:space="preserve">Preprint scPRS study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37D8EBB9" w14:textId="77777777" w:rsidR="00644F83" w:rsidRDefault="00644F83" w:rsidP="00291805">
            <w:pPr>
              <w:spacing w:after="0" w:line="259" w:lineRule="auto"/>
              <w:ind w:left="0" w:firstLine="0"/>
            </w:pPr>
            <w:r>
              <w:t xml:space="preserve">Single-cell datasets 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</w:tcPr>
          <w:p w14:paraId="17D7E756" w14:textId="77777777" w:rsidR="00644F83" w:rsidRDefault="00644F83" w:rsidP="00291805">
            <w:pPr>
              <w:spacing w:after="0" w:line="259" w:lineRule="auto"/>
              <w:ind w:left="0" w:firstLine="0"/>
            </w:pPr>
            <w:r>
              <w:t xml:space="preserve">PRS deconvolution </w:t>
            </w:r>
          </w:p>
        </w:tc>
      </w:tr>
    </w:tbl>
    <w:p w14:paraId="35B34DEF" w14:textId="77777777" w:rsidR="00644F83" w:rsidRDefault="00644F83" w:rsidP="00644F83">
      <w:pPr>
        <w:spacing w:after="158" w:line="477" w:lineRule="auto"/>
      </w:pPr>
      <w:r>
        <w:t xml:space="preserve">Table 1 summarizes the methodological diversity and scope of the included studies. Most investigations employed cutting-edge single-cell technologies, enabling high-resolution characterization of cellular heterogeneity in T2DM. </w:t>
      </w:r>
    </w:p>
    <w:p w14:paraId="3AC188D7" w14:textId="77777777" w:rsidR="00644F83" w:rsidRDefault="00644F83" w:rsidP="00644F83">
      <w:pPr>
        <w:spacing w:after="353"/>
      </w:pPr>
      <w:r>
        <w:t xml:space="preserve">Table 2. Risk of Bias Assessment of Included Studies </w:t>
      </w:r>
    </w:p>
    <w:p w14:paraId="2DAB70BB" w14:textId="77777777" w:rsidR="00644F83" w:rsidRDefault="00644F83" w:rsidP="00644F83">
      <w:pPr>
        <w:tabs>
          <w:tab w:val="center" w:pos="2522"/>
          <w:tab w:val="center" w:pos="4177"/>
          <w:tab w:val="center" w:pos="5999"/>
          <w:tab w:val="center" w:pos="7630"/>
        </w:tabs>
        <w:spacing w:after="255"/>
        <w:ind w:left="0" w:firstLine="0"/>
      </w:pPr>
      <w:r>
        <w:t xml:space="preserve">Author </w:t>
      </w:r>
      <w:r>
        <w:tab/>
        <w:t xml:space="preserve">Selection Bias </w:t>
      </w:r>
      <w:r>
        <w:tab/>
        <w:t xml:space="preserve">Performance </w:t>
      </w:r>
      <w:r>
        <w:tab/>
        <w:t xml:space="preserve">Detection Bias </w:t>
      </w:r>
      <w:r>
        <w:tab/>
        <w:t xml:space="preserve">Overall Risk </w:t>
      </w:r>
    </w:p>
    <w:p w14:paraId="25107A7F" w14:textId="77777777" w:rsidR="00644F83" w:rsidRDefault="00644F83" w:rsidP="00644F83">
      <w:pPr>
        <w:spacing w:after="404" w:line="295" w:lineRule="auto"/>
        <w:ind w:right="1464"/>
        <w:jc w:val="center"/>
      </w:pPr>
      <w:r>
        <w:t xml:space="preserve">Bias </w:t>
      </w:r>
    </w:p>
    <w:p w14:paraId="04381556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5"/>
        <w:ind w:left="0" w:firstLine="0"/>
      </w:pPr>
      <w:r>
        <w:t>Martínez-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76972462" w14:textId="77777777" w:rsidR="00644F83" w:rsidRPr="00644F83" w:rsidRDefault="00644F83" w:rsidP="00644F83">
      <w:pPr>
        <w:spacing w:after="244"/>
        <w:ind w:left="120"/>
        <w:rPr>
          <w:lang w:val="pt-PT"/>
        </w:rPr>
      </w:pPr>
      <w:r w:rsidRPr="00644F83">
        <w:rPr>
          <w:lang w:val="pt-PT"/>
        </w:rPr>
        <w:t xml:space="preserve">López et al. </w:t>
      </w:r>
    </w:p>
    <w:p w14:paraId="1F5BC0E2" w14:textId="77777777" w:rsidR="00644F83" w:rsidRPr="00644F83" w:rsidRDefault="00644F83" w:rsidP="00644F83">
      <w:pPr>
        <w:spacing w:after="433"/>
        <w:ind w:left="120"/>
        <w:rPr>
          <w:lang w:val="pt-PT"/>
        </w:rPr>
      </w:pPr>
      <w:r w:rsidRPr="00644F83">
        <w:rPr>
          <w:lang w:val="pt-PT"/>
        </w:rPr>
        <w:t xml:space="preserve">(2025) </w:t>
      </w:r>
    </w:p>
    <w:p w14:paraId="1E036C8E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5"/>
        <w:ind w:left="0" w:firstLine="0"/>
      </w:pPr>
      <w:r w:rsidRPr="00644F83">
        <w:rPr>
          <w:lang w:val="pt-PT"/>
        </w:rPr>
        <w:t xml:space="preserve">Xiao et al. </w:t>
      </w:r>
      <w:r w:rsidRPr="00644F83">
        <w:rPr>
          <w:lang w:val="pt-PT"/>
        </w:rPr>
        <w:tab/>
      </w:r>
      <w:r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04683DE2" w14:textId="77777777" w:rsidR="00644F83" w:rsidRDefault="00644F83" w:rsidP="00644F83">
      <w:pPr>
        <w:spacing w:after="434"/>
        <w:ind w:left="120"/>
      </w:pPr>
      <w:r>
        <w:t xml:space="preserve">(2025) </w:t>
      </w:r>
    </w:p>
    <w:p w14:paraId="2E1AC6B8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0"/>
        <w:ind w:left="0" w:firstLine="0"/>
      </w:pPr>
      <w:r>
        <w:t xml:space="preserve">Zhao &amp; Fang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54463C7C" w14:textId="77777777" w:rsidR="00644F83" w:rsidRDefault="00644F83" w:rsidP="00644F83">
      <w:pPr>
        <w:spacing w:after="438"/>
        <w:ind w:left="120"/>
      </w:pPr>
      <w:r>
        <w:t xml:space="preserve">(2025) </w:t>
      </w:r>
    </w:p>
    <w:p w14:paraId="258B515E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0"/>
        <w:ind w:left="0" w:firstLine="0"/>
      </w:pPr>
      <w:r>
        <w:t xml:space="preserve">Grenko et al.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6CBD4156" w14:textId="77777777" w:rsidR="00644F83" w:rsidRDefault="00644F83" w:rsidP="00644F83">
      <w:pPr>
        <w:spacing w:after="438"/>
        <w:ind w:left="120"/>
      </w:pPr>
      <w:r>
        <w:t xml:space="preserve">(2024) </w:t>
      </w:r>
    </w:p>
    <w:p w14:paraId="3380774E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0"/>
        <w:ind w:left="0" w:firstLine="0"/>
      </w:pPr>
      <w:r>
        <w:t xml:space="preserve">Yun et al.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626DB6F0" w14:textId="77777777" w:rsidR="00644F83" w:rsidRDefault="00644F83" w:rsidP="00644F83">
      <w:pPr>
        <w:spacing w:after="434"/>
        <w:ind w:left="120"/>
      </w:pPr>
      <w:r>
        <w:t xml:space="preserve">(2022) </w:t>
      </w:r>
    </w:p>
    <w:p w14:paraId="260FF998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5"/>
        <w:ind w:left="0" w:firstLine="0"/>
      </w:pPr>
      <w:r>
        <w:t xml:space="preserve">Zhang et al.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4DE6FEFB" w14:textId="77777777" w:rsidR="00644F83" w:rsidRDefault="00644F83" w:rsidP="00644F83">
      <w:pPr>
        <w:ind w:left="120"/>
      </w:pPr>
      <w:r>
        <w:t xml:space="preserve">(2025) </w:t>
      </w:r>
    </w:p>
    <w:p w14:paraId="31D0B6F4" w14:textId="77777777" w:rsidR="00644F83" w:rsidRDefault="00644F83" w:rsidP="00644F83">
      <w:pPr>
        <w:tabs>
          <w:tab w:val="center" w:pos="2055"/>
          <w:tab w:val="center" w:pos="3786"/>
          <w:tab w:val="center" w:pos="5512"/>
          <w:tab w:val="center" w:pos="7242"/>
        </w:tabs>
        <w:spacing w:after="250"/>
        <w:ind w:left="0" w:firstLine="0"/>
      </w:pPr>
      <w:r>
        <w:lastRenderedPageBreak/>
        <w:t xml:space="preserve">Zhang et al.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  <w:r>
        <w:tab/>
        <w:t xml:space="preserve">Low </w:t>
      </w:r>
    </w:p>
    <w:p w14:paraId="2F078B54" w14:textId="77777777" w:rsidR="00644F83" w:rsidRDefault="00644F83" w:rsidP="00644F83">
      <w:pPr>
        <w:ind w:left="120"/>
      </w:pPr>
      <w:r>
        <w:t xml:space="preserve">(2024) </w:t>
      </w:r>
    </w:p>
    <w:p w14:paraId="2729ADA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83"/>
    <w:rsid w:val="00195413"/>
    <w:rsid w:val="003D0186"/>
    <w:rsid w:val="00644F83"/>
    <w:rsid w:val="007278E4"/>
    <w:rsid w:val="00A3738C"/>
    <w:rsid w:val="00B14045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5F4F8"/>
  <w15:chartTrackingRefBased/>
  <w15:docId w15:val="{57EC5F24-4642-4EE7-BDDA-2FE14D55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F83"/>
    <w:pPr>
      <w:spacing w:after="409" w:line="265" w:lineRule="auto"/>
      <w:ind w:left="10" w:hanging="10"/>
    </w:pPr>
    <w:rPr>
      <w:rFonts w:ascii="Times New Roman" w:eastAsia="Times New Roman" w:hAnsi="Times New Roman" w:cs="Times New Roman"/>
      <w:color w:val="000000"/>
      <w:lang w:val="en" w:eastAsia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4F83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F83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F83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F83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F83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F83"/>
    <w:pPr>
      <w:keepNext/>
      <w:keepLines/>
      <w:spacing w:before="40" w:after="0"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F83"/>
    <w:pPr>
      <w:keepNext/>
      <w:keepLines/>
      <w:spacing w:before="40" w:after="0"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F83"/>
    <w:pPr>
      <w:keepNext/>
      <w:keepLines/>
      <w:spacing w:after="0"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F83"/>
    <w:pPr>
      <w:keepNext/>
      <w:keepLines/>
      <w:spacing w:after="0"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F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F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F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F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F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F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F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F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F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F83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644F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F8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44F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F83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644F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F83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644F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F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F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F83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644F83"/>
    <w:pPr>
      <w:spacing w:after="0" w:line="240" w:lineRule="auto"/>
    </w:pPr>
    <w:rPr>
      <w:rFonts w:eastAsiaTheme="minorEastAsia"/>
      <w:lang w:val="en-IN" w:eastAsia="en-GB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1345</Characters>
  <Application>Microsoft Office Word</Application>
  <DocSecurity>0</DocSecurity>
  <Lines>25</Lines>
  <Paragraphs>14</Paragraphs>
  <ScaleCrop>false</ScaleCrop>
  <Company>Springer Nature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2026-04-02T06:54:00Z</dcterms:created>
  <dcterms:modified xsi:type="dcterms:W3CDTF">2026-04-02T06:55:00Z</dcterms:modified>
</cp:coreProperties>
</file>