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85BA75" w14:textId="77777777" w:rsidR="00475D5C" w:rsidRPr="00E47331" w:rsidRDefault="00475D5C" w:rsidP="00475D5C">
      <w:pPr>
        <w:rPr>
          <w:rFonts w:ascii="Times New Roman" w:eastAsia="DengXian" w:hAnsi="Times New Roman" w:hint="default"/>
          <w:b/>
          <w:bCs/>
          <w:szCs w:val="24"/>
        </w:rPr>
      </w:pPr>
      <w:r w:rsidRPr="00E47331">
        <w:rPr>
          <w:rFonts w:ascii="Times New Roman" w:eastAsia="DengXian" w:hAnsi="Times New Roman" w:hint="default"/>
          <w:b/>
          <w:bCs/>
          <w:szCs w:val="24"/>
        </w:rPr>
        <w:t>Extended Data</w:t>
      </w:r>
    </w:p>
    <w:p w14:paraId="2A4F0222" w14:textId="77777777" w:rsidR="00475D5C" w:rsidRDefault="00475D5C" w:rsidP="00475D5C">
      <w:pPr>
        <w:rPr>
          <w:rFonts w:hint="default"/>
          <w:noProof/>
        </w:rPr>
      </w:pPr>
    </w:p>
    <w:p w14:paraId="34118DD8" w14:textId="77777777" w:rsidR="00475D5C" w:rsidRDefault="00475D5C" w:rsidP="00475D5C">
      <w:pPr>
        <w:jc w:val="center"/>
        <w:rPr>
          <w:rFonts w:ascii="Times New Roman" w:eastAsia="DengXian" w:hAnsi="Times New Roman" w:hint="default"/>
          <w:szCs w:val="24"/>
        </w:rPr>
      </w:pPr>
      <w:r>
        <w:rPr>
          <w:rFonts w:ascii="Times New Roman" w:eastAsia="DengXian" w:hAnsi="Times New Roman"/>
          <w:noProof/>
          <w:szCs w:val="24"/>
        </w:rPr>
        <w:drawing>
          <wp:inline distT="0" distB="0" distL="0" distR="0" wp14:anchorId="07507EE0" wp14:editId="361FFDE4">
            <wp:extent cx="3225165" cy="4302746"/>
            <wp:effectExtent l="0" t="0" r="0" b="3175"/>
            <wp:docPr id="10400731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3818" cy="43809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07B79DA" w14:textId="77777777" w:rsidR="00475D5C" w:rsidRDefault="00475D5C" w:rsidP="00475D5C">
      <w:pPr>
        <w:rPr>
          <w:rFonts w:ascii="Times New Roman" w:hAnsi="Times New Roman" w:hint="default"/>
          <w:sz w:val="20"/>
        </w:rPr>
      </w:pPr>
      <w:r>
        <w:rPr>
          <w:rStyle w:val="Strong"/>
          <w:rFonts w:ascii="Times New Roman" w:hAnsi="Times New Roman" w:hint="default"/>
          <w:sz w:val="20"/>
        </w:rPr>
        <w:t xml:space="preserve">Extended Data </w:t>
      </w:r>
      <w:r w:rsidRPr="00953B82">
        <w:rPr>
          <w:rStyle w:val="Strong"/>
          <w:rFonts w:ascii="Times New Roman" w:hAnsi="Times New Roman"/>
          <w:sz w:val="20"/>
        </w:rPr>
        <w:t>Fig</w:t>
      </w:r>
      <w:r>
        <w:rPr>
          <w:rStyle w:val="Strong"/>
          <w:rFonts w:ascii="Times New Roman" w:hAnsi="Times New Roman" w:hint="default"/>
          <w:sz w:val="20"/>
        </w:rPr>
        <w:t>.</w:t>
      </w:r>
      <w:r w:rsidRPr="00953B82">
        <w:rPr>
          <w:rStyle w:val="Strong"/>
          <w:rFonts w:ascii="Times New Roman" w:hAnsi="Times New Roman"/>
          <w:sz w:val="20"/>
        </w:rPr>
        <w:t xml:space="preserve"> </w:t>
      </w:r>
      <w:r>
        <w:rPr>
          <w:rStyle w:val="Strong"/>
          <w:rFonts w:ascii="Times New Roman" w:hAnsi="Times New Roman"/>
          <w:sz w:val="20"/>
        </w:rPr>
        <w:t>1</w:t>
      </w:r>
      <w:r>
        <w:rPr>
          <w:rStyle w:val="Strong"/>
          <w:rFonts w:ascii="Times New Roman" w:hAnsi="Times New Roman" w:hint="default"/>
          <w:sz w:val="20"/>
        </w:rPr>
        <w:t xml:space="preserve"> |</w:t>
      </w:r>
      <w:r w:rsidRPr="00953B82">
        <w:rPr>
          <w:rFonts w:ascii="Times New Roman" w:hAnsi="Times New Roman"/>
          <w:sz w:val="20"/>
        </w:rPr>
        <w:t xml:space="preserve"> </w:t>
      </w:r>
      <w:r w:rsidRPr="0085407D">
        <w:rPr>
          <w:rFonts w:ascii="Times New Roman" w:hAnsi="Times New Roman"/>
          <w:b/>
          <w:bCs/>
          <w:sz w:val="20"/>
        </w:rPr>
        <w:t>TLT weighting function</w:t>
      </w:r>
      <w:r>
        <w:rPr>
          <w:rFonts w:ascii="Times New Roman" w:hAnsi="Times New Roman" w:hint="default"/>
          <w:sz w:val="20"/>
        </w:rPr>
        <w:t>.</w:t>
      </w:r>
      <w:r w:rsidRPr="00953B82"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 w:hint="default"/>
          <w:sz w:val="20"/>
        </w:rPr>
        <w:t>The b</w:t>
      </w:r>
      <w:r w:rsidRPr="00953B82">
        <w:rPr>
          <w:rFonts w:ascii="Times New Roman" w:hAnsi="Times New Roman"/>
          <w:sz w:val="20"/>
        </w:rPr>
        <w:t>lue line</w:t>
      </w:r>
      <w:r>
        <w:rPr>
          <w:rFonts w:ascii="Times New Roman" w:hAnsi="Times New Roman" w:hint="default"/>
          <w:sz w:val="20"/>
        </w:rPr>
        <w:t xml:space="preserve"> is the TLT weighting function</w:t>
      </w:r>
      <w:r w:rsidRPr="00953B82">
        <w:rPr>
          <w:rFonts w:ascii="Times New Roman" w:hAnsi="Times New Roman"/>
          <w:sz w:val="20"/>
        </w:rPr>
        <w:t xml:space="preserve"> used to derive the equivalent ERA5 TLT from ERA temperatures at discrete pressure levels (red dots).</w:t>
      </w:r>
    </w:p>
    <w:p w14:paraId="3BFE66A1" w14:textId="77777777" w:rsidR="00475D5C" w:rsidRDefault="00475D5C" w:rsidP="00475D5C">
      <w:pPr>
        <w:rPr>
          <w:rFonts w:ascii="Times New Roman" w:hAnsi="Times New Roman" w:hint="default"/>
          <w:sz w:val="20"/>
        </w:rPr>
      </w:pPr>
    </w:p>
    <w:p w14:paraId="29B3FE70" w14:textId="77777777" w:rsidR="00475D5C" w:rsidRDefault="00475D5C" w:rsidP="00475D5C">
      <w:pPr>
        <w:rPr>
          <w:rFonts w:ascii="Times New Roman" w:hAnsi="Times New Roman" w:hint="default"/>
          <w:sz w:val="20"/>
        </w:rPr>
      </w:pPr>
    </w:p>
    <w:p w14:paraId="7934E141" w14:textId="77777777" w:rsidR="00475D5C" w:rsidRDefault="00475D5C" w:rsidP="00475D5C">
      <w:pPr>
        <w:rPr>
          <w:rFonts w:ascii="Times New Roman" w:hAnsi="Times New Roman" w:hint="default"/>
          <w:sz w:val="20"/>
        </w:rPr>
      </w:pPr>
    </w:p>
    <w:p w14:paraId="7CB28142" w14:textId="77777777" w:rsidR="00475D5C" w:rsidRDefault="00475D5C" w:rsidP="00475D5C">
      <w:pPr>
        <w:rPr>
          <w:rFonts w:ascii="Times New Roman" w:hAnsi="Times New Roman" w:hint="default"/>
          <w:sz w:val="20"/>
        </w:rPr>
      </w:pPr>
    </w:p>
    <w:p w14:paraId="6715AA8C" w14:textId="77777777" w:rsidR="00475D5C" w:rsidRDefault="00475D5C" w:rsidP="00475D5C">
      <w:pPr>
        <w:autoSpaceDE w:val="0"/>
        <w:autoSpaceDN w:val="0"/>
        <w:adjustRightInd w:val="0"/>
        <w:rPr>
          <w:rStyle w:val="Strong"/>
          <w:rFonts w:ascii="Times New Roman" w:hAnsi="Times New Roman" w:hint="default"/>
          <w:b w:val="0"/>
          <w:bCs w:val="0"/>
          <w:szCs w:val="24"/>
        </w:rPr>
      </w:pPr>
    </w:p>
    <w:p w14:paraId="453CBA84" w14:textId="77777777" w:rsidR="00475D5C" w:rsidRPr="008F0E27" w:rsidRDefault="00475D5C" w:rsidP="00475D5C">
      <w:pPr>
        <w:autoSpaceDE w:val="0"/>
        <w:autoSpaceDN w:val="0"/>
        <w:adjustRightInd w:val="0"/>
        <w:rPr>
          <w:rStyle w:val="Strong"/>
          <w:rFonts w:ascii="Times New Roman" w:hAnsi="Times New Roman" w:hint="default"/>
          <w:b w:val="0"/>
          <w:bCs w:val="0"/>
          <w:szCs w:val="24"/>
        </w:rPr>
      </w:pPr>
      <w:r>
        <w:rPr>
          <w:rStyle w:val="Strong"/>
          <w:rFonts w:ascii="Times New Roman" w:hAnsi="Times New Roman" w:hint="default"/>
          <w:b w:val="0"/>
          <w:bCs w:val="0"/>
          <w:noProof/>
          <w:szCs w:val="24"/>
        </w:rPr>
        <w:lastRenderedPageBreak/>
        <w:drawing>
          <wp:inline distT="0" distB="0" distL="0" distR="0" wp14:anchorId="045BD53F" wp14:editId="521074F4">
            <wp:extent cx="5944235" cy="2780030"/>
            <wp:effectExtent l="0" t="0" r="0" b="1270"/>
            <wp:docPr id="11441411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27800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CC24E2" w14:textId="77777777" w:rsidR="00475D5C" w:rsidRDefault="00475D5C" w:rsidP="00475D5C">
      <w:pPr>
        <w:autoSpaceDE w:val="0"/>
        <w:autoSpaceDN w:val="0"/>
        <w:adjustRightInd w:val="0"/>
        <w:rPr>
          <w:rStyle w:val="Strong"/>
          <w:rFonts w:ascii="Times New Roman" w:hAnsi="Times New Roman" w:hint="default"/>
          <w:sz w:val="20"/>
        </w:rPr>
      </w:pPr>
    </w:p>
    <w:p w14:paraId="43AFBE27" w14:textId="77777777" w:rsidR="00475D5C" w:rsidRDefault="00475D5C" w:rsidP="00475D5C">
      <w:pPr>
        <w:autoSpaceDE w:val="0"/>
        <w:autoSpaceDN w:val="0"/>
        <w:adjustRightInd w:val="0"/>
        <w:rPr>
          <w:rStyle w:val="Strong"/>
          <w:rFonts w:ascii="Times New Roman" w:hAnsi="Times New Roman" w:hint="default"/>
          <w:sz w:val="20"/>
        </w:rPr>
      </w:pPr>
      <w:r w:rsidRPr="009469BA">
        <w:rPr>
          <w:noProof/>
          <w:sz w:val="20"/>
        </w:rPr>
        <w:t xml:space="preserve"> </w:t>
      </w:r>
    </w:p>
    <w:p w14:paraId="481EC605" w14:textId="77777777" w:rsidR="00475D5C" w:rsidRDefault="00475D5C" w:rsidP="00475D5C">
      <w:pPr>
        <w:autoSpaceDE w:val="0"/>
        <w:autoSpaceDN w:val="0"/>
        <w:adjustRightInd w:val="0"/>
        <w:rPr>
          <w:rStyle w:val="Strong"/>
          <w:rFonts w:ascii="Times New Roman" w:hAnsi="Times New Roman" w:hint="default"/>
          <w:sz w:val="20"/>
        </w:rPr>
      </w:pPr>
    </w:p>
    <w:p w14:paraId="5F9F7E36" w14:textId="77777777" w:rsidR="00475D5C" w:rsidRPr="003C50B9" w:rsidRDefault="00475D5C" w:rsidP="00475D5C">
      <w:pPr>
        <w:autoSpaceDE w:val="0"/>
        <w:autoSpaceDN w:val="0"/>
        <w:adjustRightInd w:val="0"/>
        <w:rPr>
          <w:rFonts w:ascii="Times New Roman" w:hAnsi="Times New Roman" w:hint="default"/>
          <w:b/>
          <w:bCs/>
          <w:sz w:val="20"/>
        </w:rPr>
      </w:pPr>
      <w:bookmarkStart w:id="0" w:name="_Hlk198606497"/>
      <w:r w:rsidRPr="003C50B9">
        <w:rPr>
          <w:rStyle w:val="Strong"/>
          <w:rFonts w:ascii="Times New Roman" w:hAnsi="Times New Roman" w:hint="default"/>
          <w:sz w:val="20"/>
        </w:rPr>
        <w:t>Extended Data Fig. 2</w:t>
      </w:r>
      <w:r>
        <w:rPr>
          <w:rStyle w:val="Strong"/>
          <w:rFonts w:ascii="Times New Roman" w:hAnsi="Times New Roman" w:hint="default"/>
          <w:sz w:val="20"/>
        </w:rPr>
        <w:t xml:space="preserve"> |</w:t>
      </w:r>
      <w:r w:rsidRPr="003C50B9">
        <w:rPr>
          <w:rStyle w:val="Strong"/>
          <w:rFonts w:ascii="Times New Roman" w:hAnsi="Times New Roman" w:hint="default"/>
          <w:sz w:val="20"/>
        </w:rPr>
        <w:t xml:space="preserve"> Comparison of original, ENSO-adjusted, and ENSO–aerosol-adjusted TLT. The plot shows global monthly mean anomaly time series from 1981 to 202</w:t>
      </w:r>
      <w:r>
        <w:rPr>
          <w:rStyle w:val="Strong"/>
          <w:rFonts w:ascii="Times New Roman" w:hAnsi="Times New Roman" w:hint="default"/>
          <w:sz w:val="20"/>
        </w:rPr>
        <w:t>5</w:t>
      </w:r>
      <w:r w:rsidRPr="003C50B9">
        <w:rPr>
          <w:rStyle w:val="Strong"/>
          <w:rFonts w:ascii="Times New Roman" w:hAnsi="Times New Roman" w:hint="default"/>
          <w:sz w:val="20"/>
        </w:rPr>
        <w:t xml:space="preserve"> for the </w:t>
      </w:r>
      <w:r>
        <w:rPr>
          <w:rStyle w:val="Strong"/>
          <w:rFonts w:ascii="Times New Roman" w:hAnsi="Times New Roman" w:hint="default"/>
          <w:sz w:val="20"/>
        </w:rPr>
        <w:t xml:space="preserve">(a) </w:t>
      </w:r>
      <w:r w:rsidRPr="003C50B9">
        <w:rPr>
          <w:rStyle w:val="Strong"/>
          <w:rFonts w:ascii="Times New Roman" w:hAnsi="Times New Roman" w:hint="default"/>
          <w:sz w:val="20"/>
        </w:rPr>
        <w:t xml:space="preserve">original, </w:t>
      </w:r>
      <w:r>
        <w:rPr>
          <w:rStyle w:val="Strong"/>
          <w:rFonts w:ascii="Times New Roman" w:hAnsi="Times New Roman" w:hint="default"/>
          <w:sz w:val="20"/>
        </w:rPr>
        <w:t xml:space="preserve">(b) </w:t>
      </w:r>
      <w:r w:rsidRPr="003C50B9">
        <w:rPr>
          <w:rStyle w:val="Strong"/>
          <w:rFonts w:ascii="Times New Roman" w:hAnsi="Times New Roman" w:hint="default"/>
          <w:sz w:val="20"/>
        </w:rPr>
        <w:t xml:space="preserve">ENSO-adjusted, and </w:t>
      </w:r>
      <w:r>
        <w:rPr>
          <w:rStyle w:val="Strong"/>
          <w:rFonts w:ascii="Times New Roman" w:hAnsi="Times New Roman" w:hint="default"/>
          <w:sz w:val="20"/>
        </w:rPr>
        <w:t xml:space="preserve">(c) </w:t>
      </w:r>
      <w:r w:rsidRPr="003C50B9">
        <w:rPr>
          <w:rStyle w:val="Strong"/>
          <w:rFonts w:ascii="Times New Roman" w:hAnsi="Times New Roman" w:hint="default"/>
          <w:sz w:val="20"/>
        </w:rPr>
        <w:t xml:space="preserve">ENSO–aerosol-adjusted </w:t>
      </w:r>
      <w:r>
        <w:rPr>
          <w:rStyle w:val="Strong"/>
          <w:rFonts w:ascii="Times New Roman" w:hAnsi="Times New Roman" w:hint="default"/>
          <w:sz w:val="20"/>
        </w:rPr>
        <w:t>TLT</w:t>
      </w:r>
      <w:r w:rsidRPr="003C50B9">
        <w:rPr>
          <w:rStyle w:val="Strong"/>
          <w:rFonts w:ascii="Times New Roman" w:hAnsi="Times New Roman" w:hint="default"/>
          <w:sz w:val="20"/>
        </w:rPr>
        <w:t xml:space="preserve">. </w:t>
      </w:r>
      <w:r>
        <w:rPr>
          <w:rStyle w:val="Strong"/>
          <w:rFonts w:ascii="Times New Roman" w:hAnsi="Times New Roman" w:hint="default"/>
          <w:sz w:val="20"/>
        </w:rPr>
        <w:t xml:space="preserve"> Different datasets are represented by different colors.</w:t>
      </w:r>
      <w:r w:rsidRPr="003C50B9">
        <w:rPr>
          <w:rStyle w:val="Strong"/>
          <w:rFonts w:ascii="Times New Roman" w:hAnsi="Times New Roman" w:hint="default"/>
          <w:sz w:val="20"/>
        </w:rPr>
        <w:t xml:space="preserve"> The 5-month-lagged Niño 3.4 index and the 8-month-lagged MERRA-2 reanalysis AOD dataset are used to remove the ENSO and aerosol effects, respectively.</w:t>
      </w:r>
    </w:p>
    <w:bookmarkEnd w:id="0"/>
    <w:p w14:paraId="04B9DA01" w14:textId="77777777" w:rsidR="00475D5C" w:rsidRDefault="00475D5C" w:rsidP="00475D5C">
      <w:pPr>
        <w:autoSpaceDE w:val="0"/>
        <w:autoSpaceDN w:val="0"/>
        <w:adjustRightInd w:val="0"/>
        <w:rPr>
          <w:rFonts w:hint="default"/>
        </w:rPr>
      </w:pPr>
    </w:p>
    <w:p w14:paraId="68ECF98E" w14:textId="77777777" w:rsidR="00475D5C" w:rsidRDefault="00475D5C" w:rsidP="00475D5C">
      <w:pPr>
        <w:rPr>
          <w:rFonts w:ascii="Times New Roman" w:eastAsia="DengXian" w:hAnsi="Times New Roman" w:hint="default"/>
          <w:szCs w:val="24"/>
        </w:rPr>
      </w:pPr>
    </w:p>
    <w:p w14:paraId="662EA855" w14:textId="77777777" w:rsidR="00475D5C" w:rsidRPr="00345DB4" w:rsidRDefault="00475D5C" w:rsidP="00475D5C">
      <w:pPr>
        <w:pStyle w:val="NormalWeb"/>
        <w:jc w:val="center"/>
      </w:pPr>
      <w:r>
        <w:rPr>
          <w:noProof/>
        </w:rPr>
        <w:lastRenderedPageBreak/>
        <w:drawing>
          <wp:inline distT="0" distB="0" distL="0" distR="0" wp14:anchorId="5C638EC7" wp14:editId="726955D6">
            <wp:extent cx="3657600" cy="5486400"/>
            <wp:effectExtent l="0" t="0" r="0" b="0"/>
            <wp:docPr id="1061911399" name="Picture 2" descr="A graph of a graph of a graph of a graph of a graph of a graph of a graph of a graph of a graph of a graph of a graph of a graph of a graph of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911399" name="Picture 2" descr="A graph of a graph of a graph of a graph of a graph of a graph of a graph of a graph of a graph of a graph of a graph of a graph of a graph of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548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FCA65D" w14:textId="77777777" w:rsidR="00475D5C" w:rsidRDefault="00475D5C" w:rsidP="00475D5C">
      <w:pPr>
        <w:autoSpaceDE w:val="0"/>
        <w:autoSpaceDN w:val="0"/>
        <w:adjustRightInd w:val="0"/>
        <w:rPr>
          <w:rFonts w:ascii="Times New Roman" w:hAnsi="Times New Roman" w:hint="default"/>
          <w:sz w:val="20"/>
        </w:rPr>
      </w:pPr>
      <w:r>
        <w:rPr>
          <w:rFonts w:ascii="Times New Roman" w:hAnsi="Times New Roman" w:hint="default"/>
          <w:b/>
          <w:bCs/>
          <w:sz w:val="20"/>
        </w:rPr>
        <w:t xml:space="preserve">Extended Data </w:t>
      </w:r>
      <w:r w:rsidRPr="0088719E">
        <w:rPr>
          <w:rFonts w:ascii="Times New Roman" w:hAnsi="Times New Roman"/>
          <w:b/>
          <w:bCs/>
          <w:sz w:val="20"/>
        </w:rPr>
        <w:t>Fig</w:t>
      </w:r>
      <w:r>
        <w:rPr>
          <w:rFonts w:ascii="Times New Roman" w:hAnsi="Times New Roman" w:hint="default"/>
          <w:b/>
          <w:bCs/>
          <w:sz w:val="20"/>
        </w:rPr>
        <w:t>.</w:t>
      </w:r>
      <w:r w:rsidRPr="0088719E">
        <w:rPr>
          <w:rFonts w:ascii="Times New Roman" w:hAnsi="Times New Roman"/>
          <w:b/>
          <w:bCs/>
          <w:sz w:val="20"/>
        </w:rPr>
        <w:t xml:space="preserve"> </w:t>
      </w:r>
      <w:r>
        <w:rPr>
          <w:rFonts w:ascii="Times New Roman" w:hAnsi="Times New Roman"/>
          <w:b/>
          <w:bCs/>
          <w:sz w:val="20"/>
        </w:rPr>
        <w:t>3</w:t>
      </w:r>
      <w:r>
        <w:rPr>
          <w:rFonts w:ascii="Times New Roman" w:hAnsi="Times New Roman" w:hint="default"/>
          <w:b/>
          <w:bCs/>
          <w:sz w:val="20"/>
        </w:rPr>
        <w:t xml:space="preserve"> |</w:t>
      </w:r>
      <w:r w:rsidRPr="0088719E">
        <w:rPr>
          <w:rFonts w:ascii="Times New Roman" w:hAnsi="Times New Roman"/>
          <w:sz w:val="20"/>
        </w:rPr>
        <w:t xml:space="preserve"> </w:t>
      </w:r>
      <w:r w:rsidRPr="00D92F35">
        <w:rPr>
          <w:rFonts w:ascii="Times New Roman" w:hAnsi="Times New Roman"/>
          <w:b/>
          <w:bCs/>
          <w:sz w:val="20"/>
        </w:rPr>
        <w:t>ENSO and aerosol indices used to remove the ENSO and aerosol effects in TLT</w:t>
      </w:r>
      <w:r w:rsidRPr="00F457A6">
        <w:rPr>
          <w:rFonts w:ascii="Times New Roman" w:hAnsi="Times New Roman"/>
          <w:b/>
          <w:bCs/>
          <w:sz w:val="20"/>
        </w:rPr>
        <w:t xml:space="preserve">. </w:t>
      </w:r>
      <w:r w:rsidRPr="0088719E">
        <w:rPr>
          <w:rFonts w:ascii="Times New Roman" w:hAnsi="Times New Roman"/>
          <w:sz w:val="20"/>
        </w:rPr>
        <w:t xml:space="preserve">(a) </w:t>
      </w:r>
      <w:r w:rsidRPr="00730B0E">
        <w:rPr>
          <w:rFonts w:ascii="Times New Roman" w:hAnsi="Times New Roman"/>
          <w:sz w:val="20"/>
        </w:rPr>
        <w:t>Time series of the NINO3.4 index representing the average sea surface temperature (SST) over the central Pacific region (5°N–5°S, 170°W–120°W) (dataset available at https://psl.noaa.gov/data/timeseries/month/Nino34_CPC/). (b) Lagged correlations of TLT with the NINO3.4 index</w:t>
      </w:r>
      <w:r>
        <w:rPr>
          <w:rFonts w:ascii="Times New Roman" w:hAnsi="Times New Roman" w:hint="default"/>
          <w:sz w:val="20"/>
        </w:rPr>
        <w:t>.</w:t>
      </w:r>
      <w:r w:rsidRPr="00FC6064"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 w:hint="default"/>
          <w:sz w:val="20"/>
        </w:rPr>
        <w:t xml:space="preserve">(c) </w:t>
      </w:r>
      <w:r w:rsidRPr="00FC6064">
        <w:rPr>
          <w:rFonts w:ascii="Times New Roman" w:hAnsi="Times New Roman"/>
          <w:sz w:val="20"/>
        </w:rPr>
        <w:t>MERRA</w:t>
      </w:r>
      <w:r>
        <w:rPr>
          <w:rFonts w:ascii="Times New Roman" w:hAnsi="Times New Roman" w:hint="default"/>
          <w:sz w:val="20"/>
        </w:rPr>
        <w:t>-</w:t>
      </w:r>
      <w:r w:rsidRPr="00FC6064">
        <w:rPr>
          <w:rFonts w:ascii="Times New Roman" w:hAnsi="Times New Roman"/>
          <w:sz w:val="20"/>
        </w:rPr>
        <w:t xml:space="preserve">2 </w:t>
      </w:r>
      <w:r>
        <w:rPr>
          <w:rFonts w:ascii="Times New Roman" w:hAnsi="Times New Roman"/>
          <w:sz w:val="20"/>
        </w:rPr>
        <w:t xml:space="preserve">(blue lines) </w:t>
      </w:r>
      <w:r w:rsidRPr="00FC6064">
        <w:rPr>
          <w:rFonts w:ascii="Times New Roman" w:hAnsi="Times New Roman"/>
          <w:sz w:val="20"/>
        </w:rPr>
        <w:t xml:space="preserve">and </w:t>
      </w:r>
      <w:r>
        <w:rPr>
          <w:rFonts w:ascii="Times New Roman" w:hAnsi="Times New Roman"/>
          <w:sz w:val="20"/>
        </w:rPr>
        <w:t xml:space="preserve">bias-corrected </w:t>
      </w:r>
      <w:r w:rsidRPr="00FC6064">
        <w:rPr>
          <w:rFonts w:ascii="Times New Roman" w:hAnsi="Times New Roman"/>
          <w:sz w:val="20"/>
        </w:rPr>
        <w:t xml:space="preserve">MODIS </w:t>
      </w:r>
      <w:r>
        <w:rPr>
          <w:rFonts w:ascii="Times New Roman" w:hAnsi="Times New Roman"/>
          <w:sz w:val="20"/>
        </w:rPr>
        <w:t xml:space="preserve">(red lines) </w:t>
      </w:r>
      <w:r w:rsidRPr="00FC6064">
        <w:rPr>
          <w:rFonts w:ascii="Times New Roman" w:hAnsi="Times New Roman"/>
          <w:sz w:val="20"/>
        </w:rPr>
        <w:t>monthly global mean AOD time series</w:t>
      </w:r>
      <w:r>
        <w:rPr>
          <w:rFonts w:ascii="Times New Roman" w:hAnsi="Times New Roman"/>
          <w:sz w:val="20"/>
        </w:rPr>
        <w:t xml:space="preserve"> from 1981-2025.</w:t>
      </w:r>
    </w:p>
    <w:p w14:paraId="4586FD53" w14:textId="77777777" w:rsidR="00475D5C" w:rsidRDefault="00475D5C" w:rsidP="00475D5C">
      <w:pPr>
        <w:rPr>
          <w:rFonts w:ascii="Times New Roman" w:hAnsi="Times New Roman" w:hint="default"/>
          <w:sz w:val="20"/>
        </w:rPr>
      </w:pPr>
    </w:p>
    <w:p w14:paraId="66B13430" w14:textId="77777777" w:rsidR="00475D5C" w:rsidRPr="00355B8B" w:rsidRDefault="00475D5C" w:rsidP="00475D5C">
      <w:pPr>
        <w:rPr>
          <w:rFonts w:ascii="Times New Roman" w:hAnsi="Times New Roman" w:hint="default"/>
          <w:sz w:val="20"/>
        </w:rPr>
      </w:pPr>
    </w:p>
    <w:p w14:paraId="372C09E0" w14:textId="77777777" w:rsidR="00475D5C" w:rsidRDefault="00475D5C" w:rsidP="00475D5C">
      <w:pPr>
        <w:rPr>
          <w:rFonts w:hint="default"/>
          <w:noProof/>
        </w:rPr>
      </w:pPr>
    </w:p>
    <w:p w14:paraId="2F83BA8E" w14:textId="77777777" w:rsidR="00475D5C" w:rsidRPr="009224B6" w:rsidRDefault="00475D5C" w:rsidP="00475D5C">
      <w:pPr>
        <w:pStyle w:val="NormalWeb"/>
        <w:jc w:val="both"/>
        <w:rPr>
          <w:sz w:val="20"/>
          <w:szCs w:val="20"/>
        </w:rPr>
      </w:pPr>
      <w:r>
        <w:tab/>
      </w:r>
      <w:r w:rsidRPr="00DE6ED2">
        <w:t xml:space="preserve"> </w:t>
      </w:r>
    </w:p>
    <w:p w14:paraId="6B98ADCE" w14:textId="77777777" w:rsidR="00475D5C" w:rsidRDefault="00475D5C" w:rsidP="00475D5C">
      <w:pPr>
        <w:autoSpaceDE w:val="0"/>
        <w:autoSpaceDN w:val="0"/>
        <w:adjustRightInd w:val="0"/>
        <w:jc w:val="center"/>
        <w:rPr>
          <w:rFonts w:ascii="Times New Roman" w:hAnsi="Times New Roman" w:hint="default"/>
          <w:b/>
          <w:bCs/>
          <w:sz w:val="20"/>
        </w:rPr>
      </w:pPr>
      <w:r>
        <w:rPr>
          <w:noProof/>
        </w:rPr>
        <w:lastRenderedPageBreak/>
        <w:drawing>
          <wp:inline distT="0" distB="0" distL="0" distR="0" wp14:anchorId="4E0EE203" wp14:editId="2C015CE4">
            <wp:extent cx="4890775" cy="4000500"/>
            <wp:effectExtent l="0" t="0" r="5080" b="0"/>
            <wp:docPr id="372174944" name="Picture 3721749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0322" cy="4041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5097F8" w14:textId="77777777" w:rsidR="00475D5C" w:rsidRPr="00AD1137" w:rsidRDefault="00475D5C" w:rsidP="00475D5C">
      <w:pPr>
        <w:pStyle w:val="NormalWeb"/>
        <w:jc w:val="both"/>
        <w:rPr>
          <w:b/>
          <w:bCs/>
        </w:rPr>
      </w:pPr>
      <w:r w:rsidRPr="00D92F35">
        <w:rPr>
          <w:rStyle w:val="Strong"/>
          <w:sz w:val="20"/>
          <w:szCs w:val="20"/>
        </w:rPr>
        <w:t>Extended Data Fig. 4</w:t>
      </w:r>
      <w:r>
        <w:rPr>
          <w:rStyle w:val="Strong"/>
          <w:sz w:val="20"/>
          <w:szCs w:val="20"/>
        </w:rPr>
        <w:t xml:space="preserve"> |</w:t>
      </w:r>
      <w:r>
        <w:t xml:space="preserve"> </w:t>
      </w:r>
      <w:r w:rsidRPr="00AD1137">
        <w:rPr>
          <w:b/>
          <w:bCs/>
          <w:sz w:val="20"/>
          <w:szCs w:val="20"/>
        </w:rPr>
        <w:t>Two-dimensional lagged correlations between ENSO and TLT, and between MERRA-2 AOD and TLT.</w:t>
      </w:r>
    </w:p>
    <w:p w14:paraId="3DE2E0BB" w14:textId="77777777" w:rsidR="00475D5C" w:rsidRDefault="00475D5C" w:rsidP="00475D5C">
      <w:pPr>
        <w:pStyle w:val="NormalWeb"/>
        <w:jc w:val="center"/>
      </w:pPr>
    </w:p>
    <w:p w14:paraId="43D44564" w14:textId="77777777" w:rsidR="00475D5C" w:rsidRDefault="00475D5C" w:rsidP="00475D5C">
      <w:pPr>
        <w:rPr>
          <w:rStyle w:val="Strong"/>
          <w:rFonts w:ascii="Times New Roman" w:hAnsi="Times New Roman" w:hint="default"/>
          <w:sz w:val="20"/>
        </w:rPr>
      </w:pPr>
      <w:bookmarkStart w:id="1" w:name="_Hlk198149884"/>
      <w:r>
        <w:rPr>
          <w:rFonts w:ascii="Times New Roman" w:hAnsi="Times New Roman"/>
          <w:b/>
          <w:bCs/>
          <w:noProof/>
          <w:sz w:val="20"/>
        </w:rPr>
        <w:lastRenderedPageBreak/>
        <w:drawing>
          <wp:inline distT="0" distB="0" distL="0" distR="0" wp14:anchorId="4B555B76" wp14:editId="24A2A665">
            <wp:extent cx="5882955" cy="5440680"/>
            <wp:effectExtent l="0" t="0" r="381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0585" cy="5447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76F6E7" w14:textId="77777777" w:rsidR="00475D5C" w:rsidRDefault="00475D5C" w:rsidP="00475D5C">
      <w:pPr>
        <w:rPr>
          <w:rFonts w:ascii="Times New Roman" w:hAnsi="Times New Roman" w:hint="default"/>
          <w:szCs w:val="24"/>
        </w:rPr>
      </w:pPr>
      <w:r>
        <w:rPr>
          <w:rStyle w:val="Strong"/>
          <w:rFonts w:ascii="Times New Roman" w:hAnsi="Times New Roman" w:hint="default"/>
          <w:sz w:val="20"/>
        </w:rPr>
        <w:t xml:space="preserve">Extended </w:t>
      </w:r>
      <w:r w:rsidRPr="002B2AF7">
        <w:rPr>
          <w:rStyle w:val="Strong"/>
          <w:rFonts w:ascii="Times New Roman" w:hAnsi="Times New Roman"/>
          <w:sz w:val="20"/>
        </w:rPr>
        <w:t>Fig</w:t>
      </w:r>
      <w:r>
        <w:rPr>
          <w:rStyle w:val="Strong"/>
          <w:rFonts w:ascii="Times New Roman" w:hAnsi="Times New Roman" w:hint="default"/>
          <w:sz w:val="20"/>
        </w:rPr>
        <w:t>.</w:t>
      </w:r>
      <w:r w:rsidRPr="002B2AF7">
        <w:rPr>
          <w:rStyle w:val="Strong"/>
          <w:rFonts w:ascii="Times New Roman" w:hAnsi="Times New Roman"/>
          <w:sz w:val="20"/>
        </w:rPr>
        <w:t xml:space="preserve"> </w:t>
      </w:r>
      <w:r>
        <w:rPr>
          <w:rStyle w:val="Strong"/>
          <w:rFonts w:ascii="Times New Roman" w:hAnsi="Times New Roman" w:hint="default"/>
          <w:sz w:val="20"/>
        </w:rPr>
        <w:t xml:space="preserve">5 | </w:t>
      </w:r>
      <w:r w:rsidRPr="00001F33">
        <w:rPr>
          <w:rFonts w:ascii="Times New Roman" w:hAnsi="Times New Roman" w:hint="default"/>
          <w:b/>
          <w:bCs/>
          <w:sz w:val="20"/>
        </w:rPr>
        <w:t xml:space="preserve">Search for changepoints and test their statistical significance for the piecewise </w:t>
      </w:r>
      <w:r>
        <w:rPr>
          <w:rFonts w:ascii="Times New Roman" w:hAnsi="Times New Roman" w:hint="default"/>
          <w:b/>
          <w:bCs/>
          <w:sz w:val="20"/>
        </w:rPr>
        <w:t xml:space="preserve">fitting </w:t>
      </w:r>
      <w:r w:rsidRPr="00001F33">
        <w:rPr>
          <w:rFonts w:ascii="Times New Roman" w:hAnsi="Times New Roman" w:hint="default"/>
          <w:b/>
          <w:bCs/>
          <w:sz w:val="20"/>
        </w:rPr>
        <w:t>model.</w:t>
      </w:r>
      <w:r>
        <w:rPr>
          <w:rFonts w:ascii="Times New Roman" w:hAnsi="Times New Roman" w:hint="default"/>
          <w:b/>
          <w:bCs/>
          <w:sz w:val="20"/>
        </w:rPr>
        <w:t xml:space="preserve"> </w:t>
      </w:r>
      <w:r w:rsidRPr="007E4654">
        <w:rPr>
          <w:rFonts w:ascii="Times New Roman" w:hAnsi="Times New Roman"/>
          <w:sz w:val="20"/>
        </w:rPr>
        <w:t>Variations in RMSE (red lines) and p</w:t>
      </w:r>
      <w:r w:rsidRPr="007E4654">
        <w:rPr>
          <w:rFonts w:ascii="Cambria Math" w:hAnsi="Cambria Math" w:cs="Cambria Math" w:hint="default"/>
          <w:sz w:val="20"/>
        </w:rPr>
        <w:t>‑</w:t>
      </w:r>
      <w:r w:rsidRPr="007E4654">
        <w:rPr>
          <w:rFonts w:ascii="Times New Roman" w:hAnsi="Times New Roman"/>
          <w:sz w:val="20"/>
        </w:rPr>
        <w:t>values (blue lines) as functions of the changepoint. Left panels: original TLT time series for the NOAA, UAH, RSS, and ERA5 datasets. Right panels: same as the left panels, but for the ENSO</w:t>
      </w:r>
      <w:r w:rsidRPr="007E4654">
        <w:rPr>
          <w:rFonts w:ascii="Cambria Math" w:hAnsi="Cambria Math" w:cs="Cambria Math" w:hint="default"/>
          <w:sz w:val="20"/>
        </w:rPr>
        <w:t>‑</w:t>
      </w:r>
      <w:r w:rsidRPr="007E4654">
        <w:rPr>
          <w:rFonts w:ascii="Times New Roman" w:hAnsi="Times New Roman"/>
          <w:sz w:val="20"/>
        </w:rPr>
        <w:t>aerosol</w:t>
      </w:r>
      <w:r w:rsidRPr="007E4654">
        <w:rPr>
          <w:rFonts w:ascii="Cambria Math" w:hAnsi="Cambria Math" w:cs="Cambria Math" w:hint="default"/>
          <w:sz w:val="20"/>
        </w:rPr>
        <w:t>‑</w:t>
      </w:r>
      <w:r w:rsidRPr="007E4654">
        <w:rPr>
          <w:rFonts w:ascii="Times New Roman" w:hAnsi="Times New Roman"/>
          <w:sz w:val="20"/>
        </w:rPr>
        <w:t>adjusted TLT time series.</w:t>
      </w:r>
      <w:r>
        <w:rPr>
          <w:rFonts w:ascii="Times New Roman" w:hAnsi="Times New Roman"/>
          <w:szCs w:val="24"/>
        </w:rPr>
        <w:tab/>
      </w:r>
    </w:p>
    <w:p w14:paraId="0BEAD323" w14:textId="77777777" w:rsidR="00475D5C" w:rsidRPr="004B7DF8" w:rsidRDefault="00475D5C" w:rsidP="00475D5C">
      <w:pPr>
        <w:rPr>
          <w:rStyle w:val="Strong"/>
          <w:rFonts w:hint="default"/>
          <w:sz w:val="20"/>
        </w:rPr>
      </w:pPr>
    </w:p>
    <w:bookmarkEnd w:id="1"/>
    <w:p w14:paraId="4AB2A9AD" w14:textId="77777777" w:rsidR="00475D5C" w:rsidRDefault="00475D5C" w:rsidP="00475D5C">
      <w:pPr>
        <w:jc w:val="center"/>
        <w:rPr>
          <w:rFonts w:ascii="Times New Roman" w:eastAsia="DengXian" w:hAnsi="Times New Roman" w:hint="default"/>
          <w:szCs w:val="24"/>
        </w:rPr>
      </w:pPr>
      <w:r>
        <w:rPr>
          <w:rFonts w:ascii="Times New Roman" w:eastAsia="DengXian" w:hAnsi="Times New Roman"/>
          <w:noProof/>
          <w:szCs w:val="24"/>
        </w:rPr>
        <w:lastRenderedPageBreak/>
        <w:drawing>
          <wp:inline distT="0" distB="0" distL="0" distR="0" wp14:anchorId="0ED63315" wp14:editId="4A725D8F">
            <wp:extent cx="5054834" cy="7581900"/>
            <wp:effectExtent l="0" t="0" r="0" b="0"/>
            <wp:docPr id="10746696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8368" cy="75872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242205" w14:textId="77777777" w:rsidR="00475D5C" w:rsidRDefault="00475D5C" w:rsidP="00475D5C">
      <w:pPr>
        <w:jc w:val="center"/>
        <w:rPr>
          <w:rFonts w:ascii="Times New Roman" w:eastAsia="DengXian" w:hAnsi="Times New Roman" w:hint="default"/>
          <w:szCs w:val="24"/>
        </w:rPr>
      </w:pPr>
    </w:p>
    <w:p w14:paraId="5C3A014A" w14:textId="77777777" w:rsidR="00475D5C" w:rsidRPr="002F32AF" w:rsidRDefault="00475D5C" w:rsidP="00475D5C">
      <w:pPr>
        <w:rPr>
          <w:rFonts w:ascii="Times New Roman" w:eastAsia="DengXian" w:hAnsi="Times New Roman" w:hint="default"/>
          <w:sz w:val="20"/>
        </w:rPr>
      </w:pPr>
      <w:r>
        <w:rPr>
          <w:rStyle w:val="Strong"/>
          <w:rFonts w:ascii="Times New Roman" w:hAnsi="Times New Roman" w:hint="default"/>
          <w:sz w:val="20"/>
        </w:rPr>
        <w:t xml:space="preserve">Extended Data </w:t>
      </w:r>
      <w:r w:rsidRPr="00296152">
        <w:rPr>
          <w:rStyle w:val="Strong"/>
          <w:rFonts w:ascii="Times New Roman" w:hAnsi="Times New Roman"/>
          <w:sz w:val="20"/>
        </w:rPr>
        <w:t>Fig</w:t>
      </w:r>
      <w:r>
        <w:rPr>
          <w:rStyle w:val="Strong"/>
          <w:rFonts w:ascii="Times New Roman" w:hAnsi="Times New Roman" w:hint="default"/>
          <w:sz w:val="20"/>
        </w:rPr>
        <w:t>.</w:t>
      </w:r>
      <w:r w:rsidRPr="00296152">
        <w:rPr>
          <w:rStyle w:val="Strong"/>
          <w:rFonts w:ascii="Times New Roman" w:hAnsi="Times New Roman"/>
          <w:sz w:val="20"/>
        </w:rPr>
        <w:t xml:space="preserve"> </w:t>
      </w:r>
      <w:r>
        <w:rPr>
          <w:rStyle w:val="Strong"/>
          <w:rFonts w:ascii="Times New Roman" w:hAnsi="Times New Roman" w:hint="default"/>
          <w:sz w:val="20"/>
        </w:rPr>
        <w:t>6 |</w:t>
      </w:r>
      <w:r w:rsidRPr="00296152">
        <w:rPr>
          <w:rFonts w:ascii="Times New Roman" w:hAnsi="Times New Roman"/>
          <w:sz w:val="20"/>
        </w:rPr>
        <w:t xml:space="preserve"> </w:t>
      </w:r>
      <w:r w:rsidRPr="009E4AC8">
        <w:rPr>
          <w:rFonts w:ascii="Times New Roman" w:hAnsi="Times New Roman" w:hint="default"/>
          <w:b/>
          <w:bCs/>
          <w:sz w:val="20"/>
        </w:rPr>
        <w:t>Search for the optimal polynomial fit to the TLT time series.</w:t>
      </w:r>
      <w:r>
        <w:rPr>
          <w:rFonts w:ascii="Times New Roman" w:hAnsi="Times New Roman" w:hint="default"/>
          <w:b/>
          <w:bCs/>
          <w:sz w:val="20"/>
        </w:rPr>
        <w:t xml:space="preserve"> </w:t>
      </w:r>
      <w:r w:rsidRPr="00296152">
        <w:rPr>
          <w:rFonts w:ascii="Times New Roman" w:hAnsi="Times New Roman"/>
          <w:sz w:val="20"/>
        </w:rPr>
        <w:t>Global annual mean TLT time series (</w:t>
      </w:r>
      <w:r>
        <w:rPr>
          <w:rFonts w:ascii="Times New Roman" w:hAnsi="Times New Roman"/>
          <w:sz w:val="20"/>
        </w:rPr>
        <w:t>left</w:t>
      </w:r>
      <w:r w:rsidRPr="00296152">
        <w:rPr>
          <w:rFonts w:ascii="Times New Roman" w:hAnsi="Times New Roman"/>
          <w:sz w:val="20"/>
        </w:rPr>
        <w:t xml:space="preserve"> panels) and ENSO–aerosol-adjusted TLT series (</w:t>
      </w:r>
      <w:r>
        <w:rPr>
          <w:rFonts w:ascii="Times New Roman" w:hAnsi="Times New Roman"/>
          <w:sz w:val="20"/>
        </w:rPr>
        <w:t>right</w:t>
      </w:r>
      <w:r w:rsidRPr="00296152">
        <w:rPr>
          <w:rFonts w:ascii="Times New Roman" w:hAnsi="Times New Roman"/>
          <w:sz w:val="20"/>
        </w:rPr>
        <w:t xml:space="preserve"> panels) </w:t>
      </w:r>
      <w:r>
        <w:rPr>
          <w:rFonts w:ascii="Times New Roman" w:hAnsi="Times New Roman"/>
          <w:sz w:val="20"/>
        </w:rPr>
        <w:t xml:space="preserve">during 1981-2024 </w:t>
      </w:r>
      <w:r w:rsidRPr="00296152">
        <w:rPr>
          <w:rFonts w:ascii="Times New Roman" w:hAnsi="Times New Roman"/>
          <w:sz w:val="20"/>
        </w:rPr>
        <w:t>with polynomial fits up to fifth order for the NOAA, UAH, RSS, and ERA5 datasets.</w:t>
      </w:r>
    </w:p>
    <w:p w14:paraId="38506E2B" w14:textId="77777777" w:rsidR="00475D5C" w:rsidRDefault="00475D5C" w:rsidP="00475D5C">
      <w:pPr>
        <w:jc w:val="center"/>
        <w:rPr>
          <w:rFonts w:ascii="Times New Roman" w:eastAsia="DengXian" w:hAnsi="Times New Roman" w:hint="default"/>
          <w:b/>
          <w:bCs/>
          <w:sz w:val="20"/>
        </w:rPr>
      </w:pPr>
    </w:p>
    <w:p w14:paraId="009F2BE3" w14:textId="77777777" w:rsidR="00475D5C" w:rsidRDefault="00475D5C" w:rsidP="00475D5C">
      <w:pPr>
        <w:rPr>
          <w:rFonts w:ascii="Times New Roman" w:eastAsia="DengXian" w:hAnsi="Times New Roman" w:hint="default"/>
          <w:b/>
          <w:bCs/>
          <w:sz w:val="20"/>
        </w:rPr>
      </w:pPr>
    </w:p>
    <w:p w14:paraId="756342C8" w14:textId="77777777" w:rsidR="00475D5C" w:rsidRDefault="00475D5C" w:rsidP="00475D5C">
      <w:pPr>
        <w:rPr>
          <w:rFonts w:ascii="Times New Roman" w:eastAsia="DengXian" w:hAnsi="Times New Roman" w:hint="default"/>
          <w:b/>
          <w:bCs/>
          <w:sz w:val="20"/>
        </w:rPr>
      </w:pPr>
      <w:r>
        <w:rPr>
          <w:noProof/>
        </w:rPr>
        <w:drawing>
          <wp:inline distT="0" distB="0" distL="0" distR="0" wp14:anchorId="207C01E1" wp14:editId="5060E0CA">
            <wp:extent cx="5943600" cy="5943600"/>
            <wp:effectExtent l="0" t="0" r="0" b="0"/>
            <wp:docPr id="1716415001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79CAC44F-4E19-45A4-811C-384CDA31F29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79CAC44F-4E19-45A4-811C-384CDA31F29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05F002" w14:textId="77777777" w:rsidR="00475D5C" w:rsidRDefault="00475D5C" w:rsidP="00475D5C">
      <w:pPr>
        <w:rPr>
          <w:rFonts w:ascii="Times New Roman" w:eastAsia="DengXian" w:hAnsi="Times New Roman" w:hint="default"/>
          <w:b/>
          <w:bCs/>
          <w:sz w:val="20"/>
        </w:rPr>
      </w:pPr>
    </w:p>
    <w:p w14:paraId="0AD58420" w14:textId="77777777" w:rsidR="00475D5C" w:rsidRPr="00B91F4B" w:rsidRDefault="00475D5C" w:rsidP="00475D5C">
      <w:pPr>
        <w:rPr>
          <w:rFonts w:ascii="Times New Roman" w:eastAsia="DengXian" w:hAnsi="Times New Roman" w:hint="default"/>
          <w:sz w:val="20"/>
        </w:rPr>
      </w:pPr>
      <w:r>
        <w:rPr>
          <w:rFonts w:ascii="Times New Roman" w:eastAsia="DengXian" w:hAnsi="Times New Roman" w:hint="default"/>
          <w:b/>
          <w:bCs/>
          <w:sz w:val="20"/>
        </w:rPr>
        <w:t xml:space="preserve">Extended Data </w:t>
      </w:r>
      <w:r w:rsidRPr="00B91F4B">
        <w:rPr>
          <w:rFonts w:ascii="Times New Roman" w:eastAsia="DengXian" w:hAnsi="Times New Roman"/>
          <w:b/>
          <w:bCs/>
          <w:sz w:val="20"/>
        </w:rPr>
        <w:t>Fig</w:t>
      </w:r>
      <w:r>
        <w:rPr>
          <w:rFonts w:ascii="Times New Roman" w:eastAsia="DengXian" w:hAnsi="Times New Roman" w:hint="default"/>
          <w:b/>
          <w:bCs/>
          <w:sz w:val="20"/>
        </w:rPr>
        <w:t>.</w:t>
      </w:r>
      <w:r w:rsidRPr="00B91F4B">
        <w:rPr>
          <w:rFonts w:ascii="Times New Roman" w:eastAsia="DengXian" w:hAnsi="Times New Roman"/>
          <w:b/>
          <w:bCs/>
          <w:sz w:val="20"/>
        </w:rPr>
        <w:t xml:space="preserve"> </w:t>
      </w:r>
      <w:r>
        <w:rPr>
          <w:rFonts w:ascii="Times New Roman" w:eastAsia="DengXian" w:hAnsi="Times New Roman" w:hint="default"/>
          <w:b/>
          <w:bCs/>
          <w:sz w:val="20"/>
        </w:rPr>
        <w:t>7 |</w:t>
      </w:r>
      <w:r w:rsidRPr="00B91F4B">
        <w:rPr>
          <w:rFonts w:ascii="Times New Roman" w:eastAsia="DengXian" w:hAnsi="Times New Roman"/>
          <w:sz w:val="20"/>
        </w:rPr>
        <w:t xml:space="preserve"> </w:t>
      </w:r>
      <w:r w:rsidRPr="00B33358">
        <w:rPr>
          <w:rFonts w:ascii="Times New Roman" w:eastAsia="DengXian" w:hAnsi="Times New Roman" w:hint="default"/>
          <w:b/>
          <w:bCs/>
          <w:sz w:val="20"/>
        </w:rPr>
        <w:t>Statistical significance test for the polynomial fitting models.</w:t>
      </w:r>
      <w:r>
        <w:rPr>
          <w:rFonts w:ascii="Times New Roman" w:eastAsia="DengXian" w:hAnsi="Times New Roman" w:hint="default"/>
          <w:b/>
          <w:bCs/>
          <w:sz w:val="20"/>
        </w:rPr>
        <w:t xml:space="preserve"> </w:t>
      </w:r>
      <w:r w:rsidRPr="00B91F4B">
        <w:rPr>
          <w:rFonts w:ascii="Times New Roman" w:eastAsia="DengXian" w:hAnsi="Times New Roman"/>
          <w:sz w:val="20"/>
        </w:rPr>
        <w:t xml:space="preserve">P-values for the leading coefficients in polynomial fits to </w:t>
      </w:r>
      <w:r>
        <w:rPr>
          <w:rFonts w:ascii="Times New Roman" w:eastAsia="DengXian" w:hAnsi="Times New Roman"/>
          <w:sz w:val="20"/>
        </w:rPr>
        <w:t>all</w:t>
      </w:r>
      <w:r w:rsidRPr="00B91F4B">
        <w:rPr>
          <w:rFonts w:ascii="Times New Roman" w:eastAsia="DengXian" w:hAnsi="Times New Roman"/>
          <w:sz w:val="20"/>
        </w:rPr>
        <w:t xml:space="preserve"> datasets for both the original</w:t>
      </w:r>
      <w:r>
        <w:rPr>
          <w:rFonts w:ascii="Times New Roman" w:eastAsia="DengXian" w:hAnsi="Times New Roman"/>
          <w:sz w:val="20"/>
        </w:rPr>
        <w:t xml:space="preserve"> (left panels) </w:t>
      </w:r>
      <w:r w:rsidRPr="00B91F4B">
        <w:rPr>
          <w:rFonts w:ascii="Times New Roman" w:eastAsia="DengXian" w:hAnsi="Times New Roman"/>
          <w:sz w:val="20"/>
        </w:rPr>
        <w:t>and ENSO-</w:t>
      </w:r>
      <w:r>
        <w:rPr>
          <w:rFonts w:ascii="Times New Roman" w:eastAsia="DengXian" w:hAnsi="Times New Roman"/>
          <w:sz w:val="20"/>
        </w:rPr>
        <w:t>aerosol-</w:t>
      </w:r>
      <w:r w:rsidRPr="00B91F4B">
        <w:rPr>
          <w:rFonts w:ascii="Times New Roman" w:eastAsia="DengXian" w:hAnsi="Times New Roman"/>
          <w:sz w:val="20"/>
        </w:rPr>
        <w:t xml:space="preserve">adjusted </w:t>
      </w:r>
      <w:r>
        <w:rPr>
          <w:rFonts w:ascii="Times New Roman" w:eastAsia="DengXian" w:hAnsi="Times New Roman"/>
          <w:sz w:val="20"/>
        </w:rPr>
        <w:t xml:space="preserve">(right panels) </w:t>
      </w:r>
      <w:r w:rsidRPr="00B91F4B">
        <w:rPr>
          <w:rFonts w:ascii="Times New Roman" w:eastAsia="DengXian" w:hAnsi="Times New Roman"/>
          <w:sz w:val="20"/>
        </w:rPr>
        <w:t xml:space="preserve">time series. Polynomial degrees range from 1 (linear) to 5. The </w:t>
      </w:r>
      <w:r>
        <w:rPr>
          <w:rFonts w:ascii="Times New Roman" w:eastAsia="DengXian" w:hAnsi="Times New Roman"/>
          <w:sz w:val="20"/>
        </w:rPr>
        <w:t xml:space="preserve">Root Mean Square Error (RMSE) for the model fit </w:t>
      </w:r>
      <w:r w:rsidRPr="00B91F4B">
        <w:rPr>
          <w:rFonts w:ascii="Times New Roman" w:eastAsia="DengXian" w:hAnsi="Times New Roman"/>
          <w:sz w:val="20"/>
        </w:rPr>
        <w:t>is also shown.</w:t>
      </w:r>
    </w:p>
    <w:p w14:paraId="3C3A7BCB" w14:textId="77777777" w:rsidR="00475D5C" w:rsidRPr="00BC6C42" w:rsidRDefault="00475D5C" w:rsidP="00475D5C">
      <w:pPr>
        <w:rPr>
          <w:rFonts w:ascii="Times New Roman" w:eastAsia="DengXian" w:hAnsi="Times New Roman" w:hint="default"/>
          <w:szCs w:val="24"/>
        </w:rPr>
      </w:pPr>
    </w:p>
    <w:p w14:paraId="2AABEF1E" w14:textId="77777777" w:rsidR="00475D5C" w:rsidRDefault="00475D5C" w:rsidP="00475D5C">
      <w:pPr>
        <w:rPr>
          <w:rFonts w:ascii="Times New Roman" w:hAnsi="Times New Roman" w:hint="default"/>
          <w:szCs w:val="24"/>
        </w:rPr>
      </w:pPr>
      <w:r>
        <w:rPr>
          <w:rFonts w:ascii="Times New Roman" w:hAnsi="Times New Roman"/>
          <w:szCs w:val="24"/>
        </w:rPr>
        <w:tab/>
      </w:r>
    </w:p>
    <w:p w14:paraId="2101199B" w14:textId="77777777" w:rsidR="00475D5C" w:rsidRDefault="00475D5C" w:rsidP="00475D5C">
      <w:pPr>
        <w:rPr>
          <w:rFonts w:ascii="Times New Roman" w:hAnsi="Times New Roman" w:hint="default"/>
          <w:szCs w:val="24"/>
        </w:rPr>
      </w:pPr>
      <w:r>
        <w:rPr>
          <w:rFonts w:ascii="Times New Roman" w:hAnsi="Times New Roman"/>
          <w:szCs w:val="24"/>
        </w:rPr>
        <w:tab/>
      </w:r>
    </w:p>
    <w:p w14:paraId="424022A1" w14:textId="77777777" w:rsidR="00475D5C" w:rsidRDefault="00475D5C" w:rsidP="00475D5C">
      <w:pPr>
        <w:spacing w:before="100" w:beforeAutospacing="1" w:after="100" w:afterAutospacing="1"/>
        <w:rPr>
          <w:rStyle w:val="Strong"/>
          <w:rFonts w:ascii="Times New Roman" w:hAnsi="Times New Roman" w:hint="default"/>
          <w:sz w:val="20"/>
        </w:rPr>
      </w:pPr>
    </w:p>
    <w:p w14:paraId="317D53BB" w14:textId="77777777" w:rsidR="00475D5C" w:rsidRDefault="00475D5C" w:rsidP="00475D5C">
      <w:pPr>
        <w:rPr>
          <w:rFonts w:ascii="Times New Roman" w:eastAsia="DengXian" w:hAnsi="Times New Roman" w:hint="default"/>
          <w:szCs w:val="24"/>
        </w:rPr>
      </w:pPr>
    </w:p>
    <w:p w14:paraId="3001ED39" w14:textId="77777777" w:rsidR="00475D5C" w:rsidRDefault="00475D5C" w:rsidP="00475D5C">
      <w:pPr>
        <w:rPr>
          <w:rFonts w:ascii="Times New Roman" w:eastAsia="DengXian" w:hAnsi="Times New Roman" w:hint="default"/>
          <w:szCs w:val="24"/>
        </w:rPr>
      </w:pPr>
      <w:r>
        <w:rPr>
          <w:noProof/>
        </w:rPr>
        <w:lastRenderedPageBreak/>
        <w:drawing>
          <wp:inline distT="0" distB="0" distL="0" distR="0" wp14:anchorId="2F9C8D3C" wp14:editId="23E30732">
            <wp:extent cx="5920740" cy="5920740"/>
            <wp:effectExtent l="0" t="0" r="3810" b="3810"/>
            <wp:docPr id="2044365893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E944D80B-7EA2-4DAF-8493-F7DFB79DE47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E944D80B-7EA2-4DAF-8493-F7DFB79DE47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20740" cy="5920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F677B3" w14:textId="77777777" w:rsidR="00475D5C" w:rsidRDefault="00475D5C" w:rsidP="00475D5C">
      <w:pPr>
        <w:rPr>
          <w:rFonts w:hint="default"/>
          <w:noProof/>
        </w:rPr>
      </w:pPr>
    </w:p>
    <w:p w14:paraId="0E5AFF9F" w14:textId="77777777" w:rsidR="00475D5C" w:rsidRPr="0087518C" w:rsidRDefault="00475D5C" w:rsidP="00475D5C">
      <w:pPr>
        <w:rPr>
          <w:rFonts w:ascii="Times New Roman" w:hAnsi="Times New Roman" w:hint="default"/>
          <w:sz w:val="20"/>
        </w:rPr>
      </w:pPr>
      <w:r>
        <w:rPr>
          <w:rFonts w:ascii="Times New Roman" w:eastAsia="DengXian" w:hAnsi="Times New Roman" w:hint="default"/>
          <w:b/>
          <w:bCs/>
          <w:sz w:val="20"/>
        </w:rPr>
        <w:t xml:space="preserve">Extended Data </w:t>
      </w:r>
      <w:r w:rsidRPr="00750570">
        <w:rPr>
          <w:rFonts w:ascii="Times New Roman" w:eastAsia="DengXian" w:hAnsi="Times New Roman"/>
          <w:b/>
          <w:bCs/>
          <w:sz w:val="20"/>
        </w:rPr>
        <w:t>Fig</w:t>
      </w:r>
      <w:r>
        <w:rPr>
          <w:rFonts w:ascii="Times New Roman" w:eastAsia="DengXian" w:hAnsi="Times New Roman" w:hint="default"/>
          <w:b/>
          <w:bCs/>
          <w:sz w:val="20"/>
        </w:rPr>
        <w:t>.</w:t>
      </w:r>
      <w:r w:rsidRPr="00750570">
        <w:rPr>
          <w:rFonts w:ascii="Times New Roman" w:eastAsia="DengXian" w:hAnsi="Times New Roman"/>
          <w:b/>
          <w:bCs/>
          <w:sz w:val="20"/>
        </w:rPr>
        <w:t xml:space="preserve"> </w:t>
      </w:r>
      <w:r>
        <w:rPr>
          <w:rFonts w:ascii="Times New Roman" w:eastAsia="DengXian" w:hAnsi="Times New Roman" w:hint="default"/>
          <w:b/>
          <w:bCs/>
          <w:sz w:val="20"/>
        </w:rPr>
        <w:t>8 |</w:t>
      </w:r>
      <w:r>
        <w:rPr>
          <w:rFonts w:ascii="Times New Roman" w:eastAsia="DengXian" w:hAnsi="Times New Roman"/>
          <w:b/>
          <w:bCs/>
          <w:sz w:val="20"/>
        </w:rPr>
        <w:t xml:space="preserve"> </w:t>
      </w:r>
      <w:r w:rsidRPr="0087518C">
        <w:rPr>
          <w:rFonts w:ascii="Times New Roman" w:hAnsi="Times New Roman"/>
          <w:b/>
          <w:bCs/>
          <w:sz w:val="20"/>
        </w:rPr>
        <w:t>Comparison of cubic fitting and LOESS-smoothed TLT</w:t>
      </w:r>
      <w:r w:rsidRPr="0087518C">
        <w:rPr>
          <w:rFonts w:ascii="Times New Roman" w:hAnsi="Times New Roman"/>
          <w:sz w:val="20"/>
        </w:rPr>
        <w:t xml:space="preserve"> during 1981-2024 for all datasets, for both the original </w:t>
      </w:r>
      <w:r>
        <w:rPr>
          <w:rFonts w:ascii="Times New Roman" w:hAnsi="Times New Roman" w:hint="default"/>
          <w:sz w:val="20"/>
        </w:rPr>
        <w:t xml:space="preserve">(left panels) </w:t>
      </w:r>
      <w:r w:rsidRPr="0087518C">
        <w:rPr>
          <w:rFonts w:ascii="Times New Roman" w:hAnsi="Times New Roman"/>
          <w:sz w:val="20"/>
        </w:rPr>
        <w:t xml:space="preserve">and ENSO–aerosol-adjusted </w:t>
      </w:r>
      <w:r>
        <w:rPr>
          <w:rFonts w:ascii="Times New Roman" w:hAnsi="Times New Roman" w:hint="default"/>
          <w:sz w:val="20"/>
        </w:rPr>
        <w:t xml:space="preserve">(right panels) </w:t>
      </w:r>
      <w:r w:rsidRPr="0087518C">
        <w:rPr>
          <w:rFonts w:ascii="Times New Roman" w:hAnsi="Times New Roman"/>
          <w:sz w:val="20"/>
        </w:rPr>
        <w:t>time series.</w:t>
      </w:r>
    </w:p>
    <w:p w14:paraId="540D3853" w14:textId="77777777" w:rsidR="00475D5C" w:rsidRPr="0087518C" w:rsidRDefault="00475D5C" w:rsidP="00475D5C">
      <w:pPr>
        <w:rPr>
          <w:rFonts w:hint="default"/>
          <w:sz w:val="20"/>
        </w:rPr>
      </w:pPr>
    </w:p>
    <w:p w14:paraId="1A369F85" w14:textId="77777777" w:rsidR="00475D5C" w:rsidRDefault="00475D5C" w:rsidP="00475D5C">
      <w:pPr>
        <w:rPr>
          <w:rFonts w:ascii="Times New Roman" w:hAnsi="Times New Roman" w:hint="default"/>
          <w:b/>
          <w:bCs/>
          <w:color w:val="000000" w:themeColor="text1"/>
          <w:kern w:val="24"/>
          <w:szCs w:val="24"/>
        </w:rPr>
      </w:pPr>
    </w:p>
    <w:p w14:paraId="3C928337" w14:textId="77777777" w:rsidR="00475D5C" w:rsidRPr="000148BB" w:rsidRDefault="00475D5C" w:rsidP="00475D5C">
      <w:pPr>
        <w:pStyle w:val="NormalWeb"/>
        <w:jc w:val="both"/>
        <w:rPr>
          <w:sz w:val="20"/>
          <w:szCs w:val="20"/>
        </w:rPr>
      </w:pPr>
      <w:r>
        <w:rPr>
          <w:b/>
          <w:bCs/>
          <w:noProof/>
          <w:color w:val="000000" w:themeColor="text1"/>
          <w:kern w:val="24"/>
        </w:rPr>
        <w:lastRenderedPageBreak/>
        <w:drawing>
          <wp:inline distT="0" distB="0" distL="0" distR="0" wp14:anchorId="5797DF2E" wp14:editId="7859D5A1">
            <wp:extent cx="5487035" cy="3432175"/>
            <wp:effectExtent l="0" t="0" r="0" b="0"/>
            <wp:docPr id="24205715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7035" cy="3432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C09CE9" w14:textId="77777777" w:rsidR="00475D5C" w:rsidRPr="004B58C6" w:rsidRDefault="00475D5C" w:rsidP="00475D5C">
      <w:pPr>
        <w:rPr>
          <w:rFonts w:hint="default"/>
          <w:sz w:val="20"/>
        </w:rPr>
      </w:pPr>
      <w:r>
        <w:rPr>
          <w:rFonts w:hint="default"/>
          <w:b/>
          <w:bCs/>
          <w:sz w:val="20"/>
        </w:rPr>
        <w:t xml:space="preserve">Extended Data </w:t>
      </w:r>
      <w:r w:rsidRPr="004B58C6">
        <w:rPr>
          <w:rFonts w:hint="default"/>
          <w:b/>
          <w:bCs/>
          <w:sz w:val="20"/>
        </w:rPr>
        <w:t>Fig</w:t>
      </w:r>
      <w:r>
        <w:rPr>
          <w:rFonts w:hint="default"/>
          <w:b/>
          <w:bCs/>
          <w:sz w:val="20"/>
        </w:rPr>
        <w:t>.</w:t>
      </w:r>
      <w:r w:rsidRPr="004B58C6">
        <w:rPr>
          <w:rFonts w:hint="default"/>
          <w:b/>
          <w:bCs/>
          <w:sz w:val="20"/>
        </w:rPr>
        <w:t xml:space="preserve"> </w:t>
      </w:r>
      <w:r>
        <w:rPr>
          <w:rFonts w:hint="default"/>
          <w:b/>
          <w:bCs/>
          <w:sz w:val="20"/>
        </w:rPr>
        <w:t>9 |</w:t>
      </w:r>
      <w:r w:rsidRPr="004B58C6">
        <w:rPr>
          <w:rFonts w:hint="default"/>
          <w:b/>
          <w:bCs/>
          <w:sz w:val="20"/>
        </w:rPr>
        <w:t xml:space="preserve"> </w:t>
      </w:r>
      <w:r>
        <w:rPr>
          <w:rFonts w:hint="default"/>
          <w:b/>
          <w:bCs/>
          <w:sz w:val="20"/>
        </w:rPr>
        <w:t xml:space="preserve">Examination of potential drivers for the TLT acceleration. </w:t>
      </w:r>
      <w:r w:rsidRPr="004B58C6">
        <w:rPr>
          <w:rFonts w:hint="default"/>
          <w:sz w:val="20"/>
        </w:rPr>
        <w:t>(a) Monthly CO₂ concentration (ppm) time series at Mauna Loa Station (</w:t>
      </w:r>
      <w:r>
        <w:rPr>
          <w:rFonts w:hint="default"/>
          <w:sz w:val="20"/>
        </w:rPr>
        <w:t>ref. 64-65)</w:t>
      </w:r>
      <w:r w:rsidRPr="004B58C6">
        <w:rPr>
          <w:rFonts w:hint="default"/>
          <w:sz w:val="20"/>
        </w:rPr>
        <w:t>, with a fit using a quadratic trend plus seasonal cycle; (b) Global monthly mean CH₄ time series from NOAA Global Monitoring Laboratory measurements (</w:t>
      </w:r>
      <w:r>
        <w:rPr>
          <w:rFonts w:hint="default"/>
          <w:sz w:val="20"/>
        </w:rPr>
        <w:t>ref. 66-67</w:t>
      </w:r>
      <w:r w:rsidRPr="004B58C6">
        <w:rPr>
          <w:rFonts w:hint="default"/>
          <w:sz w:val="20"/>
        </w:rPr>
        <w:t>), with a fit using a cubic trend plus seasonal cycle; (c) Global monthly mean N</w:t>
      </w:r>
      <w:r w:rsidRPr="00C72E60">
        <w:rPr>
          <w:rFonts w:hint="default"/>
          <w:sz w:val="20"/>
          <w:vertAlign w:val="subscript"/>
        </w:rPr>
        <w:t>2</w:t>
      </w:r>
      <w:r w:rsidRPr="004B58C6">
        <w:rPr>
          <w:rFonts w:hint="default"/>
          <w:sz w:val="20"/>
        </w:rPr>
        <w:t>O time series from NOAA Global Monitoring Laboratory measurements (</w:t>
      </w:r>
      <w:r>
        <w:rPr>
          <w:rFonts w:hint="default"/>
          <w:sz w:val="20"/>
        </w:rPr>
        <w:t>ref. 67-68</w:t>
      </w:r>
      <w:r w:rsidRPr="004B58C6">
        <w:rPr>
          <w:rFonts w:hint="default"/>
          <w:sz w:val="20"/>
        </w:rPr>
        <w:t xml:space="preserve">), with a quadratic fit. (d) Radiative forcing changes since 1981 based on the formula in </w:t>
      </w:r>
      <w:r>
        <w:rPr>
          <w:rFonts w:hint="default"/>
          <w:sz w:val="20"/>
        </w:rPr>
        <w:t>ref. 63</w:t>
      </w:r>
      <w:r w:rsidRPr="004B58C6">
        <w:rPr>
          <w:rFonts w:hint="default"/>
          <w:sz w:val="20"/>
        </w:rPr>
        <w:t>.</w:t>
      </w:r>
    </w:p>
    <w:p w14:paraId="6EFB49A5" w14:textId="77777777" w:rsidR="00EB4A2D" w:rsidRDefault="00EB4A2D"/>
    <w:sectPr w:rsidR="00EB4A2D" w:rsidSect="00475D5C"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4022632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9656D3D" w14:textId="77777777" w:rsidR="00475D5C" w:rsidRDefault="00475D5C">
        <w:pPr>
          <w:pStyle w:val="Footer"/>
          <w:jc w:val="center"/>
          <w:rPr>
            <w:rFonts w:hint="default"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31C786E" w14:textId="77777777" w:rsidR="00475D5C" w:rsidRDefault="00475D5C">
    <w:pPr>
      <w:pStyle w:val="Footer"/>
      <w:rPr>
        <w:rFonts w:hint="default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D5C"/>
    <w:rsid w:val="002C7D54"/>
    <w:rsid w:val="0033371E"/>
    <w:rsid w:val="00475D5C"/>
    <w:rsid w:val="005C0D39"/>
    <w:rsid w:val="0070406C"/>
    <w:rsid w:val="00724754"/>
    <w:rsid w:val="00977054"/>
    <w:rsid w:val="00C321FA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DF716E"/>
  <w15:chartTrackingRefBased/>
  <w15:docId w15:val="{D216D8A4-556B-4A19-A338-274D3EFAB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5D5C"/>
    <w:pPr>
      <w:widowControl w:val="0"/>
      <w:suppressAutoHyphens/>
      <w:spacing w:after="0" w:line="240" w:lineRule="auto"/>
      <w:jc w:val="both"/>
    </w:pPr>
    <w:rPr>
      <w:rFonts w:ascii="Times" w:eastAsiaTheme="minorEastAsia" w:hAnsi="Times" w:cs="Times New Roman" w:hint="eastAsia"/>
      <w:color w:val="000000"/>
      <w:kern w:val="0"/>
      <w:szCs w:val="2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75D5C"/>
    <w:pPr>
      <w:keepNext/>
      <w:keepLines/>
      <w:widowControl/>
      <w:suppressAutoHyphens w:val="0"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 w:hint="default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5D5C"/>
    <w:pPr>
      <w:keepNext/>
      <w:keepLines/>
      <w:widowControl/>
      <w:suppressAutoHyphens w:val="0"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 w:hint="default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5D5C"/>
    <w:pPr>
      <w:keepNext/>
      <w:keepLines/>
      <w:widowControl/>
      <w:suppressAutoHyphens w:val="0"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 w:hint="default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5D5C"/>
    <w:pPr>
      <w:keepNext/>
      <w:keepLines/>
      <w:widowControl/>
      <w:suppressAutoHyphens w:val="0"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 w:hint="default"/>
      <w:i/>
      <w:iCs/>
      <w:color w:val="0F4761" w:themeColor="accent1" w:themeShade="BF"/>
      <w:kern w:val="2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5D5C"/>
    <w:pPr>
      <w:keepNext/>
      <w:keepLines/>
      <w:widowControl/>
      <w:suppressAutoHyphens w:val="0"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 w:hint="default"/>
      <w:color w:val="0F4761" w:themeColor="accent1" w:themeShade="BF"/>
      <w:kern w:val="2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5D5C"/>
    <w:pPr>
      <w:keepNext/>
      <w:keepLines/>
      <w:widowControl/>
      <w:suppressAutoHyphens w:val="0"/>
      <w:spacing w:before="40" w:line="278" w:lineRule="auto"/>
      <w:jc w:val="left"/>
      <w:outlineLvl w:val="5"/>
    </w:pPr>
    <w:rPr>
      <w:rFonts w:asciiTheme="minorHAnsi" w:eastAsiaTheme="majorEastAsia" w:hAnsiTheme="minorHAnsi" w:cstheme="majorBidi" w:hint="default"/>
      <w:i/>
      <w:iCs/>
      <w:color w:val="595959" w:themeColor="text1" w:themeTint="A6"/>
      <w:kern w:val="2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5D5C"/>
    <w:pPr>
      <w:keepNext/>
      <w:keepLines/>
      <w:widowControl/>
      <w:suppressAutoHyphens w:val="0"/>
      <w:spacing w:before="40" w:line="278" w:lineRule="auto"/>
      <w:jc w:val="left"/>
      <w:outlineLvl w:val="6"/>
    </w:pPr>
    <w:rPr>
      <w:rFonts w:asciiTheme="minorHAnsi" w:eastAsiaTheme="majorEastAsia" w:hAnsiTheme="minorHAnsi" w:cstheme="majorBidi" w:hint="default"/>
      <w:color w:val="595959" w:themeColor="text1" w:themeTint="A6"/>
      <w:kern w:val="2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5D5C"/>
    <w:pPr>
      <w:keepNext/>
      <w:keepLines/>
      <w:widowControl/>
      <w:suppressAutoHyphens w:val="0"/>
      <w:spacing w:line="278" w:lineRule="auto"/>
      <w:jc w:val="left"/>
      <w:outlineLvl w:val="7"/>
    </w:pPr>
    <w:rPr>
      <w:rFonts w:asciiTheme="minorHAnsi" w:eastAsiaTheme="majorEastAsia" w:hAnsiTheme="minorHAnsi" w:cstheme="majorBidi" w:hint="default"/>
      <w:i/>
      <w:iCs/>
      <w:color w:val="272727" w:themeColor="text1" w:themeTint="D8"/>
      <w:kern w:val="2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5D5C"/>
    <w:pPr>
      <w:keepNext/>
      <w:keepLines/>
      <w:widowControl/>
      <w:suppressAutoHyphens w:val="0"/>
      <w:spacing w:line="278" w:lineRule="auto"/>
      <w:jc w:val="left"/>
      <w:outlineLvl w:val="8"/>
    </w:pPr>
    <w:rPr>
      <w:rFonts w:asciiTheme="minorHAnsi" w:eastAsiaTheme="majorEastAsia" w:hAnsiTheme="minorHAnsi" w:cstheme="majorBidi" w:hint="default"/>
      <w:color w:val="272727" w:themeColor="text1" w:themeTint="D8"/>
      <w:kern w:val="2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5D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5D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5D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5D5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5D5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5D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5D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5D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5D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5D5C"/>
    <w:pPr>
      <w:widowControl/>
      <w:suppressAutoHyphens w:val="0"/>
      <w:spacing w:after="80"/>
      <w:contextualSpacing/>
      <w:jc w:val="left"/>
    </w:pPr>
    <w:rPr>
      <w:rFonts w:asciiTheme="majorHAnsi" w:eastAsiaTheme="majorEastAsia" w:hAnsiTheme="majorHAnsi" w:cstheme="majorBidi" w:hint="default"/>
      <w:color w:val="auto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75D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5D5C"/>
    <w:pPr>
      <w:widowControl/>
      <w:numPr>
        <w:ilvl w:val="1"/>
      </w:numPr>
      <w:suppressAutoHyphens w:val="0"/>
      <w:spacing w:after="160" w:line="278" w:lineRule="auto"/>
      <w:jc w:val="left"/>
    </w:pPr>
    <w:rPr>
      <w:rFonts w:asciiTheme="minorHAnsi" w:eastAsiaTheme="majorEastAsia" w:hAnsiTheme="minorHAnsi" w:cstheme="majorBidi" w:hint="default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75D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5D5C"/>
    <w:pPr>
      <w:widowControl/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 w:hint="default"/>
      <w:i/>
      <w:iCs/>
      <w:color w:val="404040" w:themeColor="text1" w:themeTint="BF"/>
      <w:kern w:val="2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75D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5D5C"/>
    <w:pPr>
      <w:widowControl/>
      <w:suppressAutoHyphens w:val="0"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 w:hint="default"/>
      <w:color w:val="auto"/>
      <w:kern w:val="2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75D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5D5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 w:hint="default"/>
      <w:i/>
      <w:iCs/>
      <w:color w:val="0F4761" w:themeColor="accent1" w:themeShade="BF"/>
      <w:kern w:val="2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5D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5D5C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rsid w:val="00475D5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5D5C"/>
    <w:rPr>
      <w:rFonts w:ascii="Times" w:eastAsiaTheme="minorEastAsia" w:hAnsi="Times" w:cs="Times New Roman"/>
      <w:color w:val="000000"/>
      <w:kern w:val="0"/>
      <w:szCs w:val="20"/>
      <w:lang w:val="en-US"/>
      <w14:ligatures w14:val="none"/>
    </w:rPr>
  </w:style>
  <w:style w:type="character" w:styleId="Strong">
    <w:name w:val="Strong"/>
    <w:uiPriority w:val="22"/>
    <w:qFormat/>
    <w:rsid w:val="00475D5C"/>
    <w:rPr>
      <w:b/>
      <w:bCs/>
    </w:rPr>
  </w:style>
  <w:style w:type="paragraph" w:styleId="NormalWeb">
    <w:name w:val="Normal (Web)"/>
    <w:basedOn w:val="Normal"/>
    <w:uiPriority w:val="99"/>
    <w:rsid w:val="00475D5C"/>
    <w:pPr>
      <w:widowControl/>
      <w:suppressAutoHyphens w:val="0"/>
      <w:spacing w:before="100" w:beforeAutospacing="1" w:after="100" w:afterAutospacing="1"/>
      <w:jc w:val="left"/>
    </w:pPr>
    <w:rPr>
      <w:rFonts w:ascii="Times New Roman" w:hAnsi="Times New Roman" w:hint="default"/>
      <w:color w:val="auto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469</Words>
  <Characters>2656</Characters>
  <Application>Microsoft Office Word</Application>
  <DocSecurity>0</DocSecurity>
  <Lines>49</Lines>
  <Paragraphs>11</Paragraphs>
  <ScaleCrop>false</ScaleCrop>
  <Company/>
  <LinksUpToDate>false</LinksUpToDate>
  <CharactersWithSpaces>3114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2026-04-02T04:41:00Z</dcterms:created>
  <dcterms:modified xsi:type="dcterms:W3CDTF">2026-04-02T04:41:00Z</dcterms:modified>
</cp:coreProperties>
</file>