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6DC5C">
      <w:pPr>
        <w:keepNext w:val="0"/>
        <w:keepLines w:val="0"/>
        <w:pageBreakBefore w:val="0"/>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仿宋" w:cs="Times New Roman"/>
          <w:b/>
          <w:sz w:val="21"/>
          <w:szCs w:val="21"/>
        </w:rPr>
      </w:pPr>
      <w:r>
        <w:rPr>
          <w:rFonts w:ascii="Times New Roman" w:hAnsi="Times New Roman" w:eastAsia="仿宋" w:cs="Times New Roman"/>
          <w:b/>
          <w:sz w:val="21"/>
          <w:szCs w:val="21"/>
        </w:rPr>
        <w:t>1 Molecular Simulation</w:t>
      </w:r>
    </w:p>
    <w:p w14:paraId="28EE4235">
      <w:pPr>
        <w:keepNext w:val="0"/>
        <w:keepLines w:val="0"/>
        <w:pageBreakBefore w:val="0"/>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仿宋" w:cs="Times New Roman"/>
          <w:b/>
          <w:sz w:val="21"/>
          <w:szCs w:val="21"/>
        </w:rPr>
      </w:pPr>
      <w:r>
        <w:rPr>
          <w:rFonts w:ascii="Times New Roman" w:hAnsi="Times New Roman" w:eastAsia="仿宋" w:cs="Times New Roman"/>
          <w:b/>
          <w:sz w:val="21"/>
          <w:szCs w:val="21"/>
        </w:rPr>
        <w:t>1.1 Structure Modeling</w:t>
      </w:r>
    </w:p>
    <w:p w14:paraId="395CB361">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The amino acid sequence of the human </w:t>
      </w:r>
      <w:r>
        <w:rPr>
          <w:rFonts w:ascii="Times New Roman" w:hAnsi="Times New Roman" w:eastAsia="宋体" w:cs="Times New Roman"/>
          <w:bCs/>
          <w:kern w:val="0"/>
          <w:sz w:val="21"/>
          <w:szCs w:val="21"/>
        </w:rPr>
        <w:t>mitogen-activated protein kinase 14 (MAPK14)</w:t>
      </w:r>
      <w:r>
        <w:rPr>
          <w:rFonts w:ascii="Times New Roman" w:hAnsi="Times New Roman" w:eastAsia="宋体" w:cs="Times New Roman"/>
          <w:kern w:val="0"/>
          <w:sz w:val="21"/>
          <w:szCs w:val="21"/>
        </w:rPr>
        <w:t xml:space="preserve"> was retrieved from the UniProt database (</w:t>
      </w:r>
      <w:r>
        <w:rPr>
          <w:rFonts w:ascii="Times New Roman" w:hAnsi="Times New Roman" w:eastAsia="宋体" w:cs="Times New Roman"/>
          <w:bCs/>
          <w:kern w:val="0"/>
          <w:sz w:val="21"/>
          <w:szCs w:val="21"/>
        </w:rPr>
        <w:t>Q16539</w:t>
      </w:r>
      <w:r>
        <w:rPr>
          <w:rFonts w:ascii="Times New Roman" w:hAnsi="Times New Roman" w:eastAsia="宋体" w:cs="Times New Roman"/>
          <w:kern w:val="0"/>
          <w:sz w:val="21"/>
          <w:szCs w:val="21"/>
        </w:rPr>
        <w:t xml:space="preserve">). To ensure structural completeness, especially for the flexible activation loop containing the critical phosphorylation sites </w:t>
      </w:r>
      <w:r>
        <w:rPr>
          <w:rFonts w:ascii="Times New Roman" w:hAnsi="Times New Roman" w:eastAsia="宋体" w:cs="Times New Roman"/>
          <w:bCs/>
          <w:kern w:val="0"/>
          <w:sz w:val="21"/>
          <w:szCs w:val="21"/>
        </w:rPr>
        <w:t>Thr180</w:t>
      </w:r>
      <w:r>
        <w:rPr>
          <w:rFonts w:ascii="Times New Roman" w:hAnsi="Times New Roman" w:eastAsia="宋体" w:cs="Times New Roman"/>
          <w:kern w:val="0"/>
          <w:sz w:val="21"/>
          <w:szCs w:val="21"/>
        </w:rPr>
        <w:t xml:space="preserve"> and </w:t>
      </w:r>
      <w:r>
        <w:rPr>
          <w:rFonts w:ascii="Times New Roman" w:hAnsi="Times New Roman" w:eastAsia="宋体" w:cs="Times New Roman"/>
          <w:bCs/>
          <w:kern w:val="0"/>
          <w:sz w:val="21"/>
          <w:szCs w:val="21"/>
        </w:rPr>
        <w:t>Tyr182</w:t>
      </w:r>
      <w:r>
        <w:rPr>
          <w:rFonts w:ascii="Times New Roman" w:hAnsi="Times New Roman" w:eastAsia="宋体" w:cs="Times New Roman"/>
          <w:kern w:val="0"/>
          <w:sz w:val="21"/>
          <w:szCs w:val="21"/>
        </w:rPr>
        <w:t xml:space="preserve">, the 3D structure was constructed using </w:t>
      </w:r>
      <w:r>
        <w:rPr>
          <w:rFonts w:ascii="Times New Roman" w:hAnsi="Times New Roman" w:eastAsia="宋体" w:cs="Times New Roman"/>
          <w:bCs/>
          <w:kern w:val="0"/>
          <w:sz w:val="21"/>
          <w:szCs w:val="21"/>
        </w:rPr>
        <w:t>AlphaFold3</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{"citationID":"iAQwckOj","properties":{"formattedCitation":"\\super 1\\nosupersub{}","plainCitation":"1","noteIndex":0},"citationItems":[{"id":106,"uris":["http://zotero.org/users/12723368/items/P9QUCEAD"],"itemData":{"id":106,"type":"article-journal","abstract":"Abstract\n            \n              Proteins are essential to life, and understanding their structure can facilitate a mechanistic understanding of their function. Through an enormous experimental effort\n              1–4\n              , the structures of around 100,000 unique proteins have been determined\n              5\n              , but this represents a small fraction of the billions of known protein sequences\n              6,7\n              . Structural coverage is bottlenecked by the months to years of painstaking effort required to determine a single protein structure. Accurate computational approaches are needed to address this gap and to enable large-scale structural bioinformatics. Predicting the three-dimensional structure that a protein will adopt based solely on its amino acid sequence—the structure prediction component of the ‘protein folding problem’\n              8\n              —has been an important open research problem for more than 50 years\n              9\n              . Despite recent progress\n              10–14\n              , existing methods fall far short of atomic accuracy, especially when no homologous structure is available. Here we provide the first computational method that can regularly predict protein structures with atomic accuracy even in cases in which no similar structure is known. We validated an entirely redesigned version of our neural network-based model, AlphaFold, in the challenging 14th Critical Assessment of protein Structure Prediction (CASP14)\n              15\n              , demonstrating accuracy competitive with experimental structures in a majority of cases and greatly outperforming other methods. Underpinning the latest version of AlphaFold is a novel machine learning approach that incorporates physical and biological knowledge about protein structure, leveraging multi-sequence alignments, into the design of the deep learning algorithm.","collection-title":"无","container-title":"Nature","DOI":"10.1038/s41586-021-03819-2","ISSN":"0028-0836, 1476-4687","issue":"7873","journalAbbreviation":"Nature","language":"en","note":"28248 citations (Crossref/DOI) [2025-03-21]\n19138 citations (Crossref/DOI) [2024-05-14]\n19138 citations (Crossref/DOI) [2024-05-14]\nJCR分区: Q1\n中科院分区升级版: 综合性期刊1区\n中科院分区基础版: 综合性期刊1区\n影响因子: 50.5\n5年影响因子: 54.4\nJCI: 11.28\n南农高质量: A\nTLDR: This work validated an entirely redesigned version of the neural network-based model, AlphaFold, in the challenging 14th Critical Assessment of protein Structure Prediction (CASP14)15, demonstrating accuracy competitive with experimental structures in a majority of cases and greatly outperforming other methods.\n中科院升级版Top分区: 综合性期刊TOP\n中科院升级版小类分区: 综合性期刊1区","page":"583-589","source":"DOI.org (Crossref)","title":"Highly accurate protein structure prediction with AlphaFold","URL":"https://www.nature.com/articles/s41586-021-03819-2","volume":"596","author":[{"family":"Jumper","given":"John"},{"family":"Evans","given":"Richard"},{"family":"Pritzel","given":"Alexander"},{"family":"Green","given":"Tim"},{"family":"Figurnov","given":"Michael"},{"family":"Ronneberger","given":"Olaf"},{"family":"Tunyasuvunakool","given":"Kathryn"},{"family":"Bates","given":"Russ"},{"family":"Žídek","given":"Augustin"},{"family":"Potapenko","given":"Anna"},{"family":"Bridgland","given":"Alex"},{"family":"Meyer","given":"Clemens"},{"family":"Kohl","given":"Simon A. A."},{"family":"Ballard","given":"Andrew J."},{"family":"Cowie","given":"Andrew"},{"family":"Romera-Paredes","given":"Bernardino"},{"family":"Nikolov","given":"Stanislav"},{"family":"Jain","given":"Rishub"},{"family":"Adler","given":"Jonas"},{"family":"Back","given":"Trevor"},{"family":"Petersen","given":"Stig"},{"family":"Reiman","given":"David"},{"family":"Clancy","given":"Ellen"},{"family":"Zielinski","given":"Michal"},{"family":"Steinegger","given":"Martin"},{"family":"Pacholska","given":"Michalina"},{"family":"Berghammer","given":"Tamas"},{"family":"Bodenstein","given":"Sebastian"},{"family":"Silver","given":"David"},{"family":"Vinyals","given":"Oriol"},{"family":"Senior","given":"Andrew W."},{"family":"Kavukcuoglu","given":"Koray"},{"family":"Kohli","given":"Pushmeet"},{"family":"Hassabis","given":"Demis"}],"accessed":{"date-parts":[["2024",1,17]]},"issued":{"date-parts":[["2021",8,26]]}}}],"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Existing crystal structures from the PDB database were utilized as templates to guide the modeling, ensuring the catalytic machinery and regulatory motifs were accurately represented. This high-confidence model served as the receptor for investigating the inhibitory mechanism of the ligand on MAPK14 phosphorylation.</w:t>
      </w:r>
      <w:r>
        <w:rPr>
          <w:rFonts w:hint="eastAsia" w:ascii="Times New Roman" w:hAnsi="Times New Roman" w:eastAsia="宋体" w:cs="Times New Roman"/>
          <w:kern w:val="0"/>
          <w:sz w:val="21"/>
          <w:szCs w:val="21"/>
        </w:rPr>
        <w:t xml:space="preserve"> </w:t>
      </w:r>
      <w:r>
        <w:rPr>
          <w:rFonts w:ascii="Times New Roman" w:hAnsi="Times New Roman" w:eastAsia="宋体" w:cs="Times New Roman"/>
          <w:kern w:val="0"/>
          <w:sz w:val="21"/>
          <w:szCs w:val="21"/>
        </w:rPr>
        <w:t xml:space="preserve">For the ligand, the 3D structure of Periplocymarin (PubChem CID: 12305974) was obtained. </w:t>
      </w:r>
    </w:p>
    <w:p w14:paraId="163F95D2">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仿宋" w:cs="Times New Roman"/>
          <w:b/>
          <w:sz w:val="21"/>
          <w:szCs w:val="21"/>
        </w:rPr>
      </w:pPr>
      <w:r>
        <w:rPr>
          <w:rFonts w:ascii="Times New Roman" w:hAnsi="Times New Roman" w:eastAsia="仿宋" w:cs="Times New Roman"/>
          <w:b/>
          <w:sz w:val="21"/>
          <w:szCs w:val="21"/>
        </w:rPr>
        <w:t>1.2 Molecular Docking</w:t>
      </w:r>
    </w:p>
    <w:p w14:paraId="6D9818B9">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To investigate the inhibitory potential of Periplocymarin, targeted molecular docking was performed using xDock</w:t>
      </w:r>
      <w:r>
        <w:rPr>
          <w:rFonts w:ascii="Times New Roman" w:hAnsi="Times New Roman" w:eastAsia="宋体" w:cs="Times New Roman"/>
          <w:kern w:val="0"/>
          <w:sz w:val="21"/>
          <w:szCs w:val="21"/>
        </w:rPr>
        <w:fldChar w:fldCharType="begin"/>
      </w:r>
      <w:r>
        <w:rPr>
          <w:rFonts w:ascii="Times New Roman" w:hAnsi="Times New Roman" w:eastAsia="宋体" w:cs="Times New Roman"/>
          <w:kern w:val="0"/>
          <w:sz w:val="21"/>
          <w:szCs w:val="21"/>
        </w:rPr>
        <w:instrText xml:space="preserve"> ADDIN ZOTERO_ITEM CSL_CITATION {"citationID":"G3vNkVnm","properties":{"formattedCitation":"\\super 2\\nosupersub{}","plainCitation":"2","noteIndex":0},"citationItems":[{"id":3072,"uris":["http://zotero.org/users/12723368/items/WDKFV48Z"],"itemData":{"id":3072,"type":"article-journal","abstract":"Molecular docking is an essential computational tool in structure-based drug discovery and the investigation of the molecular mechanisms underlying biological processes. Despite the development of many molecular docking programs for various systems, a universal tool that can accurately dock ligands across multiple system types remains elusive. Meeting the need, we developed XDock, a versatile docking framework built for both protein−ligand and nucleic acid−ligand interactions. XDock efficiently accounts for ligand flexibility by docking multiple conformations of a ligand and flexibly refining the final binding poses. It utilizes a distance geometric method for ligand sampling and leverages our knowledge-based scoring functions for assessing protein−ligand and nucleic acid−ligand interactions. XDock has undergone extensive validations on diverse benchmarks of protein−ligand and nucleic acid−ligand complexes and was compared with six other docking methods, including DOCK 6, AutoDock Vina, PLANTS, LeDock, rDock, and RLDock. In addition, XDock is also computationally efficient and on average can dock a ligand within 1 min.","container-title":"Journal of Chemical Information and Modeling","DOI":"10.1021/acs.jcim.4c00855","ISSN":"1549-9596, 1549-960X","issue":"24","journalAbbreviation":"J. Chem. Inf. Model.","language":"en","license":"https://doi.org/10.15223/policy-029","note":"6 citations (Crossref/DOI) [2025-12-10]\n6 citations (Crossref/DOI) [2025-12-10]\n0 citatio</w:instrText>
      </w:r>
      <w:r>
        <w:rPr>
          <w:rFonts w:hint="eastAsia" w:ascii="Times New Roman" w:hAnsi="Times New Roman" w:eastAsia="宋体" w:cs="Times New Roman"/>
          <w:kern w:val="0"/>
          <w:sz w:val="21"/>
          <w:szCs w:val="21"/>
        </w:rPr>
        <w:instrText xml:space="preserve">ns (Crossref/DOI) [2025-05-09]\n0 citations (Crossref/DOI) [2025-03-21]\nJCR分区: Q1\n中科院分区升级版: 化学2区\n中科院分区基础版: 化学2区\n影响因子: 5.6\n5年影响因子: 5.9\nEI: 是\nJCI: 1.31\n南农高质量: A\nTLDR: XDock is a versatile docking framework built for both protein-ligand and nucleic </w:instrText>
      </w:r>
      <w:r>
        <w:rPr>
          <w:rFonts w:ascii="Times New Roman" w:hAnsi="Times New Roman" w:eastAsia="宋体" w:cs="Times New Roman"/>
          <w:kern w:val="0"/>
          <w:sz w:val="21"/>
          <w:szCs w:val="21"/>
        </w:rPr>
        <w:instrText xml:space="preserve">acid-ligand interactions and efficiently accounts for ligand flexibility by docking multiple conformations of a ligand and flexibly refining the final binding poses.","page":"9563-9575","source":"DOI.org (Crossref)","title":"XDock: A general docking method for modeling protein–ligand and nucleic acid–ligand interactions","title-short":"XDock","URL":"https://pubs.acs.org/doi/10.1021/acs.jcim.4c00855","volume":"64","author":[{"family":"Wu","given":"Qilong"},{"family":"Huang","given":"Sheng-You"}],"accessed":{"date-parts":[["2025",2,15]]},"issued":{"date-parts":[["2024",12,23]]}}}],"schema":"https://github.com/citation-style-language/schema/raw/master/csl-citation.json"} </w:instrText>
      </w:r>
      <w:r>
        <w:rPr>
          <w:rFonts w:ascii="Times New Roman" w:hAnsi="Times New Roman" w:eastAsia="宋体" w:cs="Times New Roman"/>
          <w:kern w:val="0"/>
          <w:sz w:val="21"/>
          <w:szCs w:val="21"/>
        </w:rPr>
        <w:fldChar w:fldCharType="separate"/>
      </w:r>
      <w:r>
        <w:rPr>
          <w:rFonts w:ascii="Times New Roman" w:hAnsi="Times New Roman" w:cs="Times New Roman"/>
          <w:kern w:val="0"/>
          <w:sz w:val="21"/>
          <w:szCs w:val="21"/>
          <w:vertAlign w:val="superscript"/>
        </w:rPr>
        <w:t>2</w:t>
      </w:r>
      <w:r>
        <w:rPr>
          <w:rFonts w:ascii="Times New Roman" w:hAnsi="Times New Roman" w:eastAsia="宋体" w:cs="Times New Roman"/>
          <w:kern w:val="0"/>
          <w:sz w:val="21"/>
          <w:szCs w:val="21"/>
        </w:rPr>
        <w:fldChar w:fldCharType="end"/>
      </w:r>
      <w:r>
        <w:rPr>
          <w:rFonts w:ascii="Times New Roman" w:hAnsi="Times New Roman" w:eastAsia="宋体" w:cs="Times New Roman"/>
          <w:kern w:val="0"/>
          <w:sz w:val="21"/>
          <w:szCs w:val="21"/>
        </w:rPr>
        <w:t>. Given the experimental evidence that the drug inhibits the phosphorylation of Thr180 and Tyr182, the docking grid was strategically defined to encompass both the ATP-binding pocket and the adjacent phosphorylation-related motifs. The docking utilized an exhaustiveness of sampling with the parameters -NumOutPose 20 -GenConfs 200 -ClashScore 2.0. The complex conformation exhibiting the most favorable interactions within the ATP/phosphorylation-site cavity was selected for further analysis.</w:t>
      </w:r>
    </w:p>
    <w:p w14:paraId="19944D8C">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仿宋" w:cs="Times New Roman"/>
          <w:b/>
          <w:sz w:val="21"/>
          <w:szCs w:val="21"/>
        </w:rPr>
      </w:pPr>
      <w:r>
        <w:rPr>
          <w:rFonts w:ascii="Times New Roman" w:hAnsi="Times New Roman" w:eastAsia="仿宋" w:cs="Times New Roman"/>
          <w:b/>
          <w:sz w:val="21"/>
          <w:szCs w:val="21"/>
        </w:rPr>
        <w:t>1.3 Ligand Parameterization and Topology Generation</w:t>
      </w:r>
    </w:p>
    <w:p w14:paraId="08F4E2FE">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The coordinates of Periplocymarin were extracted from the docked complex, and a </w:t>
      </w:r>
      <w:r>
        <w:rPr>
          <w:rFonts w:ascii="Times New Roman" w:hAnsi="Times New Roman" w:eastAsia="宋体" w:cs="Times New Roman"/>
          <w:bCs/>
          <w:kern w:val="0"/>
          <w:sz w:val="21"/>
          <w:szCs w:val="21"/>
        </w:rPr>
        <w:t>single-point energy calculation</w:t>
      </w:r>
      <w:r>
        <w:rPr>
          <w:rFonts w:ascii="Times New Roman" w:hAnsi="Times New Roman" w:eastAsia="宋体" w:cs="Times New Roman"/>
          <w:kern w:val="0"/>
          <w:sz w:val="21"/>
          <w:szCs w:val="21"/>
        </w:rPr>
        <w:t xml:space="preserve"> was performed using </w:t>
      </w:r>
      <w:r>
        <w:rPr>
          <w:rFonts w:ascii="Times New Roman" w:hAnsi="Times New Roman" w:eastAsia="宋体" w:cs="Times New Roman"/>
          <w:bCs/>
          <w:kern w:val="0"/>
          <w:sz w:val="21"/>
          <w:szCs w:val="21"/>
        </w:rPr>
        <w:t>ORCA 6.1.0</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{"citationID":"FD1p7NXT","properties":{"formattedCitation":"\\super 3\\nosupersub{}","plainCitation":"3","noteIndex":0},"citationItems":[{"id":5218,"uris":["http://zotero.org/users/12723368/items/74LGDR3S"],"itemData":{"id":5218,"type":"article-journal","abstract":"Version 6.0 of the ORCA quantum chemistry program suite was released in July 2024. ORCA 6.0 is a major turning point in the history of the program since it represents a near complete rewrite of the code base that leads to: (1) major performance improvements, (2) a clean and highly efficient code base that greatly facilitates future development, (3) a large amount of new functionality, and (4) new interface capabilities that facilitate inter-operability with other quantum chemistry program packages. The article describes the most salient features of the program.","container-title":"WIREs Computational Molecular Science","DOI":"10.1002/wcms.70019","ISSN":"1759-0876, 1759-0884","issue":"2","journalAbbreviation":"WIREs Comput Mol Sci","language":"en","license":"http://creativecommons.org/licenses/by/4.0/","note":"25 citations (Semantic Scholar/DOI) [2025-09-10]\n9 citations (Crossref/DOI) [2025-07-18]\nTLDR: The article describes the most salient features of the ORCA quantum chemistry program suite, which represents a near complete rewrite of the code base that leads to a clean and highly efficient code base that greatly facilitates future development.","publisher":"Wiley","source":"Crossref","title":"Software update: The &lt;span style=\"font-variant:small-caps;\"&gt;ORCA&lt;/span&gt; program system—version 6.0","title-short":"Software update","URL":"https://wires.onlinelibrary.wiley.com/doi/10.1002/wcms.70019","volume":"15","author":[{"family":"Neese","given":"Frank"}],"accessed":{"date-parts":[["2025",7,18]]},"issued":{"date-parts":[["2025",3]]}}}],"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3</w:t>
      </w:r>
      <w:r>
        <w:rPr>
          <w:rFonts w:ascii="Times New Roman" w:hAnsi="Times New Roman" w:eastAsia="仿宋" w:cs="Times New Roman"/>
          <w:sz w:val="21"/>
          <w:szCs w:val="21"/>
        </w:rPr>
        <w:fldChar w:fldCharType="end"/>
      </w:r>
      <w:r>
        <w:rPr>
          <w:rFonts w:ascii="Times New Roman" w:hAnsi="Times New Roman" w:eastAsia="仿宋" w:cs="Times New Roman"/>
          <w:sz w:val="21"/>
          <w:szCs w:val="21"/>
        </w:rPr>
        <w:t xml:space="preserve"> </w:t>
      </w:r>
      <w:r>
        <w:rPr>
          <w:rFonts w:ascii="Times New Roman" w:hAnsi="Times New Roman" w:eastAsia="宋体" w:cs="Times New Roman"/>
          <w:kern w:val="0"/>
          <w:sz w:val="21"/>
          <w:szCs w:val="21"/>
        </w:rPr>
        <w:t xml:space="preserve">to generate the electronic wavefunction. This calculation utilized the </w:t>
      </w:r>
      <w:r>
        <w:rPr>
          <w:rFonts w:ascii="Times New Roman" w:hAnsi="Times New Roman" w:eastAsia="宋体" w:cs="Times New Roman"/>
          <w:bCs/>
          <w:kern w:val="0"/>
          <w:sz w:val="21"/>
          <w:szCs w:val="21"/>
        </w:rPr>
        <w:t>B3LYP</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{"citationID":"5KCeDDiK","properties":{"formattedCitation":"\\super 4,5\\nosupersub{}","plainCitation":"4,5","noteIndex":0},"citationItems":[{"id":3928,"uris":["http://zotero.org/users/12723368/items/4IFIZGK8"],"itemData":{</w:instrText>
      </w:r>
      <w:r>
        <w:rPr>
          <w:rFonts w:hint="eastAsia" w:ascii="Times New Roman" w:hAnsi="Times New Roman" w:eastAsia="仿宋" w:cs="Times New Roman"/>
          <w:sz w:val="21"/>
          <w:szCs w:val="21"/>
        </w:rPr>
        <w:instrText xml:space="preserve">"id":3928,"type":"article-journal","abstract":"Despite the remarkable thermochemical accuracy of Kohn–Sham density‐functional theories with gradient corrections for exchange‐correlation [see, for example, A. D. Becke, J. Chem. Phys. 96, 2155 (1992)], we believe that further improvements are unlikely unless exact‐exchange information is considered. Arguments to support this view are presented, and a semiempirical exchange‐correlation functional containing local‐spin‐density, gradient, and exact‐exchange terms is tested on 56 atomization energies, 42 ionization potentials, 8 proton affinities, and 10 total atomic energies of first‐ and second‐row systems. This functional performs significantly better than previous functionals with gradient corrections only,</w:instrText>
      </w:r>
      <w:r>
        <w:rPr>
          <w:rFonts w:ascii="Times New Roman" w:hAnsi="Times New Roman" w:eastAsia="仿宋" w:cs="Times New Roman"/>
          <w:sz w:val="21"/>
          <w:szCs w:val="21"/>
        </w:rPr>
        <w:instrText xml:space="preserve"> and fits experimental atomization energies with an impressively small average absolute deviation of 2.4 kcal/mol.","container-title":"Journal of Chemical Physics","DOI":"10.1063/1.464913","ISSN":"0021-9606","issue":"7","journalAbbreviation":"J. Chem. Phy</w:instrText>
      </w:r>
      <w:r>
        <w:rPr>
          <w:rFonts w:hint="eastAsia" w:ascii="Times New Roman" w:hAnsi="Times New Roman" w:eastAsia="仿宋" w:cs="Times New Roman"/>
          <w:sz w:val="21"/>
          <w:szCs w:val="21"/>
        </w:rPr>
        <w:instrText xml:space="preserve">s.","language":"en","note":"91619 citations (Crossref/DOI) [2025-03-21]\n80992 citations (Semantic Scholar/DOI) [2025-03-21]\nJCR分区: Q1\n中科院分区升级版: 化学2区\n中科院分区基础版: 化学3区\n影响因子: 3.1\n5年影响因子: 3.6\nEI: 是\nJCI: 0.86\n南农高质量: A","page":"5648-5652","source":"Silverchair","title":"Density‐functional thermochemistry. III. The role of exact exchange","URL":"https://doi.org/10.1063/1.464913","volume":"98","author":[{"family":"Becke","given":"Axel D."}],"accessed":{"date-parts":[["2025",3,21]]},"issued":{"date-parts":[</w:instrText>
      </w:r>
      <w:r>
        <w:rPr>
          <w:rFonts w:ascii="Times New Roman" w:hAnsi="Times New Roman" w:eastAsia="仿宋" w:cs="Times New Roman"/>
          <w:sz w:val="21"/>
          <w:szCs w:val="21"/>
        </w:rPr>
        <w:instrText xml:space="preserve">["1993",4,1]]}},"label":"page"},{"id":3931,"uris":["http://zotero.org/users/12723368/items/2QE7NV4K"],"itemData":{"id":3931,"type":"article-journal","abstract":"A correlation-energy formula due to Colle and Salvetti [Theor. Chim. Acta 37, 329 (1975)], in which the correlation energy density is expressed in terms of the electron density and a Laplacian of the second-order Hartree-Fock density matrix, is restated as a formula involving the density and local kinetic-energy density. On insertion of gradient expansions for the local kinetic-energy density, density-functional formulas for the correlation energy and correlation potential are then obtained. Through numerical calculations on a number of atoms, positive ions, and molecules, of both open- and closed-shell type, it is demonstrated that these formulas, like the original Colle-Salvetti formulas, give correlation energies within a few percent.","container-title":"Physical Review B","DOI":"10.1103/PhysRevB.37.785","issue":"2","journalAbbreviation":"Phys.</w:instrText>
      </w:r>
      <w:r>
        <w:rPr>
          <w:rFonts w:hint="eastAsia" w:ascii="Times New Roman" w:hAnsi="Times New Roman" w:eastAsia="仿宋" w:cs="Times New Roman"/>
          <w:sz w:val="21"/>
          <w:szCs w:val="21"/>
        </w:rPr>
        <w:instrText xml:space="preserve"> Rev. B","language":"en","note":"89309 citations (Crossref/DOI) [2025-03-21]\n89309 citations (Crossref/DOI) [2025-03-21]\nJCR分区: Q2\n中科院分区升级版: 物理与天体物理2区\n中科院分区基础版: 物理2区\n影响因子: 3.2\n5年影响因子: 3.3\nEI: 是\nJCI: 0.69\n南农高质量: B\nTLDR: Numerical calculations on </w:instrText>
      </w:r>
      <w:r>
        <w:rPr>
          <w:rFonts w:ascii="Times New Roman" w:hAnsi="Times New Roman" w:eastAsia="仿宋" w:cs="Times New Roman"/>
          <w:sz w:val="21"/>
          <w:szCs w:val="21"/>
        </w:rPr>
        <w:instrText xml:space="preserve">a number of atoms, positive ions, and molecules, of both open- and closed-shell type, show that density-functional formulas for the correlation energy and correlation potential give correlation energies within a few percent.","page":"785-789","publisher":"American Physical Society","source":"APS","title":"Development of the colle-salvetti correlation-energy formula into a functional of the electron density","URL":"https://link.aps.org/doi/10.1103/PhysRevB.37.785","volume":"37","author":[{"family":"Lee","given":"Chengteh"},{"family":"Yang","given":"Weitao"},{"family":"Parr","given":"Robert G."}],"accessed":{"date-parts":[["2025",3,21]]},"issued":{"date-parts":[["1988",1,15]]}},"label":"page"}],"schema":"https://github.com/citation-style-language/schema/raw/master/csl-citation.json"}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4,5</w:t>
      </w:r>
      <w:r>
        <w:rPr>
          <w:rFonts w:ascii="Times New Roman" w:hAnsi="Times New Roman" w:eastAsia="仿宋" w:cs="Times New Roman"/>
          <w:sz w:val="21"/>
          <w:szCs w:val="21"/>
        </w:rPr>
        <w:fldChar w:fldCharType="end"/>
      </w:r>
      <w:r>
        <w:rPr>
          <w:rFonts w:ascii="Times New Roman" w:hAnsi="Times New Roman" w:eastAsia="宋体" w:cs="Times New Roman"/>
          <w:bCs/>
          <w:kern w:val="0"/>
          <w:sz w:val="21"/>
          <w:szCs w:val="21"/>
        </w:rPr>
        <w:t xml:space="preserve"> functional</w:t>
      </w:r>
      <w:r>
        <w:rPr>
          <w:rFonts w:ascii="Times New Roman" w:hAnsi="Times New Roman" w:eastAsia="宋体" w:cs="Times New Roman"/>
          <w:kern w:val="0"/>
          <w:sz w:val="21"/>
          <w:szCs w:val="21"/>
        </w:rPr>
        <w:t xml:space="preserve"> with </w:t>
      </w:r>
      <w:r>
        <w:rPr>
          <w:rFonts w:ascii="Times New Roman" w:hAnsi="Times New Roman" w:eastAsia="宋体" w:cs="Times New Roman"/>
          <w:bCs/>
          <w:kern w:val="0"/>
          <w:sz w:val="21"/>
          <w:szCs w:val="21"/>
        </w:rPr>
        <w:t>Grimme’s D3</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{"citationID":"st2IM0ii","properties":{"formattedCitation":"\\super 6\\nosupersub{}","plainCitation":"6","noteIndex":0},"citationItems":[{"id":5220,"uris":["http://zotero.org/users/12723368/items/GG37B69Z"],"itemData":{"id":5220,"type":"article-journal","abstract":"The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systems.","container-title":"Journal of Chemical Physics","DOI":"10.1063/1.3382344","ISSN":"0021-9606, 1089-7690","issue":"15","journalAbbreviation":"J. Chem. Phys.","language":"en","note":"42526 citations (</w:instrText>
      </w:r>
      <w:r>
        <w:rPr>
          <w:rFonts w:hint="eastAsia" w:ascii="Times New Roman" w:hAnsi="Times New Roman" w:eastAsia="仿宋" w:cs="Times New Roman"/>
          <w:sz w:val="21"/>
          <w:szCs w:val="21"/>
        </w:rPr>
        <w:instrText xml:space="preserve">Semantic Scholar/DOI) [2025-09-10]\n46632 citations (Crossref/DOI) [2025-07-18]\nJCR分区: Q2\n中科院分区升级版: 化学2区\n中科院分区基础版: 化学3区\n影响因子: 3.1\n5年影响因子: 3.8\nEI: 是\nJCI: 0.71\n南农高质量: A\nTLDR: The revised DFT-D method is proposed as a general tool for the computatio</w:instrText>
      </w:r>
      <w:r>
        <w:rPr>
          <w:rFonts w:ascii="Times New Roman" w:hAnsi="Times New Roman" w:eastAsia="仿宋" w:cs="Times New Roman"/>
          <w:sz w:val="21"/>
          <w:szCs w:val="21"/>
        </w:rPr>
        <w:instrText xml:space="preserve">n of the dispersion energy in molecules and solids of any kind with DFT and related (low-cost) electronic structure methods for large systems.","publisher":"AIP Publishing","source":"Crossref","title":"A consistent and accurate&lt;i&gt;ab initio&lt;/i&gt;parametrization of density functional dispersion correction (DFT-D) for the 94 elements H-pu","URL":"https://pubs.aip.org/jcp/article/132/15/154104/926936/A-consistent-and-accurate-ab-initio","volume":"132","author":[{"family":"Grimme","given":"Stefan"},{"family":"Antony","given":"Jens"},{"family":"Ehrlich","given":"Stephan"},{"family":"Krieg","given":"Helge"}],"accessed":{"date-parts":[["2025",7,18]]},"issued":{"date-parts":[["2010",4,21]]}}}],"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6</w:t>
      </w:r>
      <w:r>
        <w:rPr>
          <w:rFonts w:ascii="Times New Roman" w:hAnsi="Times New Roman" w:eastAsia="仿宋" w:cs="Times New Roman"/>
          <w:sz w:val="21"/>
          <w:szCs w:val="21"/>
        </w:rPr>
        <w:fldChar w:fldCharType="end"/>
      </w:r>
      <w:r>
        <w:rPr>
          <w:rFonts w:ascii="Times New Roman" w:hAnsi="Times New Roman" w:eastAsia="宋体" w:cs="Times New Roman"/>
          <w:bCs/>
          <w:kern w:val="0"/>
          <w:sz w:val="21"/>
          <w:szCs w:val="21"/>
        </w:rPr>
        <w:t xml:space="preserve"> dispersion correction</w:t>
      </w:r>
      <w:r>
        <w:rPr>
          <w:rFonts w:ascii="Times New Roman" w:hAnsi="Times New Roman" w:eastAsia="宋体" w:cs="Times New Roman"/>
          <w:kern w:val="0"/>
          <w:sz w:val="21"/>
          <w:szCs w:val="21"/>
        </w:rPr>
        <w:t xml:space="preserve"> and the </w:t>
      </w:r>
      <w:r>
        <w:rPr>
          <w:rFonts w:ascii="Times New Roman" w:hAnsi="Times New Roman" w:eastAsia="宋体" w:cs="Times New Roman"/>
          <w:bCs/>
          <w:kern w:val="0"/>
          <w:sz w:val="21"/>
          <w:szCs w:val="21"/>
        </w:rPr>
        <w:t>def2-TZVP</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{"citationID":"fW5YghCo","properties":{"formattedCitation":"\\super 7\\nosupersub{}","plainCitation":"7","noteIndex":0},"citationItems":[{"id":5222,"uris":["http://zotero.org/users/12723368/items/SIT8YBTI"],"itemData":{"id":5222,"type":"article-journal","abstract":"Gaussian basis sets of quadruple zeta valence quality for Rb–Rn are presented, as well as bases of split valence and triple zeta valence quality for H–Rn. The latter were obtained by (partly) modifying bases developed previously. A large set of more than 300 molecules representing (nearly) all elements—except lanthanides—in their common oxidation states was used to assess the quality of the bases all across the periodic table. Quantities investigated were atomization energies, dipole moments and structure parameters for Hartree–Fock, density functional theory and correlated methods, for which we had chosen Møller–Plesset perturbation theory as an example. Finally recommendations are given which type of basis set is used best for a certain level of theory and a desired quality of results.","container-title":"Physical Chemistry Chemical Physics","DOI":"10.1039/b508541a","ISSN":"1463-9076, 1463-9084","issue":"18","journalAbbreviation":"Phys. Chem. Chem. Phys.","lang</w:instrText>
      </w:r>
      <w:r>
        <w:rPr>
          <w:rFonts w:hint="eastAsia" w:ascii="Times New Roman" w:hAnsi="Times New Roman" w:eastAsia="仿宋" w:cs="Times New Roman"/>
          <w:sz w:val="21"/>
          <w:szCs w:val="21"/>
        </w:rPr>
        <w:instrText xml:space="preserve">uage":"en","note":"24428 citations (Crossref/DOI) [2025-07-18]\nJCR分区: Q2\n中科院分区升级版: 化学3区\n中科院分区基础版: 化学3区\n影响因子: 2.9\n5年影响因子: 3.0\nEI: 是\nJCI: 0.65\n南农高质量: B\nTLDR: A large set of more than 300 molecules representing all elements-except lanthanides-in the</w:instrText>
      </w:r>
      <w:r>
        <w:rPr>
          <w:rFonts w:ascii="Times New Roman" w:hAnsi="Times New Roman" w:eastAsia="仿宋" w:cs="Times New Roman"/>
          <w:sz w:val="21"/>
          <w:szCs w:val="21"/>
        </w:rPr>
        <w:instrText xml:space="preserve">ir common oxidation states was used to assess the quality of the bases all across the periodic table, and recommendations are given which type of basis set is used best for a certain level of theory and a desired quality of results.","page":"3297","publisher":"Royal Society of Chemistry (RSC)","source":"Crossref","title":"Balanced basis sets of split valence, triple zeta valence and quadruple zeta valence quality for H to rn: Design and assessment of accuracy","title-short":"Balanced basis sets of split valence, triple zeta valence and quadruple zeta valence quality for H to Rn","URL":"https://xlink.rsc.org/?DOI=b508541a","volume":"7","author":[{"family":"Weigend","given":"Florian"},{"family":"Ahlrichs","given":"Reinhart"}],"accessed":{"date-parts":[["2025",7,18]]},"issued":{"date-parts":[["2005"]]}}}],"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7</w:t>
      </w:r>
      <w:r>
        <w:rPr>
          <w:rFonts w:ascii="Times New Roman" w:hAnsi="Times New Roman" w:eastAsia="仿宋" w:cs="Times New Roman"/>
          <w:sz w:val="21"/>
          <w:szCs w:val="21"/>
        </w:rPr>
        <w:fldChar w:fldCharType="end"/>
      </w:r>
      <w:r>
        <w:rPr>
          <w:rFonts w:ascii="Times New Roman" w:hAnsi="Times New Roman" w:eastAsia="宋体" w:cs="Times New Roman"/>
          <w:bCs/>
          <w:kern w:val="0"/>
          <w:sz w:val="21"/>
          <w:szCs w:val="21"/>
        </w:rPr>
        <w:t xml:space="preserve"> basis set</w:t>
      </w:r>
      <w:r>
        <w:rPr>
          <w:rFonts w:ascii="Times New Roman" w:hAnsi="Times New Roman" w:eastAsia="宋体" w:cs="Times New Roman"/>
          <w:kern w:val="0"/>
          <w:sz w:val="21"/>
          <w:szCs w:val="21"/>
        </w:rPr>
        <w:t xml:space="preserve">, accelerated by the </w:t>
      </w:r>
      <w:r>
        <w:rPr>
          <w:rFonts w:ascii="Times New Roman" w:hAnsi="Times New Roman" w:eastAsia="宋体" w:cs="Times New Roman"/>
          <w:bCs/>
          <w:kern w:val="0"/>
          <w:sz w:val="21"/>
          <w:szCs w:val="21"/>
        </w:rPr>
        <w:t>RIJCOSX approximation</w:t>
      </w:r>
      <w:r>
        <w:rPr>
          <w:rFonts w:ascii="Times New Roman" w:hAnsi="Times New Roman" w:eastAsia="宋体" w:cs="Times New Roman"/>
          <w:kern w:val="0"/>
          <w:sz w:val="21"/>
          <w:szCs w:val="21"/>
        </w:rPr>
        <w:t xml:space="preserve"> and the </w:t>
      </w:r>
      <w:r>
        <w:rPr>
          <w:rFonts w:ascii="Times New Roman" w:hAnsi="Times New Roman" w:eastAsia="宋体" w:cs="Times New Roman"/>
          <w:bCs/>
          <w:kern w:val="0"/>
          <w:sz w:val="21"/>
          <w:szCs w:val="21"/>
        </w:rPr>
        <w:t>def2/J auxiliary basis set</w:t>
      </w:r>
      <w:r>
        <w:rPr>
          <w:rFonts w:ascii="Times New Roman" w:hAnsi="Times New Roman" w:eastAsia="宋体" w:cs="Times New Roman"/>
          <w:kern w:val="0"/>
          <w:sz w:val="21"/>
          <w:szCs w:val="21"/>
        </w:rPr>
        <w:t xml:space="preserve">. Subsequently, </w:t>
      </w:r>
      <w:r>
        <w:rPr>
          <w:rFonts w:ascii="Times New Roman" w:hAnsi="Times New Roman" w:eastAsia="宋体" w:cs="Times New Roman"/>
          <w:bCs/>
          <w:kern w:val="0"/>
          <w:sz w:val="21"/>
          <w:szCs w:val="21"/>
        </w:rPr>
        <w:t>RESP2</w:t>
      </w:r>
      <w:r>
        <w:rPr>
          <w:rFonts w:ascii="Times New Roman" w:hAnsi="Times New Roman" w:eastAsia="宋体" w:cs="Times New Roman"/>
          <w:kern w:val="0"/>
          <w:sz w:val="21"/>
          <w:szCs w:val="21"/>
        </w:rPr>
        <w:t xml:space="preserve"> charges were fitted using the </w:t>
      </w:r>
      <w:r>
        <w:rPr>
          <w:rFonts w:ascii="Times New Roman" w:hAnsi="Times New Roman" w:eastAsia="宋体" w:cs="Times New Roman"/>
          <w:bCs/>
          <w:kern w:val="0"/>
          <w:sz w:val="21"/>
          <w:szCs w:val="21"/>
        </w:rPr>
        <w:t>Multiwfn</w:t>
      </w:r>
      <w:r>
        <w:rPr>
          <w:rFonts w:ascii="Times New Roman" w:hAnsi="Times New Roman" w:eastAsia="宋体" w:cs="Times New Roman"/>
          <w:bCs/>
          <w:kern w:val="0"/>
          <w:sz w:val="21"/>
          <w:szCs w:val="21"/>
        </w:rPr>
        <w:fldChar w:fldCharType="begin"/>
      </w:r>
      <w:r>
        <w:rPr>
          <w:rFonts w:ascii="Times New Roman" w:hAnsi="Times New Roman" w:eastAsia="宋体" w:cs="Times New Roman"/>
          <w:bCs/>
          <w:kern w:val="0"/>
          <w:sz w:val="21"/>
          <w:szCs w:val="21"/>
        </w:rPr>
        <w:instrText xml:space="preserve"> ADDIN ZOTERO_ITEM CSL_CITATION {"citationID":"CckFdyqq","properties":{"formattedCitation":"\\super 8\\nosupersub{}","plainCitation":"8","noteIndex":0},"citationItems":[{"id":144,"uris":["http://zotero.org/users/12723368/items/62EN82WZ"],"itemData":{"id":144,"type":"article-journal","abstract":"Abstract\n            \n              Multiwfn is a multifunctional program for wavefunction analysis. Its main functions are: (1) Calculating and visualizing real space function, such as electrostatic potential an</w:instrText>
      </w:r>
      <w:r>
        <w:rPr>
          <w:rFonts w:hint="eastAsia" w:ascii="Times New Roman" w:hAnsi="Times New Roman" w:eastAsia="宋体" w:cs="Times New Roman"/>
          <w:bCs/>
          <w:kern w:val="0"/>
          <w:sz w:val="21"/>
          <w:szCs w:val="21"/>
        </w:rPr>
        <w:instrText xml:space="preserve">d electron localization function at point, in a line, in a plane or in a spatial scope. (2) Population analysis. (3) Bond order analysis. (4) Orbital composition analysis. (5) Plot density‐of‐states and spectrum. (6) Topology analysis for electron density. Some other useful utilities involved in quantum chemistry studies are also provided. The built‐in graph module enables the results of wavefunction analysis to be plotted directly or exported to high‐quality graphic file. The program interface is very user‐friendly and suitable for both research and teaching purpose. The code of Multiwfn is substantially optimized and parallelized. Its efficiency is demonstrated to be significantly higher than related programs with the same functions. Five practical examples involving a wide variety of systems and analysis methods are given to illustrate the usefulness of Multiwfn. The program is free of charge and open‐source. Its precompiled file and source codes are available from\n              http://multiwfn.codepl</w:instrText>
      </w:r>
      <w:r>
        <w:rPr>
          <w:rFonts w:ascii="Times New Roman" w:hAnsi="Times New Roman" w:eastAsia="宋体" w:cs="Times New Roman"/>
          <w:bCs/>
          <w:kern w:val="0"/>
          <w:sz w:val="21"/>
          <w:szCs w:val="21"/>
        </w:rPr>
        <w:instrText xml:space="preserve">ex.com\n              . © 2011 Wiley Periodicals, Inc. J Comput Chem, 2011","container-title":"Journal of Computational Chemistry","DOI":"10.1002/jcc.22885","ISSN":"0192-8651, 1096-987X","issue":"5","journalAbbreviation":"J. Comput. Chem.","language":"en"</w:instrText>
      </w:r>
      <w:r>
        <w:rPr>
          <w:rFonts w:hint="eastAsia" w:ascii="Times New Roman" w:hAnsi="Times New Roman" w:eastAsia="宋体" w:cs="Times New Roman"/>
          <w:bCs/>
          <w:kern w:val="0"/>
          <w:sz w:val="21"/>
          <w:szCs w:val="21"/>
        </w:rPr>
        <w:instrText xml:space="preserve">,"note":"29811 citations (Crossref/DOI) [2025-03-21]\n22819 citations (Crossref/DOI) [2024-05-14]\n22819 citations (Crossref/DOI) [2024-05-14]\nrate: 5\nJCR分区: Q2\n中科院分区升级版: 化学3区\n影响因子: 3.4\n5年影响因子: 3.7\nEI: 是\n南农高质量: C\nTLDR: Five practical examples invo</w:instrText>
      </w:r>
      <w:r>
        <w:rPr>
          <w:rFonts w:ascii="Times New Roman" w:hAnsi="Times New Roman" w:eastAsia="宋体" w:cs="Times New Roman"/>
          <w:bCs/>
          <w:kern w:val="0"/>
          <w:sz w:val="21"/>
          <w:szCs w:val="21"/>
        </w:rPr>
        <w:instrText xml:space="preserve">lving a wide variety of systems and analysis methods are given to illustrate the usefulness of Multiwfn, a multifunctional program for wavefunction analysis.","page":"580-592","source":"DOI.org (Crossref)","title":"Multiwfn: A multifunctional wavefunction analyzer","title-short":"Multiwfn","URL":"https://onlinelibrary.wiley.com/doi/10.1002/jcc.22885","volume":"33","author":[{"family":"Lu","given":"Tian"},{"family":"Chen","given":"Feiwu"}],"accessed":{"date-parts":[["2023",12,19]]},"issued":{"date-parts":[["2012",2,15]]}}}],"schema":"https://github.com/citation-style-language/schema/raw/master/csl-citation.json"} </w:instrText>
      </w:r>
      <w:r>
        <w:rPr>
          <w:rFonts w:ascii="Times New Roman" w:hAnsi="Times New Roman" w:eastAsia="宋体" w:cs="Times New Roman"/>
          <w:bCs/>
          <w:kern w:val="0"/>
          <w:sz w:val="21"/>
          <w:szCs w:val="21"/>
        </w:rPr>
        <w:fldChar w:fldCharType="separate"/>
      </w:r>
      <w:r>
        <w:rPr>
          <w:rFonts w:ascii="Times New Roman" w:hAnsi="Times New Roman" w:cs="Times New Roman"/>
          <w:kern w:val="0"/>
          <w:sz w:val="21"/>
          <w:szCs w:val="21"/>
          <w:vertAlign w:val="superscript"/>
        </w:rPr>
        <w:t>8</w:t>
      </w:r>
      <w:r>
        <w:rPr>
          <w:rFonts w:ascii="Times New Roman" w:hAnsi="Times New Roman" w:eastAsia="宋体" w:cs="Times New Roman"/>
          <w:bCs/>
          <w:kern w:val="0"/>
          <w:sz w:val="21"/>
          <w:szCs w:val="21"/>
        </w:rPr>
        <w:fldChar w:fldCharType="end"/>
      </w:r>
      <w:r>
        <w:rPr>
          <w:rFonts w:ascii="Times New Roman" w:hAnsi="Times New Roman" w:eastAsia="宋体" w:cs="Times New Roman"/>
          <w:kern w:val="0"/>
          <w:sz w:val="21"/>
          <w:szCs w:val="21"/>
        </w:rPr>
        <w:t xml:space="preserve"> program to ensure an accurate representation of the ligand's electrostatic potential. The final force field topology and parameters were generated via </w:t>
      </w:r>
      <w:r>
        <w:rPr>
          <w:rFonts w:ascii="Times New Roman" w:hAnsi="Times New Roman" w:eastAsia="宋体" w:cs="Times New Roman"/>
          <w:bCs/>
          <w:kern w:val="0"/>
          <w:sz w:val="21"/>
          <w:szCs w:val="21"/>
        </w:rPr>
        <w:t>Sobtop</w:t>
      </w:r>
      <w:r>
        <w:rPr>
          <w:rFonts w:ascii="Times New Roman" w:hAnsi="Times New Roman" w:eastAsia="宋体" w:cs="Times New Roman"/>
          <w:kern w:val="0"/>
          <w:sz w:val="21"/>
          <w:szCs w:val="21"/>
        </w:rPr>
        <w:t xml:space="preserve">, integrating the RESP2 charges with </w:t>
      </w:r>
      <w:r>
        <w:rPr>
          <w:rFonts w:ascii="Times New Roman" w:hAnsi="Times New Roman" w:eastAsia="宋体" w:cs="Times New Roman"/>
          <w:bCs/>
          <w:kern w:val="0"/>
          <w:sz w:val="21"/>
          <w:szCs w:val="21"/>
        </w:rPr>
        <w:t>GAFF2</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{"citationID":"kD0Bwdtk","properties":{"formattedCitation":"\\super 9\\nosupersub{}","plainCitation":"9","noteIndex":0},"citationItems":[{"id":3936,"uris":["http://zotero.org/users/12723368/items/K52BWPKA"],"itemData":{"id":3936,"type":"article-journal","abstract":"We describe here a general Amber force field (GAFF) for organic molecules. GAFF is designed to be compatible with existing Amber force fields for proteins and nucleic acids, and has parameters for mo...","container-title":"Journal of Computational Chemistry","DOI":"10.1002/jcc.20035","ISSN":"1096-987X","issue":"9","journalAbbreviation":"J. Comput. Chem.","language":"en","note":"15232 citations (Crossref/DOI) [2025-03-21]\n15232 citations (Crossref/DOI) [2025-03-21]\nTLDR: A general Amber force field for organic molecules is described, designed to be compatible with existing Amber force fields for proteins and nucleic acids, and has parameters for most organic and pharmaceutical molecules that are composed of H, C</w:instrText>
      </w:r>
      <w:r>
        <w:rPr>
          <w:rFonts w:hint="eastAsia" w:ascii="Times New Roman" w:hAnsi="Times New Roman" w:eastAsia="仿宋" w:cs="Times New Roman"/>
          <w:sz w:val="21"/>
          <w:szCs w:val="21"/>
        </w:rPr>
        <w:instrText xml:space="preserve">, N, O, S, P, and halogens.\nJCR分区: Q2\n中科院分区升级版: 化学3区\n中科院分区基础版: 化学3区\n影响因子: 3.4\n5年影响因子: 3.7\nEI: 是\nJCI: 0.66\n南农高质量: C","page":"1157-1174","publisher":"John Wiley &amp; Sons, Ltd","source":"onlinelibrary.wiley.com","title":"Development and testing of a ge</w:instrText>
      </w:r>
      <w:r>
        <w:rPr>
          <w:rFonts w:ascii="Times New Roman" w:hAnsi="Times New Roman" w:eastAsia="仿宋" w:cs="Times New Roman"/>
          <w:sz w:val="21"/>
          <w:szCs w:val="21"/>
        </w:rPr>
        <w:instrText xml:space="preserve">neral amber force field","URL":"https://onlinelibrary.wiley.com/doi/10.1002/jcc.20035","volume":"25","author":[{"family":"Wang","given":"Junmei"},{"family":"Wolf","given":"Romain M."},{"family":"Caldwell","given":"James W."},{"family":"Kollman","given":"Peter A."},{"family":"Case","given":"David A."}],"accessed":{"date-parts":[["2025",3,21]]},"issued":{"date-parts":[["2004",7,15]]}}}],"schema":"https://github.com/citation-style-language/schema/raw/master/csl-citation.json"}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9</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w:t>
      </w:r>
    </w:p>
    <w:p w14:paraId="264BECA2">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仿宋" w:cs="Times New Roman"/>
          <w:b/>
          <w:sz w:val="21"/>
          <w:szCs w:val="21"/>
        </w:rPr>
      </w:pPr>
      <w:r>
        <w:rPr>
          <w:rFonts w:ascii="Times New Roman" w:hAnsi="Times New Roman" w:eastAsia="仿宋" w:cs="Times New Roman"/>
          <w:b/>
          <w:sz w:val="21"/>
          <w:szCs w:val="21"/>
        </w:rPr>
        <w:t>1.4 Molecular Dynamics</w:t>
      </w:r>
    </w:p>
    <w:p w14:paraId="2068F54D">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Molecular dynamics (MD) simulations were conducted using </w:t>
      </w:r>
      <w:r>
        <w:rPr>
          <w:rFonts w:ascii="Times New Roman" w:hAnsi="Times New Roman" w:eastAsia="宋体" w:cs="Times New Roman"/>
          <w:bCs/>
          <w:kern w:val="0"/>
          <w:sz w:val="21"/>
          <w:szCs w:val="21"/>
        </w:rPr>
        <w:t>GROMACS 2025.3</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{"citationID":"SdKhnoNp","properties":{"formattedCitation":"\\super 10\\nosupersub{}","plainCitation":"10","noteIndex":0},"citationItems":[{"id":2026,"uris":["http://zotero.org/users/12723368/items/3X37V2XI"],"itemData":{"id":2026,"type":"article-journal","abstract":"This article describes the software suite GROMACS (Groningen MAchine for Chemical Simulation) that was developed at the University of Groningen, The Netherlands, in the early 1990s. The software, written in ANSI C, originates from a parallel hardware project, and is well suited for parallelization on processor clusters. By careful optimization of neighbor searching and of inner loop performance, GROMACS is a very fast program for molecular dynamics simulation. It does not have a force ﬁeld of its own, but is compatible with GROMOS, OPLS, AMBER, and ENCAD force ﬁelds. In addition, it can handle polarizable shell models and ﬂexible constraints. The program is versatile, as force routines can be added by the user, tabulated functions can be speciﬁed, and analyses can be easily customized. Nonequilibrium dynamics and free energy determinations are incorporated. Interfaces with popular quantum-chemical packages (MOPAC, GAMES-UK, GAUSSIAN) are provided to perform mixed MM/QM simulations. The package includes about 100 utility and analysis programs. GROMACS is in the public domain and distributed (with source code and documentation) under the GNU General Public License. It is maintained by a group of developers from the Universities of Groningen, Uppsala, and Stockholm, and the Max Planck Institute for Polymer Research in Mainz. Its Web site is http://www.gromacs.org.","container-title":"Journal of Computational Chemistry","DOI":"10.1002/jcc.20291","ISSN":"0192-8651, 1096-987X","issue":"16","journalAbbreviation":"J Comput Chem","language":"en","license":"http://onlinelibrary.wiley.com/termsAndConditions#vor","note":"15035 citations (Crossref/DOI) [2025-03-21]\n14093 citations (Crossref/DOI) [2024-11-05]\nTLDR: The software suite GROMACS (Groningen MAchine for Chemical Simulation) that was developed at the University of Groningen, The Netherlands, in the early 1990s is described, which is a very fast program for molecular dynamics simulation.","page":"1701-1718","source":"DOI.org (Crossref)","title":"GROMACS: Fast, flexible, and free","title-short":"GROMACS","URL":"https://onlinelibrary.wiley.com/doi/10.1002/jcc.20291","volume":"26","author":[{"family":"Van Der Spoel","given":"David"},{"family":"Lindahl","given":"Erik"},{"family":"Hess","given":"Berk"},{"family":"Groenhof","given":"Gerrit"},{"family":"Mark","given":"Alan E."},{"family":"Berendsen","given":"Herman J. C."}],"accessed":{"date-parts":[["2024",10,31]]},"issued":{"date-parts":[["2005",12]]}}}],"schema":"https://github.com/citation-style-language/schema/raw/master/csl-citation.json"}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10</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xml:space="preserve"> for a total duration of </w:t>
      </w:r>
      <w:r>
        <w:rPr>
          <w:rFonts w:ascii="Times New Roman" w:hAnsi="Times New Roman" w:eastAsia="宋体" w:cs="Times New Roman"/>
          <w:bCs/>
          <w:kern w:val="0"/>
          <w:sz w:val="21"/>
          <w:szCs w:val="21"/>
        </w:rPr>
        <w:t>100 ns</w:t>
      </w:r>
      <w:r>
        <w:rPr>
          <w:rFonts w:ascii="Times New Roman" w:hAnsi="Times New Roman" w:eastAsia="宋体" w:cs="Times New Roman"/>
          <w:kern w:val="0"/>
          <w:sz w:val="21"/>
          <w:szCs w:val="21"/>
        </w:rPr>
        <w:t xml:space="preserve">. The MAPK14 protein was modeled with the </w:t>
      </w:r>
      <w:r>
        <w:rPr>
          <w:rFonts w:ascii="Times New Roman" w:hAnsi="Times New Roman" w:eastAsia="宋体" w:cs="Times New Roman"/>
          <w:bCs/>
          <w:kern w:val="0"/>
          <w:sz w:val="21"/>
          <w:szCs w:val="21"/>
        </w:rPr>
        <w:t>AMBER ff14SB force field</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{"citationID":"DTfHNl8A","properties":{"formattedCitation":"\\super 11\\nosupersub{}","plainCitation":"11","noteIndex":0},"citationItems":[{"id":2025,"uris":["http://zotero.org/users/12723368/items/DJ7DQ9F3"],"itemData":{"id":2025,"type":"article-journal","container-title":"Journal of Chemical Theory and Computation","DOI":"10.1021/acs.jctc.5b00255","ISSN":"1549-9618, 1549-9626","issue":"8","journalAbbreviation":"J. Chem. Theory Comput.","language":"en","note":"8142 citations (Crossref/DOI) [2025-03-21]\n7470 citations (Crossref/DOI) [2024-11-05]\nTLDR: Together, these backbone and side chain modifications (hereafter called ff14SB) not only better reproduced their benchmarks, but also improved secondary structure content in small peptides and reproduction of NMR χ1 scalar coupling measurements for proteins in solution.","page":"3696-3713","source":"DOI.org (Crossref)","title":"ff14SB: Improving the accuracy of protein side chain and backbone parameters from ff99SB","title-short":"ff14SB","URL":"https://pubs.acs.org/doi/10.1021/acs.jctc.5b00255","volume":"11","author":[{"family":"Maier","given":"James A."},{"family":"Martinez","given":"Carmenza"},{"family":"Kasavajhala","given":"Koushik"},{"family":"Wickstrom","given":"Lauren"},{"family":"Hauser","given":"Kevin E."},{"family":"Simmerling","given":"Carlos"}],"accessed":{"date-parts":[["2024",10,31]]},"issued":{"date-parts":[["2015",8,11]]}}}],"schema":"https://github.com/citation-style-language/schema/raw/master/csl-citation.json"}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11</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xml:space="preserve">, while the ligand was described by the previously generated parameters. The complex was immersed in a cubic simulation box solvated with </w:t>
      </w:r>
      <w:r>
        <w:rPr>
          <w:rFonts w:ascii="Times New Roman" w:hAnsi="Times New Roman" w:eastAsia="宋体" w:cs="Times New Roman"/>
          <w:bCs/>
          <w:kern w:val="0"/>
          <w:sz w:val="21"/>
          <w:szCs w:val="21"/>
        </w:rPr>
        <w:t>TIP3P</w:t>
      </w:r>
      <w:r>
        <w:rPr>
          <w:rFonts w:ascii="Times New Roman" w:hAnsi="Times New Roman" w:eastAsia="宋体" w:cs="Times New Roman"/>
          <w:kern w:val="0"/>
          <w:sz w:val="21"/>
          <w:szCs w:val="21"/>
        </w:rPr>
        <w:t xml:space="preserve"> water molecules. To maintain physiological conditions, the system was neutralized with Na</w:t>
      </w:r>
      <w:r>
        <w:rPr>
          <w:rFonts w:ascii="Times New Roman" w:hAnsi="Times New Roman" w:eastAsia="宋体" w:cs="Times New Roman"/>
          <w:kern w:val="0"/>
          <w:sz w:val="21"/>
          <w:szCs w:val="21"/>
          <w:vertAlign w:val="superscript"/>
        </w:rPr>
        <w:t>+</w:t>
      </w:r>
      <w:r>
        <w:rPr>
          <w:rFonts w:ascii="Times New Roman" w:hAnsi="Times New Roman" w:eastAsia="宋体" w:cs="Times New Roman"/>
          <w:kern w:val="0"/>
          <w:sz w:val="21"/>
          <w:szCs w:val="21"/>
        </w:rPr>
        <w:t xml:space="preserve"> and Cl</w:t>
      </w:r>
      <w:r>
        <w:rPr>
          <w:rFonts w:ascii="Times New Roman" w:hAnsi="Times New Roman" w:eastAsia="宋体" w:cs="Times New Roman"/>
          <w:kern w:val="0"/>
          <w:sz w:val="21"/>
          <w:szCs w:val="21"/>
          <w:vertAlign w:val="superscript"/>
        </w:rPr>
        <w:t>-</w:t>
      </w:r>
      <w:r>
        <w:rPr>
          <w:rFonts w:ascii="Times New Roman" w:hAnsi="Times New Roman" w:eastAsia="宋体" w:cs="Times New Roman"/>
          <w:kern w:val="0"/>
          <w:sz w:val="21"/>
          <w:szCs w:val="21"/>
        </w:rPr>
        <w:t xml:space="preserve"> ions at a concentration of 0.15 M. The MD protocol comprised: (1) </w:t>
      </w:r>
      <w:r>
        <w:rPr>
          <w:rFonts w:ascii="Times New Roman" w:hAnsi="Times New Roman" w:eastAsia="宋体" w:cs="Times New Roman"/>
          <w:bCs/>
          <w:kern w:val="0"/>
          <w:sz w:val="21"/>
          <w:szCs w:val="21"/>
        </w:rPr>
        <w:t>Energy minimization</w:t>
      </w:r>
      <w:r>
        <w:rPr>
          <w:rFonts w:ascii="Times New Roman" w:hAnsi="Times New Roman" w:eastAsia="宋体" w:cs="Times New Roman"/>
          <w:kern w:val="0"/>
          <w:sz w:val="21"/>
          <w:szCs w:val="21"/>
        </w:rPr>
        <w:t xml:space="preserve"> using the steepest descent algorithm; (2) </w:t>
      </w:r>
      <w:r>
        <w:rPr>
          <w:rFonts w:ascii="Times New Roman" w:hAnsi="Times New Roman" w:eastAsia="宋体" w:cs="Times New Roman"/>
          <w:bCs/>
          <w:kern w:val="0"/>
          <w:sz w:val="21"/>
          <w:szCs w:val="21"/>
        </w:rPr>
        <w:t>NVT equilibration</w:t>
      </w:r>
      <w:r>
        <w:rPr>
          <w:rFonts w:ascii="Times New Roman" w:hAnsi="Times New Roman" w:eastAsia="宋体" w:cs="Times New Roman"/>
          <w:kern w:val="0"/>
          <w:sz w:val="21"/>
          <w:szCs w:val="21"/>
        </w:rPr>
        <w:t xml:space="preserve"> (100 ps) to heat the system to 300 K; (3) </w:t>
      </w:r>
      <w:r>
        <w:rPr>
          <w:rFonts w:ascii="Times New Roman" w:hAnsi="Times New Roman" w:eastAsia="宋体" w:cs="Times New Roman"/>
          <w:bCs/>
          <w:kern w:val="0"/>
          <w:sz w:val="21"/>
          <w:szCs w:val="21"/>
        </w:rPr>
        <w:t>NPT equilibration</w:t>
      </w:r>
      <w:r>
        <w:rPr>
          <w:rFonts w:ascii="Times New Roman" w:hAnsi="Times New Roman" w:eastAsia="宋体" w:cs="Times New Roman"/>
          <w:kern w:val="0"/>
          <w:sz w:val="21"/>
          <w:szCs w:val="21"/>
        </w:rPr>
        <w:t xml:space="preserve"> (2 ns) at 300 K and 1 bar; and (4) a </w:t>
      </w:r>
      <w:r>
        <w:rPr>
          <w:rFonts w:ascii="Times New Roman" w:hAnsi="Times New Roman" w:eastAsia="宋体" w:cs="Times New Roman"/>
          <w:bCs/>
          <w:kern w:val="0"/>
          <w:sz w:val="21"/>
          <w:szCs w:val="21"/>
        </w:rPr>
        <w:t>100 ns production run</w:t>
      </w:r>
      <w:r>
        <w:rPr>
          <w:rFonts w:ascii="Times New Roman" w:hAnsi="Times New Roman" w:eastAsia="宋体" w:cs="Times New Roman"/>
          <w:kern w:val="0"/>
          <w:sz w:val="21"/>
          <w:szCs w:val="21"/>
        </w:rPr>
        <w:t xml:space="preserve"> under NPT conditions. The </w:t>
      </w:r>
      <w:r>
        <w:rPr>
          <w:rFonts w:ascii="Times New Roman" w:hAnsi="Times New Roman" w:eastAsia="宋体" w:cs="Times New Roman"/>
          <w:bCs/>
          <w:kern w:val="0"/>
          <w:sz w:val="21"/>
          <w:szCs w:val="21"/>
        </w:rPr>
        <w:t>V-rescale thermostat</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{"citationID":"ZjSteSDI","properties":{"formattedCitation":"\\super 12\\nosupersub{}","plainCitation":"12","noteIndex":0},"citationItems":[{"id":81,"uris":["http://zotero.org/users/12723368/items/9HJKCTAX"],"itemData":{"id":81,"type":"article-journal","abstract":"The authors present a new molecular dynamics algorithm for sampling the canonical distribution. In this approach the velocities of all the particles are rescaled by a properly chosen random factor. The algorithm is formally justified and it is shown that, in spite of its stochastic nature, a quantity can still be defined that remains constant during the evolution. In numerical applications this quantity can be used to measure the accuracy of the sampling. The authors illustrate the properties of this new method on Lennard-Jones and TIP4P water models in the solid and liquid phases. Its performance is excellent and largely independent of the thermostat parameter also with regard to the dynamic properties.","container-title":"The Journal of Chemical Physics","DOI":"10.1063/1.2408420","ISSN":"0021-9606, 1089-7690","issue":"1","journalAbbreviation":"J. Chem. Phys.","language":"en","note":"13608 citations (Crossref/DOI) [2025-03-21]\n11841 citations (Crossref/DOI) [2024</w:instrText>
      </w:r>
      <w:r>
        <w:rPr>
          <w:rFonts w:hint="eastAsia" w:ascii="Times New Roman" w:hAnsi="Times New Roman" w:eastAsia="仿宋" w:cs="Times New Roman"/>
          <w:sz w:val="21"/>
          <w:szCs w:val="21"/>
        </w:rPr>
        <w:instrText xml:space="preserve">-05-14]\nJCR分区: Q1\n中科院分区升级版: 化学2区\n影响因子: 3.1\n5年影响因子: 3.6\nEI: 是\nTLDR: The algorithm is formally justified and it is shown that, in spite of its stochastic nature, a quantity can still be defined that remains constant during the evolution and can be use</w:instrText>
      </w:r>
      <w:r>
        <w:rPr>
          <w:rFonts w:ascii="Times New Roman" w:hAnsi="Times New Roman" w:eastAsia="仿宋" w:cs="Times New Roman"/>
          <w:sz w:val="21"/>
          <w:szCs w:val="21"/>
        </w:rPr>
        <w:instrText xml:space="preserve">d to measure the accuracy of the sampling.","page":"014101","source":"DOI.org (Crossref)","title":"Canonical sampling through velocity rescaling","URL":"https://pubs.aip.org/jcp/article/126/1/014101/186581/Canonical-sampling-through-velocity-rescaling","volume":"126","author":[{"family":"Bussi","given":"Giovanni"},{"family":"Donadio","given":"Davide"},{"family":"Parrinello","given":"Michele"}],"accessed":{"date-parts":[["2024",1,19]]},"issued":{"date-parts":[["2007",1,7]]}}}],"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12</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xml:space="preserve"> and </w:t>
      </w:r>
      <w:r>
        <w:rPr>
          <w:rFonts w:ascii="Times New Roman" w:hAnsi="Times New Roman" w:eastAsia="宋体" w:cs="Times New Roman"/>
          <w:bCs/>
          <w:kern w:val="0"/>
          <w:sz w:val="21"/>
          <w:szCs w:val="21"/>
        </w:rPr>
        <w:t>C-rescale barostat</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{"citationID":"jJDyoS3J","properties":{"formattedCitation":"\\super 13\\nosupersub{}","plainCitation":"13","noteIndex":0},"citationItems":[{"id":2023,"uris":["http://zotero.org/users/12723368/items/DYUD4X34"],"itemData":{"id":2023,"type":"article-journal","abstract":"Molecular dynamics simulations require barostats to be performed at a constant pressure. The usual recipe is to employ the Berendsen barostat first, which displays a first-order volume relaxation efficient in equilibration but results in incorrect volume fluctuations, followed by a second-order or a Monte Carlo barostat for production runs. In this paper, we introduce stochastic cell rescaling, a first-order barostat that samples the correct volume fluctuations by including a suitable noise term. The algorithm is shown to report volume fluctuations compatible with the isobaric ensemble and its anisotropic variant is tested on a membrane simulation. Stochastic cell rescaling can be straightforwardly implemented in the existing codes and can be used effectively in both equilibration and production phases.","container-title":"The Journal of Chemical Physics","DOI":"10.1063/5.0020514","ISSN":"0021-9606, 1089-7690","issue":"11","language":"en","note":"278 citations (Crossref/DOI) [2025-03-21]\n184 citations (Crossref/DOI) [2024-11-05]\nTLDR: Stochastic cell rescaling is introduced, a first-order barostat that samples the correct volume fluctuations by including a suitable noise term in equilibration and production phases of molecular dynamics simulations.","page":"114107","source":"DOI.org (Crossref)","title":"Pressure control using stochastic cell rescaling","URL":"https://pubs.aip.org/jcp/article/153/11/114107/199610/Pressure-control-using-stochastic-cell-rescaling","volume":"153","author":[{"family":"Bernetti","given":"Mattia"},{"family":"Bussi","given":"Giovanni"}],"accessed":{"date-parts":[["2024",10,31]]},"issued":{"date-parts":[["2020",9,21]]}}}],"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13</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xml:space="preserve"> were employed for temperature and pressure coupling, respectively. Long-range electrostatic interactions were computed using the Particle Mesh Ewald (PME) method, and hydrogen bonds were constrained using the LINCS algorithm.</w:t>
      </w:r>
    </w:p>
    <w:p w14:paraId="141D785A">
      <w:pPr>
        <w:keepNext w:val="0"/>
        <w:keepLines w:val="0"/>
        <w:pageBreakBefore w:val="0"/>
        <w:widowControl/>
        <w:kinsoku/>
        <w:wordWrap/>
        <w:overflowPunct/>
        <w:topLinePunct w:val="0"/>
        <w:autoSpaceDE/>
        <w:autoSpaceDN/>
        <w:bidi w:val="0"/>
        <w:adjustRightInd/>
        <w:snapToGrid/>
        <w:spacing w:before="120" w:beforeAutospacing="0" w:afterAutospacing="0" w:line="320" w:lineRule="exact"/>
        <w:textAlignment w:val="auto"/>
        <w:rPr>
          <w:rFonts w:ascii="Times New Roman" w:hAnsi="Times New Roman" w:eastAsia="仿宋" w:cs="Times New Roman"/>
          <w:b/>
          <w:sz w:val="21"/>
          <w:szCs w:val="21"/>
        </w:rPr>
      </w:pPr>
      <w:r>
        <w:rPr>
          <w:rFonts w:ascii="Times New Roman" w:hAnsi="Times New Roman" w:eastAsia="仿宋" w:cs="Times New Roman"/>
          <w:b/>
          <w:sz w:val="21"/>
          <w:szCs w:val="21"/>
        </w:rPr>
        <w:t>1.5 Binding Free Energy Calculation</w:t>
      </w:r>
    </w:p>
    <w:p w14:paraId="27C09DBB">
      <w:pPr>
        <w:keepNext w:val="0"/>
        <w:keepLines w:val="0"/>
        <w:pageBreakBefore w:val="0"/>
        <w:kinsoku/>
        <w:wordWrap/>
        <w:overflowPunct/>
        <w:topLinePunct w:val="0"/>
        <w:autoSpaceDE/>
        <w:autoSpaceDN/>
        <w:bidi w:val="0"/>
        <w:adjustRightInd/>
        <w:snapToGrid/>
        <w:spacing w:before="120" w:beforeAutospacing="0" w:afterAutospacing="0" w:line="320" w:lineRule="exact"/>
        <w:textAlignment w:val="auto"/>
        <w:rPr>
          <w:sz w:val="21"/>
          <w:szCs w:val="21"/>
        </w:rPr>
      </w:pPr>
      <w:r>
        <w:rPr>
          <w:rFonts w:ascii="Times New Roman" w:hAnsi="Times New Roman" w:eastAsia="宋体" w:cs="Times New Roman"/>
          <w:kern w:val="0"/>
          <w:sz w:val="21"/>
          <w:szCs w:val="21"/>
        </w:rPr>
        <w:t xml:space="preserve">The binding free energy between MAPK14 and Periplocymarin was estimated using the </w:t>
      </w:r>
      <w:r>
        <w:rPr>
          <w:rFonts w:ascii="Times New Roman" w:hAnsi="Times New Roman" w:eastAsia="宋体" w:cs="Times New Roman"/>
          <w:bCs/>
          <w:kern w:val="0"/>
          <w:sz w:val="21"/>
          <w:szCs w:val="21"/>
        </w:rPr>
        <w:t>MM/GBSA</w:t>
      </w:r>
      <w:r>
        <w:rPr>
          <w:rFonts w:ascii="Times New Roman" w:hAnsi="Times New Roman" w:eastAsia="宋体" w:cs="Times New Roman"/>
          <w:kern w:val="0"/>
          <w:sz w:val="21"/>
          <w:szCs w:val="21"/>
        </w:rPr>
        <w:t xml:space="preserve"> method implemented in the </w:t>
      </w:r>
      <w:r>
        <w:rPr>
          <w:rFonts w:ascii="Times New Roman" w:hAnsi="Times New Roman" w:eastAsia="宋体" w:cs="Times New Roman"/>
          <w:bCs/>
          <w:kern w:val="0"/>
          <w:sz w:val="21"/>
          <w:szCs w:val="21"/>
        </w:rPr>
        <w:t>gmx_MMPBSA</w:t>
      </w:r>
      <w:r>
        <w:rPr>
          <w:rFonts w:ascii="Times New Roman" w:hAnsi="Times New Roman" w:eastAsia="宋体" w:cs="Times New Roman"/>
          <w:kern w:val="0"/>
          <w:sz w:val="21"/>
          <w:szCs w:val="21"/>
        </w:rPr>
        <w:t xml:space="preserve"> tool</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{"citationID":"FJ4TUJ0Y","properties":{"formattedCitation":"\\super 14\\nosupersub{}","plainCitation":"14","noteIndex":0},"citationItems":[{"id":66,"uris":["http://zotero.org/users/12723368/items/S3M2XMM4"],"itemData":{"id"</w:instrText>
      </w:r>
      <w:r>
        <w:rPr>
          <w:rFonts w:hint="eastAsia" w:ascii="Times New Roman" w:hAnsi="Times New Roman" w:eastAsia="仿宋" w:cs="Times New Roman"/>
          <w:sz w:val="21"/>
          <w:szCs w:val="21"/>
        </w:rPr>
        <w:instrText xml:space="preserve">:66,"type":"article-journal","archive":"Q2","call-number":"5.5002","collection-title":"无","container-title":"Journal of Chemical Theory and Computation","DOI":"10.1021/acs.jctc.1c00645","ISSN":"1549-9618, 1549-9626","issue":"10","journalAbbreviation":"J. Chem. Theory Comput.","language":"en","license":"5.8000","note":"1372 citations (Crossref/DOI) [2025-03-21]\n724 citations (Crossref/DOI) [2024-05-14]\nJCR分区: Q1\n中科院分区升级版: 化学1区\n影响因子: 5.7\n5年影响因子: 5.9\n南农高质量: A","page":"6281-6291","source":"DOI.org (Cros</w:instrText>
      </w:r>
      <w:r>
        <w:rPr>
          <w:rFonts w:ascii="Times New Roman" w:hAnsi="Times New Roman" w:eastAsia="仿宋" w:cs="Times New Roman"/>
          <w:sz w:val="21"/>
          <w:szCs w:val="21"/>
        </w:rPr>
        <w:instrText xml:space="preserve">sref)","title":"gmx_MMPBSA: A New Tool to Perform End-State Free Energy Calculations with GROMACS","title-short":"gmx_MMPBSA","URL":"https://pubs.acs.org/doi/10.1021/acs.jctc.1c00645","volume":"17","author":[{"family":"Valdés-Tresanco","given":"Mario S."},{"family":"Valdés-Tresanco","given":"Mario E."},{"family":"Valiente","given":"Pedro A."},{"family":"Moreno","given":"Ernesto"}],"accessed":{"date-parts":[["2023",11,5]]},"issued":{"date-parts":[["2021",10,12]]}}}],"schema":"https://github.com/citation-style-language/schema/raw/master/csl-citation.json"}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14</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xml:space="preserve">. The </w:t>
      </w:r>
      <w:r>
        <w:rPr>
          <w:rFonts w:ascii="Times New Roman" w:hAnsi="Times New Roman" w:eastAsia="宋体" w:cs="Times New Roman"/>
          <w:bCs/>
          <w:kern w:val="0"/>
          <w:sz w:val="21"/>
          <w:szCs w:val="21"/>
        </w:rPr>
        <w:t>GB-Neck2 model</w:t>
      </w:r>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 ADDIN ZOTERO_ITEM CSL_CITATION {"citationID":"sw8Das22","properties":{"formattedCitation":"\\super 15\\nosupersub{}","plainCitation":"15","noteIndex":0},"citationItems":[{"id":1549,"uris":["http://zotero.org/users/12723368/items/4YIK9VD5"],"itemData":{"id":1549,"type":"article-journal","container-title":"Journal of Chemical Theory and Computation","DOI":"10.1021/ct3010485","ISSN":"1549-9618, 1549-9626","issue":"4","journalAbbreviation":"J. Chem. Theory Comput.","language":"en","note":"427 citations (Cros</w:instrText>
      </w:r>
      <w:r>
        <w:rPr>
          <w:rFonts w:hint="eastAsia" w:ascii="Times New Roman" w:hAnsi="Times New Roman" w:eastAsia="仿宋" w:cs="Times New Roman"/>
          <w:sz w:val="21"/>
          <w:szCs w:val="21"/>
        </w:rPr>
        <w:instrText xml:space="preserve">sref/DOI) [2025-03-21]\n373 citations (Crossref/DOI) [2024-05-14]\nJCR分区: Q1\n中科院分区升级版: 化学1区\n影响因子: 5.7\n5年影响因子: 5.9\n南农高质量: A\nTLDR: The new GB model (GB-Neck2) has better agreement to Poisson-Boltzmann (PB) in terms of reproducing solvation energies for</w:instrText>
      </w:r>
      <w:r>
        <w:rPr>
          <w:rFonts w:ascii="Times New Roman" w:hAnsi="Times New Roman" w:eastAsia="仿宋" w:cs="Times New Roman"/>
          <w:sz w:val="21"/>
          <w:szCs w:val="21"/>
        </w:rPr>
        <w:instrText xml:space="preserve"> a variety of systems ranging from peptides to proteins.","page":"2020-2034","source":"DOI.org (Crossref)","title":"Nguyen et al_2013_Improved Generalized Born Solvent Model Parameters for Protein Simulations","URL":"https://pubs.acs.org/doi/10.1021/ct3010485","volume":"9","author":[{"family":"Nguyen","given":"Hai"},{"family":"Roe","given":"Daniel R."},{"family":"Simmerling","given":"Carlos"}],"accessed":{"date-parts":[["2024",3,6]]},"issued":{"date-parts":[["2013",4,9]]}}}],"schema":"https://github.com/citation-style-language/schema/raw/master/csl-citation.json"} </w:instrText>
      </w:r>
      <w:r>
        <w:rPr>
          <w:rFonts w:ascii="Times New Roman" w:hAnsi="Times New Roman" w:eastAsia="仿宋" w:cs="Times New Roman"/>
          <w:sz w:val="21"/>
          <w:szCs w:val="21"/>
        </w:rPr>
        <w:fldChar w:fldCharType="separate"/>
      </w:r>
      <w:r>
        <w:rPr>
          <w:rFonts w:ascii="Times New Roman" w:hAnsi="Times New Roman" w:cs="Times New Roman"/>
          <w:kern w:val="0"/>
          <w:sz w:val="21"/>
          <w:szCs w:val="21"/>
          <w:vertAlign w:val="superscript"/>
        </w:rPr>
        <w:t>15</w:t>
      </w:r>
      <w:r>
        <w:rPr>
          <w:rFonts w:ascii="Times New Roman" w:hAnsi="Times New Roman" w:eastAsia="仿宋" w:cs="Times New Roman"/>
          <w:sz w:val="21"/>
          <w:szCs w:val="21"/>
        </w:rPr>
        <w:fldChar w:fldCharType="end"/>
      </w:r>
      <w:r>
        <w:rPr>
          <w:rFonts w:ascii="Times New Roman" w:hAnsi="Times New Roman" w:eastAsia="宋体" w:cs="Times New Roman"/>
          <w:kern w:val="0"/>
          <w:sz w:val="21"/>
          <w:szCs w:val="21"/>
        </w:rPr>
        <w:t xml:space="preserve"> was applied to account for the solvation free energy. </w:t>
      </w:r>
      <w:r>
        <w:rPr>
          <w:rFonts w:ascii="Times New Roman" w:hAnsi="Times New Roman" w:eastAsia="仿宋" w:cs="Times New Roman"/>
          <w:sz w:val="21"/>
          <w:szCs w:val="21"/>
        </w:rPr>
        <w:t>All thermodynamic parameters, including force fields and environmental conditions, were maintained consistent with the MD production settings to ensure data validity.</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F071D"/>
    <w:rsid w:val="1FFF071D"/>
    <w:rsid w:val="7DFB6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2026-02-01T01:28:00Z</dcterms:created>
  <dc:creator>金蝉脱壳</dc:creator>
  <cp:lastModifiedBy>金蝉脱壳</cp:lastModifiedBy>
  <dcterms:modified xsi:type="dcterms:W3CDTF">2026-02-12T00:14:25Z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9B04692A2EE19F8354CB7D690F5D7A70_41</vt:lpwstr>
  </property>
</Properties>
</file>