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597E20" w14:textId="56BDF1BC" w:rsidR="007E2F08" w:rsidRPr="004E5E59" w:rsidRDefault="002E153B" w:rsidP="007E2F08">
      <w:pPr>
        <w:pStyle w:val="Heading1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SM</w:t>
      </w:r>
      <w:r w:rsidR="00A33D94">
        <w:rPr>
          <w:rFonts w:asciiTheme="majorBidi" w:hAnsiTheme="majorBidi" w:cstheme="majorBidi"/>
          <w:sz w:val="20"/>
          <w:szCs w:val="20"/>
        </w:rPr>
        <w:t>5</w:t>
      </w:r>
      <w:r>
        <w:rPr>
          <w:rFonts w:asciiTheme="majorBidi" w:hAnsiTheme="majorBidi" w:cstheme="majorBidi"/>
          <w:sz w:val="20"/>
          <w:szCs w:val="20"/>
        </w:rPr>
        <w:t xml:space="preserve">. </w:t>
      </w:r>
      <w:r w:rsidRPr="004E5E59">
        <w:rPr>
          <w:sz w:val="20"/>
          <w:szCs w:val="20"/>
        </w:rPr>
        <w:t>Samp</w:t>
      </w:r>
      <w:r>
        <w:rPr>
          <w:sz w:val="20"/>
          <w:szCs w:val="20"/>
        </w:rPr>
        <w:t>l</w:t>
      </w:r>
      <w:r w:rsidRPr="004E5E59">
        <w:rPr>
          <w:sz w:val="20"/>
          <w:szCs w:val="20"/>
        </w:rPr>
        <w:t>e Excluded Studies</w:t>
      </w:r>
      <w:r>
        <w:rPr>
          <w:sz w:val="20"/>
          <w:szCs w:val="20"/>
        </w:rPr>
        <w:t xml:space="preserve"> from 529 Studies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="007E2F08" w:rsidRPr="004E5E59">
        <w:rPr>
          <w:rFonts w:asciiTheme="majorBidi" w:hAnsiTheme="majorBidi" w:cstheme="majorBidi"/>
          <w:sz w:val="20"/>
          <w:szCs w:val="20"/>
        </w:rPr>
        <w:t xml:space="preserve"> </w:t>
      </w:r>
    </w:p>
    <w:p w14:paraId="4F2841C6" w14:textId="1A622580" w:rsidR="007E2F08" w:rsidRPr="004E5E59" w:rsidRDefault="007E2F08" w:rsidP="007E2F08">
      <w:pPr>
        <w:pStyle w:val="Heading2"/>
        <w:rPr>
          <w:rFonts w:eastAsia="Times New Roman"/>
          <w:sz w:val="20"/>
          <w:szCs w:val="20"/>
        </w:rPr>
      </w:pPr>
      <w:r w:rsidRPr="004E5E59">
        <w:rPr>
          <w:rFonts w:eastAsia="Times New Roman"/>
          <w:sz w:val="20"/>
          <w:szCs w:val="20"/>
        </w:rPr>
        <w:t xml:space="preserve">Table </w:t>
      </w:r>
      <w:r w:rsidR="002E153B">
        <w:rPr>
          <w:rFonts w:eastAsia="Times New Roman"/>
          <w:sz w:val="20"/>
          <w:szCs w:val="20"/>
        </w:rPr>
        <w:t>SM</w:t>
      </w:r>
      <w:r w:rsidR="00A33D94">
        <w:rPr>
          <w:rFonts w:eastAsia="Times New Roman"/>
          <w:sz w:val="20"/>
          <w:szCs w:val="20"/>
        </w:rPr>
        <w:t>5</w:t>
      </w:r>
      <w:r w:rsidR="002E153B">
        <w:rPr>
          <w:rFonts w:eastAsia="Times New Roman"/>
          <w:sz w:val="20"/>
          <w:szCs w:val="20"/>
        </w:rPr>
        <w:t>.</w:t>
      </w:r>
      <w:r w:rsidR="00A33D94">
        <w:rPr>
          <w:rFonts w:eastAsia="Times New Roman"/>
          <w:sz w:val="20"/>
          <w:szCs w:val="20"/>
        </w:rPr>
        <w:t>0</w:t>
      </w:r>
      <w:r w:rsidR="002E153B">
        <w:rPr>
          <w:rFonts w:eastAsia="Times New Roman"/>
          <w:sz w:val="20"/>
          <w:szCs w:val="20"/>
        </w:rPr>
        <w:t>1</w:t>
      </w:r>
      <w:r w:rsidRPr="004E5E59">
        <w:rPr>
          <w:rFonts w:eastAsia="Times New Roman"/>
          <w:sz w:val="20"/>
          <w:szCs w:val="20"/>
        </w:rPr>
        <w:t>: Samp</w:t>
      </w:r>
      <w:r w:rsidR="004E5E59">
        <w:rPr>
          <w:rFonts w:eastAsia="Times New Roman"/>
          <w:sz w:val="20"/>
          <w:szCs w:val="20"/>
        </w:rPr>
        <w:t>l</w:t>
      </w:r>
      <w:r w:rsidRPr="004E5E59">
        <w:rPr>
          <w:rFonts w:eastAsia="Times New Roman"/>
          <w:sz w:val="20"/>
          <w:szCs w:val="20"/>
        </w:rPr>
        <w:t>e Excluded Studies (Unable to Answer RQs 1, 2, or 3) 35 studies from 529 study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450"/>
        <w:gridCol w:w="1360"/>
        <w:gridCol w:w="524"/>
        <w:gridCol w:w="524"/>
        <w:gridCol w:w="524"/>
        <w:gridCol w:w="2322"/>
        <w:gridCol w:w="746"/>
        <w:gridCol w:w="695"/>
        <w:gridCol w:w="1215"/>
      </w:tblGrid>
      <w:tr w:rsidR="007E2F08" w:rsidRPr="004E5E59" w14:paraId="4A877462" w14:textId="77777777" w:rsidTr="004E5E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701847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Author (Year)</w:t>
            </w:r>
          </w:p>
        </w:tc>
        <w:tc>
          <w:tcPr>
            <w:tcW w:w="0" w:type="auto"/>
            <w:hideMark/>
          </w:tcPr>
          <w:p w14:paraId="25604359" w14:textId="77777777" w:rsidR="007E2F08" w:rsidRPr="004E5E59" w:rsidRDefault="007E2F08" w:rsidP="004E5E59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Title</w:t>
            </w:r>
          </w:p>
        </w:tc>
        <w:tc>
          <w:tcPr>
            <w:tcW w:w="0" w:type="auto"/>
            <w:hideMark/>
          </w:tcPr>
          <w:p w14:paraId="790461DB" w14:textId="77777777" w:rsidR="007E2F08" w:rsidRPr="004E5E59" w:rsidRDefault="007E2F08" w:rsidP="004E5E59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RQ1</w:t>
            </w:r>
          </w:p>
        </w:tc>
        <w:tc>
          <w:tcPr>
            <w:tcW w:w="0" w:type="auto"/>
            <w:hideMark/>
          </w:tcPr>
          <w:p w14:paraId="382AF510" w14:textId="77777777" w:rsidR="007E2F08" w:rsidRPr="004E5E59" w:rsidRDefault="007E2F08" w:rsidP="004E5E59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RQ2</w:t>
            </w:r>
          </w:p>
        </w:tc>
        <w:tc>
          <w:tcPr>
            <w:tcW w:w="0" w:type="auto"/>
            <w:hideMark/>
          </w:tcPr>
          <w:p w14:paraId="63082CDE" w14:textId="77777777" w:rsidR="007E2F08" w:rsidRPr="004E5E59" w:rsidRDefault="007E2F08" w:rsidP="004E5E59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RQ3</w:t>
            </w:r>
          </w:p>
        </w:tc>
        <w:tc>
          <w:tcPr>
            <w:tcW w:w="0" w:type="auto"/>
            <w:hideMark/>
          </w:tcPr>
          <w:p w14:paraId="4BAE3A7B" w14:textId="77777777" w:rsidR="007E2F08" w:rsidRPr="004E5E59" w:rsidRDefault="007E2F08" w:rsidP="004E5E59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DOI</w:t>
            </w:r>
          </w:p>
        </w:tc>
        <w:tc>
          <w:tcPr>
            <w:tcW w:w="0" w:type="auto"/>
            <w:hideMark/>
          </w:tcPr>
          <w:p w14:paraId="760667DB" w14:textId="77777777" w:rsidR="007E2F08" w:rsidRPr="004E5E59" w:rsidRDefault="007E2F08" w:rsidP="004E5E59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Include / Exclude</w:t>
            </w:r>
          </w:p>
        </w:tc>
        <w:tc>
          <w:tcPr>
            <w:tcW w:w="0" w:type="auto"/>
            <w:hideMark/>
          </w:tcPr>
          <w:p w14:paraId="6ECB4154" w14:textId="77777777" w:rsidR="007E2F08" w:rsidRPr="004E5E59" w:rsidRDefault="007E2F08" w:rsidP="004E5E59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Reason Code</w:t>
            </w:r>
          </w:p>
        </w:tc>
        <w:tc>
          <w:tcPr>
            <w:tcW w:w="0" w:type="auto"/>
            <w:hideMark/>
          </w:tcPr>
          <w:p w14:paraId="06962EA0" w14:textId="77777777" w:rsidR="007E2F08" w:rsidRPr="004E5E59" w:rsidRDefault="007E2F08" w:rsidP="004E5E59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Reason Description</w:t>
            </w:r>
          </w:p>
        </w:tc>
      </w:tr>
      <w:tr w:rsidR="007E2F08" w:rsidRPr="004E5E59" w14:paraId="08A23365" w14:textId="77777777" w:rsidTr="004E5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988BFA6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Wang, R. (2019)</w:t>
            </w:r>
          </w:p>
        </w:tc>
        <w:tc>
          <w:tcPr>
            <w:tcW w:w="0" w:type="auto"/>
            <w:hideMark/>
          </w:tcPr>
          <w:p w14:paraId="1E2D1A4C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The relationship between visual enclosure for </w:t>
            </w: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neighbourhood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street walkability and elders' mental health in China...</w:t>
            </w:r>
          </w:p>
        </w:tc>
        <w:tc>
          <w:tcPr>
            <w:tcW w:w="0" w:type="auto"/>
            <w:hideMark/>
          </w:tcPr>
          <w:p w14:paraId="4356AB07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6EEC0814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6FFECD9D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1D230509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10.1016/j.jth.2019.02.009</w:t>
            </w:r>
          </w:p>
        </w:tc>
        <w:tc>
          <w:tcPr>
            <w:tcW w:w="0" w:type="auto"/>
            <w:hideMark/>
          </w:tcPr>
          <w:p w14:paraId="6384EDA1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7D9D1EA3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0FAD5BAA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Focuses on ML application for urban health; no AI ethics or education governance focus.</w:t>
            </w:r>
          </w:p>
        </w:tc>
      </w:tr>
      <w:tr w:rsidR="007E2F08" w:rsidRPr="004E5E59" w14:paraId="7C4FECB8" w14:textId="77777777" w:rsidTr="004E5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9A6ABA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Munawar, H.S. (2021)</w:t>
            </w:r>
          </w:p>
        </w:tc>
        <w:tc>
          <w:tcPr>
            <w:tcW w:w="0" w:type="auto"/>
            <w:hideMark/>
          </w:tcPr>
          <w:p w14:paraId="2BFD54E3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Uavs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in disaster management: Application of integrated aerial imagery and convolutional neural network for flood detection.</w:t>
            </w:r>
          </w:p>
        </w:tc>
        <w:tc>
          <w:tcPr>
            <w:tcW w:w="0" w:type="auto"/>
            <w:hideMark/>
          </w:tcPr>
          <w:p w14:paraId="30AE50D9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2A605A24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4D6EF197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343717E1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10.3390/su13147547</w:t>
            </w:r>
          </w:p>
        </w:tc>
        <w:tc>
          <w:tcPr>
            <w:tcW w:w="0" w:type="auto"/>
            <w:hideMark/>
          </w:tcPr>
          <w:p w14:paraId="409BED67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38EF5A04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515D1DE0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Technical flood detection using CNN; irrelevant to AI ethics in education.</w:t>
            </w:r>
          </w:p>
        </w:tc>
      </w:tr>
      <w:tr w:rsidR="007E2F08" w:rsidRPr="004E5E59" w14:paraId="4D1E8528" w14:textId="77777777" w:rsidTr="004E5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394096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Albarrak, K. (2022)</w:t>
            </w:r>
          </w:p>
        </w:tc>
        <w:tc>
          <w:tcPr>
            <w:tcW w:w="0" w:type="auto"/>
            <w:hideMark/>
          </w:tcPr>
          <w:p w14:paraId="2C6F8A24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A Deep Learning-Based Model for Date Fruit </w:t>
            </w: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Classification.</w:t>
            </w:r>
          </w:p>
        </w:tc>
        <w:tc>
          <w:tcPr>
            <w:tcW w:w="0" w:type="auto"/>
            <w:hideMark/>
          </w:tcPr>
          <w:p w14:paraId="4E136423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X</w:t>
            </w:r>
          </w:p>
        </w:tc>
        <w:tc>
          <w:tcPr>
            <w:tcW w:w="0" w:type="auto"/>
            <w:hideMark/>
          </w:tcPr>
          <w:p w14:paraId="58F5837B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5DC1EDAF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73C830E8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10.3390/su14106339</w:t>
            </w:r>
          </w:p>
        </w:tc>
        <w:tc>
          <w:tcPr>
            <w:tcW w:w="0" w:type="auto"/>
            <w:hideMark/>
          </w:tcPr>
          <w:p w14:paraId="6209286B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14607FB1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550F7594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Purely a technical classification model for agriculture; </w:t>
            </w: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no ethical or educational dimension.</w:t>
            </w:r>
          </w:p>
        </w:tc>
      </w:tr>
      <w:tr w:rsidR="007E2F08" w:rsidRPr="004E5E59" w14:paraId="2008B809" w14:textId="77777777" w:rsidTr="004E5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E739E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Xu, H.L. (2022)</w:t>
            </w:r>
          </w:p>
        </w:tc>
        <w:tc>
          <w:tcPr>
            <w:tcW w:w="0" w:type="auto"/>
            <w:hideMark/>
          </w:tcPr>
          <w:p w14:paraId="0FA6369B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Artificial intelligence performance in image-based ovarian cancer identification...</w:t>
            </w:r>
          </w:p>
        </w:tc>
        <w:tc>
          <w:tcPr>
            <w:tcW w:w="0" w:type="auto"/>
            <w:hideMark/>
          </w:tcPr>
          <w:p w14:paraId="7689954C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17317F45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60EC3AE1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619BA825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10.1016/j.eclinm.2022.101662</w:t>
            </w:r>
          </w:p>
        </w:tc>
        <w:tc>
          <w:tcPr>
            <w:tcW w:w="0" w:type="auto"/>
            <w:hideMark/>
          </w:tcPr>
          <w:p w14:paraId="2B8E8E8D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16FF7B69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622E29DC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Medical image analysis systematic review; no engagement with RQs on ethics or geopolitics.</w:t>
            </w:r>
          </w:p>
        </w:tc>
      </w:tr>
      <w:tr w:rsidR="007E2F08" w:rsidRPr="004E5E59" w14:paraId="4F7AE354" w14:textId="77777777" w:rsidTr="004E5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890651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Venter, Z.S. (2021)</w:t>
            </w:r>
          </w:p>
        </w:tc>
        <w:tc>
          <w:tcPr>
            <w:tcW w:w="0" w:type="auto"/>
            <w:hideMark/>
          </w:tcPr>
          <w:p w14:paraId="68C40B1E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Mapping soil organic carbon stocks and trends with satellite-driven </w:t>
            </w:r>
            <w:proofErr w:type="gram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high resolution</w:t>
            </w:r>
            <w:proofErr w:type="gram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maps over South Africa.</w:t>
            </w:r>
          </w:p>
        </w:tc>
        <w:tc>
          <w:tcPr>
            <w:tcW w:w="0" w:type="auto"/>
            <w:hideMark/>
          </w:tcPr>
          <w:p w14:paraId="43EB78DB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3B88462C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75F8CCF0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64DB13EA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10.1016/j.scitotenv.2021.145384</w:t>
            </w:r>
          </w:p>
        </w:tc>
        <w:tc>
          <w:tcPr>
            <w:tcW w:w="0" w:type="auto"/>
            <w:hideMark/>
          </w:tcPr>
          <w:p w14:paraId="4397D43F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32B63F5E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14A9C1C2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Environmental science application of remote sensing; unrelated to AI ethics or education.</w:t>
            </w:r>
          </w:p>
        </w:tc>
      </w:tr>
      <w:tr w:rsidR="007E2F08" w:rsidRPr="004E5E59" w14:paraId="0C58B9F3" w14:textId="77777777" w:rsidTr="004E5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6FDBAB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Miao, Z. (2019)</w:t>
            </w:r>
          </w:p>
        </w:tc>
        <w:tc>
          <w:tcPr>
            <w:tcW w:w="0" w:type="auto"/>
            <w:hideMark/>
          </w:tcPr>
          <w:p w14:paraId="364AF3E8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Insights and approaches using deep learning to classify wildlife.</w:t>
            </w:r>
          </w:p>
        </w:tc>
        <w:tc>
          <w:tcPr>
            <w:tcW w:w="0" w:type="auto"/>
            <w:hideMark/>
          </w:tcPr>
          <w:p w14:paraId="747BDB60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4E9BF8BF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50A28F6D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076532DA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10.1038/s41598-019-44565-w</w:t>
            </w:r>
          </w:p>
        </w:tc>
        <w:tc>
          <w:tcPr>
            <w:tcW w:w="0" w:type="auto"/>
            <w:hideMark/>
          </w:tcPr>
          <w:p w14:paraId="505C7809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0675DCDF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72A70431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Wildlife classification using DL; no social, ethical, or educational context.</w:t>
            </w:r>
          </w:p>
        </w:tc>
      </w:tr>
      <w:tr w:rsidR="007E2F08" w:rsidRPr="004E5E59" w14:paraId="464E4CA7" w14:textId="77777777" w:rsidTr="004E5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E2535A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Ngoma, H. (2021)</w:t>
            </w:r>
          </w:p>
        </w:tc>
        <w:tc>
          <w:tcPr>
            <w:tcW w:w="0" w:type="auto"/>
            <w:hideMark/>
          </w:tcPr>
          <w:p w14:paraId="7FA486BF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Evaluation of precipitation simulations in CMIP6 </w:t>
            </w: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models over Uganda.</w:t>
            </w:r>
          </w:p>
        </w:tc>
        <w:tc>
          <w:tcPr>
            <w:tcW w:w="0" w:type="auto"/>
            <w:hideMark/>
          </w:tcPr>
          <w:p w14:paraId="65D25288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X</w:t>
            </w:r>
          </w:p>
        </w:tc>
        <w:tc>
          <w:tcPr>
            <w:tcW w:w="0" w:type="auto"/>
            <w:hideMark/>
          </w:tcPr>
          <w:p w14:paraId="50B52311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500F2016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6F4ECED2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10.1002/joc.7098</w:t>
            </w:r>
          </w:p>
        </w:tc>
        <w:tc>
          <w:tcPr>
            <w:tcW w:w="0" w:type="auto"/>
            <w:hideMark/>
          </w:tcPr>
          <w:p w14:paraId="3D613E88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56A8C524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239FD8D6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Climate modeling and simulation; irrelevant to </w:t>
            </w: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RQs on epistemic justice.</w:t>
            </w:r>
          </w:p>
        </w:tc>
      </w:tr>
      <w:tr w:rsidR="007E2F08" w:rsidRPr="004E5E59" w14:paraId="66B47E45" w14:textId="77777777" w:rsidTr="004E5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DF8460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Bellido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-Jiménez, J.A. (2021)</w:t>
            </w:r>
          </w:p>
        </w:tc>
        <w:tc>
          <w:tcPr>
            <w:tcW w:w="0" w:type="auto"/>
            <w:hideMark/>
          </w:tcPr>
          <w:p w14:paraId="4DE62B52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New machine learning approaches to improve reference evapotranspiration estimates...</w:t>
            </w:r>
          </w:p>
        </w:tc>
        <w:tc>
          <w:tcPr>
            <w:tcW w:w="0" w:type="auto"/>
            <w:hideMark/>
          </w:tcPr>
          <w:p w14:paraId="1218B778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59431F6E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7F199892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13FF2289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10.1016/j.agwat.2020.106558</w:t>
            </w:r>
          </w:p>
        </w:tc>
        <w:tc>
          <w:tcPr>
            <w:tcW w:w="0" w:type="auto"/>
            <w:hideMark/>
          </w:tcPr>
          <w:p w14:paraId="3DDCA13C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54224EDE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43386CD8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Agricultural water management using ML; no ethical or governance analysis.</w:t>
            </w:r>
          </w:p>
        </w:tc>
      </w:tr>
      <w:tr w:rsidR="007E2F08" w:rsidRPr="004E5E59" w14:paraId="2CA33A22" w14:textId="77777777" w:rsidTr="004E5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5D1B2C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Zizka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, A. (2021)</w:t>
            </w:r>
          </w:p>
        </w:tc>
        <w:tc>
          <w:tcPr>
            <w:tcW w:w="0" w:type="auto"/>
            <w:hideMark/>
          </w:tcPr>
          <w:p w14:paraId="4FE8355C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Automated conservation assessment of the orchid family with deep learning.</w:t>
            </w:r>
          </w:p>
        </w:tc>
        <w:tc>
          <w:tcPr>
            <w:tcW w:w="0" w:type="auto"/>
            <w:hideMark/>
          </w:tcPr>
          <w:p w14:paraId="1A53E41D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1F62F046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31A868B3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24C56881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10.1111/cobi.13616</w:t>
            </w:r>
          </w:p>
        </w:tc>
        <w:tc>
          <w:tcPr>
            <w:tcW w:w="0" w:type="auto"/>
            <w:hideMark/>
          </w:tcPr>
          <w:p w14:paraId="4446EFA9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7064F537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6C20427A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Conservation biology using DL; lacks critical examination of AI ethics or education.</w:t>
            </w:r>
          </w:p>
        </w:tc>
      </w:tr>
      <w:tr w:rsidR="007E2F08" w:rsidRPr="004E5E59" w14:paraId="5A4C8FFD" w14:textId="77777777" w:rsidTr="004E5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CF9EEEA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Lee, Y. (2019)</w:t>
            </w:r>
          </w:p>
        </w:tc>
        <w:tc>
          <w:tcPr>
            <w:tcW w:w="0" w:type="auto"/>
            <w:hideMark/>
          </w:tcPr>
          <w:p w14:paraId="6B4F4233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Retrieval of total precipitable water from Himawari-8 AHI data: A comparison of random forest...</w:t>
            </w:r>
          </w:p>
        </w:tc>
        <w:tc>
          <w:tcPr>
            <w:tcW w:w="0" w:type="auto"/>
            <w:hideMark/>
          </w:tcPr>
          <w:p w14:paraId="5AAB8B66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020F9F0D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2C5564C7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630802D4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10.3390/rs11151741</w:t>
            </w:r>
          </w:p>
        </w:tc>
        <w:tc>
          <w:tcPr>
            <w:tcW w:w="0" w:type="auto"/>
            <w:hideMark/>
          </w:tcPr>
          <w:p w14:paraId="45617C5F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47ED1DEE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6EA20FFF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Remote sensing ML comparison; no connection to AI ethics frameworks or governance.</w:t>
            </w:r>
          </w:p>
        </w:tc>
      </w:tr>
      <w:tr w:rsidR="007E2F08" w:rsidRPr="004E5E59" w14:paraId="2778AEDB" w14:textId="77777777" w:rsidTr="004E5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3CBB8B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Yagli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, G.M. (2020)</w:t>
            </w:r>
          </w:p>
        </w:tc>
        <w:tc>
          <w:tcPr>
            <w:tcW w:w="0" w:type="auto"/>
            <w:hideMark/>
          </w:tcPr>
          <w:p w14:paraId="22F3AD26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Can we justify producing univariate machine-</w:t>
            </w: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learning forecasts with satellite-derived solar irradiance?</w:t>
            </w:r>
          </w:p>
        </w:tc>
        <w:tc>
          <w:tcPr>
            <w:tcW w:w="0" w:type="auto"/>
            <w:hideMark/>
          </w:tcPr>
          <w:p w14:paraId="794642A0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X</w:t>
            </w:r>
          </w:p>
        </w:tc>
        <w:tc>
          <w:tcPr>
            <w:tcW w:w="0" w:type="auto"/>
            <w:hideMark/>
          </w:tcPr>
          <w:p w14:paraId="1776DA54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45A29910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09D6DEC5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10.1016/j.apenergy.2019.114122</w:t>
            </w:r>
          </w:p>
        </w:tc>
        <w:tc>
          <w:tcPr>
            <w:tcW w:w="0" w:type="auto"/>
            <w:hideMark/>
          </w:tcPr>
          <w:p w14:paraId="132CEAE2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3D3BA63C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3465263D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Energy forecasting using ML; irrelevant to </w:t>
            </w: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research questions.</w:t>
            </w:r>
          </w:p>
        </w:tc>
      </w:tr>
      <w:tr w:rsidR="007E2F08" w:rsidRPr="004E5E59" w14:paraId="45CCB773" w14:textId="77777777" w:rsidTr="004E5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BD8BFFA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Peng, T. (2020)</w:t>
            </w:r>
          </w:p>
        </w:tc>
        <w:tc>
          <w:tcPr>
            <w:tcW w:w="0" w:type="auto"/>
            <w:hideMark/>
          </w:tcPr>
          <w:p w14:paraId="2549D168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Prediction skill of extended range 2-m maximum air temperature probabilistic forecasts...</w:t>
            </w:r>
          </w:p>
        </w:tc>
        <w:tc>
          <w:tcPr>
            <w:tcW w:w="0" w:type="auto"/>
            <w:hideMark/>
          </w:tcPr>
          <w:p w14:paraId="1BF358BA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619F9828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429D2666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21D6F82A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10.3390/ATMOS11080823</w:t>
            </w:r>
          </w:p>
        </w:tc>
        <w:tc>
          <w:tcPr>
            <w:tcW w:w="0" w:type="auto"/>
            <w:hideMark/>
          </w:tcPr>
          <w:p w14:paraId="4EFB2651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13F9E112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743C3BBD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Meteorological forecasting; no focus on ethics, coloniality, or education.</w:t>
            </w:r>
          </w:p>
        </w:tc>
      </w:tr>
      <w:tr w:rsidR="007E2F08" w:rsidRPr="004E5E59" w14:paraId="2D92E209" w14:textId="77777777" w:rsidTr="004E5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A67EEF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Gómez-</w:t>
            </w: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Escalonilla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, V. (2022)</w:t>
            </w:r>
          </w:p>
        </w:tc>
        <w:tc>
          <w:tcPr>
            <w:tcW w:w="0" w:type="auto"/>
            <w:hideMark/>
          </w:tcPr>
          <w:p w14:paraId="63606D97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Preprocessing approaches in machine-learning-based groundwater potential mapping...</w:t>
            </w:r>
          </w:p>
        </w:tc>
        <w:tc>
          <w:tcPr>
            <w:tcW w:w="0" w:type="auto"/>
            <w:hideMark/>
          </w:tcPr>
          <w:p w14:paraId="055920BC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47498ED5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6BF9669B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59E2315B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10.5194/hess-26-221-2022</w:t>
            </w:r>
          </w:p>
        </w:tc>
        <w:tc>
          <w:tcPr>
            <w:tcW w:w="0" w:type="auto"/>
            <w:hideMark/>
          </w:tcPr>
          <w:p w14:paraId="558C635F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05CD2242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29A80349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Groundwater mapping using ML; purely technical application.</w:t>
            </w:r>
          </w:p>
        </w:tc>
      </w:tr>
      <w:tr w:rsidR="007E2F08" w:rsidRPr="004E5E59" w14:paraId="0359888D" w14:textId="77777777" w:rsidTr="004E5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F636ED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Li, X. (2021)</w:t>
            </w:r>
          </w:p>
        </w:tc>
        <w:tc>
          <w:tcPr>
            <w:tcW w:w="0" w:type="auto"/>
            <w:hideMark/>
          </w:tcPr>
          <w:p w14:paraId="5EA6231F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Leveraging machine learning for quantitative precipitation estimation from Fengyun-4...</w:t>
            </w:r>
          </w:p>
        </w:tc>
        <w:tc>
          <w:tcPr>
            <w:tcW w:w="0" w:type="auto"/>
            <w:hideMark/>
          </w:tcPr>
          <w:p w14:paraId="269E5460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2317A0DF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5C83551D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35652C07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10.5194/amt-14-7007-2021</w:t>
            </w:r>
          </w:p>
        </w:tc>
        <w:tc>
          <w:tcPr>
            <w:tcW w:w="0" w:type="auto"/>
            <w:hideMark/>
          </w:tcPr>
          <w:p w14:paraId="0556D101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6E9CB946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0D7CAF30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Atmospheric measurement technique; no ethical or governance dimension.</w:t>
            </w:r>
          </w:p>
        </w:tc>
      </w:tr>
      <w:tr w:rsidR="007E2F08" w:rsidRPr="004E5E59" w14:paraId="6FA6E173" w14:textId="77777777" w:rsidTr="004E5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D840F9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Kwon, Y. (2019)</w:t>
            </w:r>
          </w:p>
        </w:tc>
        <w:tc>
          <w:tcPr>
            <w:tcW w:w="0" w:type="auto"/>
            <w:hideMark/>
          </w:tcPr>
          <w:p w14:paraId="2F414954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Exploring the utility of machine learning-</w:t>
            </w: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based passive microwave brightness temperature data assimilation...</w:t>
            </w:r>
          </w:p>
        </w:tc>
        <w:tc>
          <w:tcPr>
            <w:tcW w:w="0" w:type="auto"/>
            <w:hideMark/>
          </w:tcPr>
          <w:p w14:paraId="76A6F02E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X</w:t>
            </w:r>
          </w:p>
        </w:tc>
        <w:tc>
          <w:tcPr>
            <w:tcW w:w="0" w:type="auto"/>
            <w:hideMark/>
          </w:tcPr>
          <w:p w14:paraId="7D591EA7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5EF9D5F1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31916055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10.3390/rs11192265</w:t>
            </w:r>
          </w:p>
        </w:tc>
        <w:tc>
          <w:tcPr>
            <w:tcW w:w="0" w:type="auto"/>
            <w:hideMark/>
          </w:tcPr>
          <w:p w14:paraId="3129784B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1EF89FCD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43174B0C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Remote sensing data assimilation</w:t>
            </w: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; irrelevant to RQs.</w:t>
            </w:r>
          </w:p>
        </w:tc>
      </w:tr>
      <w:tr w:rsidR="007E2F08" w:rsidRPr="004E5E59" w14:paraId="41F7005F" w14:textId="77777777" w:rsidTr="004E5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23EDAA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Lin, B. (2021)</w:t>
            </w:r>
          </w:p>
        </w:tc>
        <w:tc>
          <w:tcPr>
            <w:tcW w:w="0" w:type="auto"/>
            <w:hideMark/>
          </w:tcPr>
          <w:p w14:paraId="2D617A63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 novel hybrid machine learning model for short-term wind speed prediction in inner Mongolia, China.</w:t>
            </w:r>
          </w:p>
        </w:tc>
        <w:tc>
          <w:tcPr>
            <w:tcW w:w="0" w:type="auto"/>
            <w:hideMark/>
          </w:tcPr>
          <w:p w14:paraId="0FA0E389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2A45C1C2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5126F1CA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5E16A2B4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10.1016/j.renene.2021.07.126</w:t>
            </w:r>
          </w:p>
        </w:tc>
        <w:tc>
          <w:tcPr>
            <w:tcW w:w="0" w:type="auto"/>
            <w:hideMark/>
          </w:tcPr>
          <w:p w14:paraId="256CC8CE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59605283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5F4A56F6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Wind speed prediction model; no social science or ethics focus.</w:t>
            </w:r>
          </w:p>
        </w:tc>
      </w:tr>
      <w:tr w:rsidR="007E2F08" w:rsidRPr="004E5E59" w14:paraId="27AAD1DC" w14:textId="77777777" w:rsidTr="004E5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D610A8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Love, M.I. (2014)</w:t>
            </w:r>
          </w:p>
        </w:tc>
        <w:tc>
          <w:tcPr>
            <w:tcW w:w="0" w:type="auto"/>
            <w:hideMark/>
          </w:tcPr>
          <w:p w14:paraId="1E49D633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Moderated estimation of fold change and dispersion for RNA-seq data with DESeq2.</w:t>
            </w:r>
          </w:p>
        </w:tc>
        <w:tc>
          <w:tcPr>
            <w:tcW w:w="0" w:type="auto"/>
            <w:hideMark/>
          </w:tcPr>
          <w:p w14:paraId="11AB1BDA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6C582BF2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0D9AD422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07C8E184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10.1186/s13059-014-0550-8</w:t>
            </w:r>
          </w:p>
        </w:tc>
        <w:tc>
          <w:tcPr>
            <w:tcW w:w="0" w:type="auto"/>
            <w:hideMark/>
          </w:tcPr>
          <w:p w14:paraId="40802B2B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1004DC87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258CDA98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Bioinformatics method for gene expression; unrelated.</w:t>
            </w:r>
          </w:p>
        </w:tc>
      </w:tr>
      <w:tr w:rsidR="007E2F08" w:rsidRPr="004E5E59" w14:paraId="5EBD88E4" w14:textId="77777777" w:rsidTr="004E5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41BA30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Kumar, S. (2016)</w:t>
            </w:r>
          </w:p>
        </w:tc>
        <w:tc>
          <w:tcPr>
            <w:tcW w:w="0" w:type="auto"/>
            <w:hideMark/>
          </w:tcPr>
          <w:p w14:paraId="7790B866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MEGA7: Molecular Evolutionary Genetics Analysis Version 7.0 for Bigger Datasets.</w:t>
            </w:r>
          </w:p>
        </w:tc>
        <w:tc>
          <w:tcPr>
            <w:tcW w:w="0" w:type="auto"/>
            <w:hideMark/>
          </w:tcPr>
          <w:p w14:paraId="05FF0FA7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2508310B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464E2F63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407CD23D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10.1093/MOLBEV/MSW054</w:t>
            </w:r>
          </w:p>
        </w:tc>
        <w:tc>
          <w:tcPr>
            <w:tcW w:w="0" w:type="auto"/>
            <w:hideMark/>
          </w:tcPr>
          <w:p w14:paraId="0F9A4FDF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2DF6CC18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70008364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Evolutionary genetics software paper; no ethical or educational AI content.</w:t>
            </w:r>
          </w:p>
        </w:tc>
      </w:tr>
      <w:tr w:rsidR="007E2F08" w:rsidRPr="004E5E59" w14:paraId="4FD5BD1D" w14:textId="77777777" w:rsidTr="004E5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396C85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Sheldrick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, G.M. (2015)</w:t>
            </w:r>
          </w:p>
        </w:tc>
        <w:tc>
          <w:tcPr>
            <w:tcW w:w="0" w:type="auto"/>
            <w:hideMark/>
          </w:tcPr>
          <w:p w14:paraId="3E04EE0D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SHELXT - Integrated space-group and crystal-structure determination.</w:t>
            </w:r>
          </w:p>
        </w:tc>
        <w:tc>
          <w:tcPr>
            <w:tcW w:w="0" w:type="auto"/>
            <w:hideMark/>
          </w:tcPr>
          <w:p w14:paraId="5E2D4A5A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0A8A528A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778D2490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7CC09D7F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10.1107/S2053273314026370</w:t>
            </w:r>
          </w:p>
        </w:tc>
        <w:tc>
          <w:tcPr>
            <w:tcW w:w="0" w:type="auto"/>
            <w:hideMark/>
          </w:tcPr>
          <w:p w14:paraId="046714A4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018F82AB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7994783D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Crystallography method; irrelevant.</w:t>
            </w:r>
          </w:p>
        </w:tc>
      </w:tr>
      <w:tr w:rsidR="007E2F08" w:rsidRPr="004E5E59" w14:paraId="01B902D2" w14:textId="77777777" w:rsidTr="004E5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C4D7C7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Srivastava, N. (2014)</w:t>
            </w:r>
          </w:p>
        </w:tc>
        <w:tc>
          <w:tcPr>
            <w:tcW w:w="0" w:type="auto"/>
            <w:hideMark/>
          </w:tcPr>
          <w:p w14:paraId="7B96C9C0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Dropout: A simple way to prevent neural networks from overfitting.</w:t>
            </w:r>
          </w:p>
        </w:tc>
        <w:tc>
          <w:tcPr>
            <w:tcW w:w="0" w:type="auto"/>
            <w:hideMark/>
          </w:tcPr>
          <w:p w14:paraId="62C6D07F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00397AD2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3829863C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2C0F6B44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N/A (Scopus)</w:t>
            </w:r>
          </w:p>
        </w:tc>
        <w:tc>
          <w:tcPr>
            <w:tcW w:w="0" w:type="auto"/>
            <w:hideMark/>
          </w:tcPr>
          <w:p w14:paraId="6692CBCB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28A11E83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481C536B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Foundational ML technique paper; no engagement with ethics or education governance.</w:t>
            </w:r>
          </w:p>
        </w:tc>
      </w:tr>
      <w:tr w:rsidR="007E2F08" w:rsidRPr="004E5E59" w14:paraId="7C3D2B77" w14:textId="77777777" w:rsidTr="004E5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ADE8B0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Ren, S. (2017)</w:t>
            </w:r>
          </w:p>
        </w:tc>
        <w:tc>
          <w:tcPr>
            <w:tcW w:w="0" w:type="auto"/>
            <w:hideMark/>
          </w:tcPr>
          <w:p w14:paraId="77C47CD5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Faster R-CNN: Towards Real-Time Object Detection with Region Proposal Networks.</w:t>
            </w:r>
          </w:p>
        </w:tc>
        <w:tc>
          <w:tcPr>
            <w:tcW w:w="0" w:type="auto"/>
            <w:hideMark/>
          </w:tcPr>
          <w:p w14:paraId="47F5E081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3EB288B5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62336B68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69AC64F2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10.1109/TPAMI.2016.2577031</w:t>
            </w:r>
          </w:p>
        </w:tc>
        <w:tc>
          <w:tcPr>
            <w:tcW w:w="0" w:type="auto"/>
            <w:hideMark/>
          </w:tcPr>
          <w:p w14:paraId="15A994E6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25C1EE22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1BD95922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Computer vision object detection; technical ML paper.</w:t>
            </w:r>
          </w:p>
        </w:tc>
      </w:tr>
      <w:tr w:rsidR="007E2F08" w:rsidRPr="004E5E59" w14:paraId="203A5CAA" w14:textId="77777777" w:rsidTr="004E5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B96453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Jumper, J. (2021)</w:t>
            </w:r>
          </w:p>
        </w:tc>
        <w:tc>
          <w:tcPr>
            <w:tcW w:w="0" w:type="auto"/>
            <w:hideMark/>
          </w:tcPr>
          <w:p w14:paraId="504A93CD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Highly accurate protein structure prediction with </w:t>
            </w: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AlphaFold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</w:p>
        </w:tc>
        <w:tc>
          <w:tcPr>
            <w:tcW w:w="0" w:type="auto"/>
            <w:hideMark/>
          </w:tcPr>
          <w:p w14:paraId="5814FC88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3828DE2D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12E025FD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3C1E12E2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10.1038/s41586-021-03819-2</w:t>
            </w:r>
          </w:p>
        </w:tc>
        <w:tc>
          <w:tcPr>
            <w:tcW w:w="0" w:type="auto"/>
            <w:hideMark/>
          </w:tcPr>
          <w:p w14:paraId="68C735E0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3D6AC10B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437CA7B3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Protein structure prediction (</w:t>
            </w: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AlphaFold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); no AI ethics or education focus.</w:t>
            </w:r>
          </w:p>
        </w:tc>
      </w:tr>
      <w:tr w:rsidR="007E2F08" w:rsidRPr="004E5E59" w14:paraId="6BAEFC34" w14:textId="77777777" w:rsidTr="004E5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01A90A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Virtanen, P. (2020)</w:t>
            </w:r>
          </w:p>
        </w:tc>
        <w:tc>
          <w:tcPr>
            <w:tcW w:w="0" w:type="auto"/>
            <w:hideMark/>
          </w:tcPr>
          <w:p w14:paraId="2CBEE92F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SciPy 1.0: fundamental algorithms for scientific computing in Python.</w:t>
            </w:r>
          </w:p>
        </w:tc>
        <w:tc>
          <w:tcPr>
            <w:tcW w:w="0" w:type="auto"/>
            <w:hideMark/>
          </w:tcPr>
          <w:p w14:paraId="33046FFD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4C49146D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2AA1796F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0FBC5704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10.1038/s41592-019-0686-2</w:t>
            </w:r>
          </w:p>
        </w:tc>
        <w:tc>
          <w:tcPr>
            <w:tcW w:w="0" w:type="auto"/>
            <w:hideMark/>
          </w:tcPr>
          <w:p w14:paraId="4762F710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3AAD0D02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1BD8EAA8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Scientific computing software paper; irrelevant.</w:t>
            </w:r>
          </w:p>
        </w:tc>
      </w:tr>
      <w:tr w:rsidR="007E2F08" w:rsidRPr="004E5E59" w14:paraId="108D27E5" w14:textId="77777777" w:rsidTr="004E5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0E5A8A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Mnih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, V. (2015)</w:t>
            </w:r>
          </w:p>
        </w:tc>
        <w:tc>
          <w:tcPr>
            <w:tcW w:w="0" w:type="auto"/>
            <w:hideMark/>
          </w:tcPr>
          <w:p w14:paraId="48B43F84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Human-level control through deep reinforcement learning.</w:t>
            </w:r>
          </w:p>
        </w:tc>
        <w:tc>
          <w:tcPr>
            <w:tcW w:w="0" w:type="auto"/>
            <w:hideMark/>
          </w:tcPr>
          <w:p w14:paraId="45F58D8F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78448249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77471477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7CE9136F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10.1038/nature14236</w:t>
            </w:r>
          </w:p>
        </w:tc>
        <w:tc>
          <w:tcPr>
            <w:tcW w:w="0" w:type="auto"/>
            <w:hideMark/>
          </w:tcPr>
          <w:p w14:paraId="149B936C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2F7340B8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7386AC4E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Deep RL for games (DQN); no connection to RQs.</w:t>
            </w:r>
          </w:p>
        </w:tc>
      </w:tr>
      <w:tr w:rsidR="007E2F08" w:rsidRPr="004E5E59" w14:paraId="65338B46" w14:textId="77777777" w:rsidTr="004E5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4043E7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Callahan, B.J. (2016)</w:t>
            </w:r>
          </w:p>
        </w:tc>
        <w:tc>
          <w:tcPr>
            <w:tcW w:w="0" w:type="auto"/>
            <w:hideMark/>
          </w:tcPr>
          <w:p w14:paraId="4679A1E0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DADA2: High-resolution sample inference from Illumina amplicon data.</w:t>
            </w:r>
          </w:p>
        </w:tc>
        <w:tc>
          <w:tcPr>
            <w:tcW w:w="0" w:type="auto"/>
            <w:hideMark/>
          </w:tcPr>
          <w:p w14:paraId="4343E79D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1F1958B0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2A6C2BEF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12DE3B0E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10.1038/nmeth.3869</w:t>
            </w:r>
          </w:p>
        </w:tc>
        <w:tc>
          <w:tcPr>
            <w:tcW w:w="0" w:type="auto"/>
            <w:hideMark/>
          </w:tcPr>
          <w:p w14:paraId="728C49A5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0AF23CAD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0A0E6489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Microbial bioinformatics method; unrelated.</w:t>
            </w:r>
          </w:p>
        </w:tc>
      </w:tr>
      <w:tr w:rsidR="007E2F08" w:rsidRPr="004E5E59" w14:paraId="5954F13D" w14:textId="77777777" w:rsidTr="004E5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72DC6B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Abraham, M.J. (2015)</w:t>
            </w:r>
          </w:p>
        </w:tc>
        <w:tc>
          <w:tcPr>
            <w:tcW w:w="0" w:type="auto"/>
            <w:hideMark/>
          </w:tcPr>
          <w:p w14:paraId="227E9C23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Gromacs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: High performance molecular simulations...</w:t>
            </w:r>
          </w:p>
        </w:tc>
        <w:tc>
          <w:tcPr>
            <w:tcW w:w="0" w:type="auto"/>
            <w:hideMark/>
          </w:tcPr>
          <w:p w14:paraId="6E38A515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0E220394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49EFFC70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16B42CF5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10.1016/j.softx.2015.06.001</w:t>
            </w:r>
          </w:p>
        </w:tc>
        <w:tc>
          <w:tcPr>
            <w:tcW w:w="0" w:type="auto"/>
            <w:hideMark/>
          </w:tcPr>
          <w:p w14:paraId="192D656F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7D99102A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740E07FA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Molecular dynamics software; irrelevant.</w:t>
            </w:r>
          </w:p>
        </w:tc>
      </w:tr>
      <w:tr w:rsidR="007E2F08" w:rsidRPr="004E5E59" w14:paraId="05EABC67" w14:textId="77777777" w:rsidTr="004E5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B78EE6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Nguyen, L.T. (2015)</w:t>
            </w:r>
          </w:p>
        </w:tc>
        <w:tc>
          <w:tcPr>
            <w:tcW w:w="0" w:type="auto"/>
            <w:hideMark/>
          </w:tcPr>
          <w:p w14:paraId="5EF1C9F2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IQ-TREE: A fast and effective stochastic algorithm for estimating maximum-likelihood phylogenies.</w:t>
            </w:r>
          </w:p>
        </w:tc>
        <w:tc>
          <w:tcPr>
            <w:tcW w:w="0" w:type="auto"/>
            <w:hideMark/>
          </w:tcPr>
          <w:p w14:paraId="7CDD322F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4CDB3D25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11C588E4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62213B23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10.1093/</w:t>
            </w: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molbev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/msu300</w:t>
            </w:r>
          </w:p>
        </w:tc>
        <w:tc>
          <w:tcPr>
            <w:tcW w:w="0" w:type="auto"/>
            <w:hideMark/>
          </w:tcPr>
          <w:p w14:paraId="2FE6A347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3E12B468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6E9FDCE9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Phylogenetics algorithm; no ethics or governance.</w:t>
            </w:r>
          </w:p>
        </w:tc>
      </w:tr>
      <w:tr w:rsidR="007E2F08" w:rsidRPr="004E5E59" w14:paraId="00D7CDA6" w14:textId="77777777" w:rsidTr="004E5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4A624F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Liao, Y. (2014)</w:t>
            </w:r>
          </w:p>
        </w:tc>
        <w:tc>
          <w:tcPr>
            <w:tcW w:w="0" w:type="auto"/>
            <w:hideMark/>
          </w:tcPr>
          <w:p w14:paraId="55AA2E97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FeatureCounts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: An efficient </w:t>
            </w:r>
            <w:proofErr w:type="gram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general purpose</w:t>
            </w:r>
            <w:proofErr w:type="gram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program for assigning sequence reads to genomic features.</w:t>
            </w:r>
          </w:p>
        </w:tc>
        <w:tc>
          <w:tcPr>
            <w:tcW w:w="0" w:type="auto"/>
            <w:hideMark/>
          </w:tcPr>
          <w:p w14:paraId="7CCA320A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73EEAC01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2649A4AA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723EE2CC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10.1093/bioinformatics/btt656</w:t>
            </w:r>
          </w:p>
        </w:tc>
        <w:tc>
          <w:tcPr>
            <w:tcW w:w="0" w:type="auto"/>
            <w:hideMark/>
          </w:tcPr>
          <w:p w14:paraId="718FB287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30C0E027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7263FC6D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Bioinformatics tool; irrelevant.</w:t>
            </w:r>
          </w:p>
        </w:tc>
      </w:tr>
      <w:tr w:rsidR="007E2F08" w:rsidRPr="004E5E59" w14:paraId="76825787" w14:textId="77777777" w:rsidTr="004E5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F90A15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Mirjalili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, S. (2014)</w:t>
            </w:r>
          </w:p>
        </w:tc>
        <w:tc>
          <w:tcPr>
            <w:tcW w:w="0" w:type="auto"/>
            <w:hideMark/>
          </w:tcPr>
          <w:p w14:paraId="7A04AAFB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Grey Wolf Optimizer.</w:t>
            </w:r>
          </w:p>
        </w:tc>
        <w:tc>
          <w:tcPr>
            <w:tcW w:w="0" w:type="auto"/>
            <w:hideMark/>
          </w:tcPr>
          <w:p w14:paraId="20206562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15DE205E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058C7FBB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7A0CEAA4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10.1016/j.advengsoft.2013.12.007</w:t>
            </w:r>
          </w:p>
        </w:tc>
        <w:tc>
          <w:tcPr>
            <w:tcW w:w="0" w:type="auto"/>
            <w:hideMark/>
          </w:tcPr>
          <w:p w14:paraId="5C92A13E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0040B78C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4DCE182D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Nature-inspired optimization algorithm; technical.</w:t>
            </w:r>
          </w:p>
        </w:tc>
      </w:tr>
      <w:tr w:rsidR="007E2F08" w:rsidRPr="004E5E59" w14:paraId="6E598591" w14:textId="77777777" w:rsidTr="004E5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64D4D3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Kim, D. (2015)</w:t>
            </w:r>
          </w:p>
        </w:tc>
        <w:tc>
          <w:tcPr>
            <w:tcW w:w="0" w:type="auto"/>
            <w:hideMark/>
          </w:tcPr>
          <w:p w14:paraId="14456305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HISAT: A fast spliced aligner with low memory requirements.</w:t>
            </w:r>
          </w:p>
        </w:tc>
        <w:tc>
          <w:tcPr>
            <w:tcW w:w="0" w:type="auto"/>
            <w:hideMark/>
          </w:tcPr>
          <w:p w14:paraId="44F46B6B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6FC9BA7A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2903D14F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12818843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10.1038/nmeth.3317</w:t>
            </w:r>
          </w:p>
        </w:tc>
        <w:tc>
          <w:tcPr>
            <w:tcW w:w="0" w:type="auto"/>
            <w:hideMark/>
          </w:tcPr>
          <w:p w14:paraId="0E552D89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74C0A746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1DDE25B6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RNA-seq alignment tool; no social/ethical dimension.</w:t>
            </w:r>
          </w:p>
        </w:tc>
      </w:tr>
      <w:tr w:rsidR="007E2F08" w:rsidRPr="004E5E59" w14:paraId="5358DEBB" w14:textId="77777777" w:rsidTr="004E5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65EC54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Tamura, K. (2021)</w:t>
            </w:r>
          </w:p>
        </w:tc>
        <w:tc>
          <w:tcPr>
            <w:tcW w:w="0" w:type="auto"/>
            <w:hideMark/>
          </w:tcPr>
          <w:p w14:paraId="10285F02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MEGA11: Molecular Evolutionary Genetics Analysis Version 11.</w:t>
            </w:r>
          </w:p>
        </w:tc>
        <w:tc>
          <w:tcPr>
            <w:tcW w:w="0" w:type="auto"/>
            <w:hideMark/>
          </w:tcPr>
          <w:p w14:paraId="77D19961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3EF60D48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0068647E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3FE3E760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10.1093/</w:t>
            </w: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molbev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/msab120</w:t>
            </w:r>
          </w:p>
        </w:tc>
        <w:tc>
          <w:tcPr>
            <w:tcW w:w="0" w:type="auto"/>
            <w:hideMark/>
          </w:tcPr>
          <w:p w14:paraId="25303129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44DAA73E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134EDBF4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Evolutionary genetics software update; irrelevant.</w:t>
            </w:r>
          </w:p>
        </w:tc>
      </w:tr>
      <w:tr w:rsidR="007E2F08" w:rsidRPr="004E5E59" w14:paraId="645E4017" w14:textId="77777777" w:rsidTr="004E5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658387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Silver, D. (2016)</w:t>
            </w:r>
          </w:p>
        </w:tc>
        <w:tc>
          <w:tcPr>
            <w:tcW w:w="0" w:type="auto"/>
            <w:hideMark/>
          </w:tcPr>
          <w:p w14:paraId="3873927B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Mastering the game of Go with deep neural networks and tree search.</w:t>
            </w:r>
          </w:p>
        </w:tc>
        <w:tc>
          <w:tcPr>
            <w:tcW w:w="0" w:type="auto"/>
            <w:hideMark/>
          </w:tcPr>
          <w:p w14:paraId="44C75A9D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2EEC2263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33EFF247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172E5E1E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10.1038/nature16961</w:t>
            </w:r>
          </w:p>
        </w:tc>
        <w:tc>
          <w:tcPr>
            <w:tcW w:w="0" w:type="auto"/>
            <w:hideMark/>
          </w:tcPr>
          <w:p w14:paraId="68DD73F2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12B5FCF5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6AB60803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AlphaGo paper; technical AI, no education/ethics focus.</w:t>
            </w:r>
          </w:p>
        </w:tc>
      </w:tr>
      <w:tr w:rsidR="007E2F08" w:rsidRPr="004E5E59" w14:paraId="122B94C0" w14:textId="77777777" w:rsidTr="004E5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CDACD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Kalyaanamoorthy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, S. (2017)</w:t>
            </w:r>
          </w:p>
        </w:tc>
        <w:tc>
          <w:tcPr>
            <w:tcW w:w="0" w:type="auto"/>
            <w:hideMark/>
          </w:tcPr>
          <w:p w14:paraId="036D7374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ModelFinder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: Fast model selection for accurate phylogenetic estimates.</w:t>
            </w:r>
          </w:p>
        </w:tc>
        <w:tc>
          <w:tcPr>
            <w:tcW w:w="0" w:type="auto"/>
            <w:hideMark/>
          </w:tcPr>
          <w:p w14:paraId="18F2E277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38E6A0FC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02BAAE68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4EC16A80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10.1038/nmeth.4285</w:t>
            </w:r>
          </w:p>
        </w:tc>
        <w:tc>
          <w:tcPr>
            <w:tcW w:w="0" w:type="auto"/>
            <w:hideMark/>
          </w:tcPr>
          <w:p w14:paraId="6D1F9C79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70C2B4FB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78A5F817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Phylogenetic model selection; irrelevant.</w:t>
            </w:r>
          </w:p>
        </w:tc>
      </w:tr>
      <w:tr w:rsidR="007E2F08" w:rsidRPr="004E5E59" w14:paraId="3BBAC244" w14:textId="77777777" w:rsidTr="004E5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F6501C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Raissi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, M. (2019)</w:t>
            </w:r>
          </w:p>
        </w:tc>
        <w:tc>
          <w:tcPr>
            <w:tcW w:w="0" w:type="auto"/>
            <w:hideMark/>
          </w:tcPr>
          <w:p w14:paraId="006C0B28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Physics-informed neural networks: A deep learning framework for solving forward and inverse problems...</w:t>
            </w:r>
          </w:p>
        </w:tc>
        <w:tc>
          <w:tcPr>
            <w:tcW w:w="0" w:type="auto"/>
            <w:hideMark/>
          </w:tcPr>
          <w:p w14:paraId="4BF4ADDC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04BEB0D6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2292AD81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7016E455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10.1016/j.jcp.2018.10.045</w:t>
            </w:r>
          </w:p>
        </w:tc>
        <w:tc>
          <w:tcPr>
            <w:tcW w:w="0" w:type="auto"/>
            <w:hideMark/>
          </w:tcPr>
          <w:p w14:paraId="3942931B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4A1240F5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3952E227" w14:textId="77777777" w:rsidR="007E2F08" w:rsidRPr="004E5E59" w:rsidRDefault="007E2F08" w:rsidP="004E5E59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PINNs for PDEs; technical ML, no ethics.</w:t>
            </w:r>
          </w:p>
        </w:tc>
      </w:tr>
      <w:tr w:rsidR="007E2F08" w:rsidRPr="004E5E59" w14:paraId="49246251" w14:textId="77777777" w:rsidTr="004E5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6BB8B37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Goodfellow, I. (2020)</w:t>
            </w:r>
          </w:p>
        </w:tc>
        <w:tc>
          <w:tcPr>
            <w:tcW w:w="0" w:type="auto"/>
            <w:hideMark/>
          </w:tcPr>
          <w:p w14:paraId="63D86EA8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Generative adversarial networks.</w:t>
            </w:r>
          </w:p>
        </w:tc>
        <w:tc>
          <w:tcPr>
            <w:tcW w:w="0" w:type="auto"/>
            <w:hideMark/>
          </w:tcPr>
          <w:p w14:paraId="011A0D49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5F7C4C5C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3E8A5105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5B530BD3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10.1145/3422622</w:t>
            </w:r>
          </w:p>
        </w:tc>
        <w:tc>
          <w:tcPr>
            <w:tcW w:w="0" w:type="auto"/>
            <w:hideMark/>
          </w:tcPr>
          <w:p w14:paraId="1BF983C8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Exclude</w:t>
            </w:r>
          </w:p>
        </w:tc>
        <w:tc>
          <w:tcPr>
            <w:tcW w:w="0" w:type="auto"/>
            <w:hideMark/>
          </w:tcPr>
          <w:p w14:paraId="4E41593C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TECH-APP</w:t>
            </w:r>
          </w:p>
        </w:tc>
        <w:tc>
          <w:tcPr>
            <w:tcW w:w="0" w:type="auto"/>
            <w:hideMark/>
          </w:tcPr>
          <w:p w14:paraId="3C093ADF" w14:textId="77777777" w:rsidR="007E2F08" w:rsidRPr="004E5E59" w:rsidRDefault="007E2F08" w:rsidP="004E5E59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GANs overview; foundational technical paper.</w:t>
            </w:r>
          </w:p>
        </w:tc>
      </w:tr>
    </w:tbl>
    <w:p w14:paraId="13DC8715" w14:textId="77777777" w:rsidR="007E2F08" w:rsidRPr="004E5E59" w:rsidRDefault="007E2F08" w:rsidP="007E2F08">
      <w:pPr>
        <w:shd w:val="clear" w:color="auto" w:fill="FFFFFF"/>
        <w:spacing w:before="240" w:after="240" w:line="420" w:lineRule="atLeast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 w:rsidRPr="004E5E59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Reason Code Description for Excluded Studies:</w:t>
      </w:r>
    </w:p>
    <w:p w14:paraId="0E36F950" w14:textId="77777777" w:rsidR="007E2F08" w:rsidRPr="004E5E59" w:rsidRDefault="007E2F08" w:rsidP="00C30AF7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0" w:line="420" w:lineRule="atLeast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 w:rsidRPr="004E5E59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TECH-APP:</w:t>
      </w:r>
      <w:r w:rsidRPr="004E5E59">
        <w:rPr>
          <w:rFonts w:asciiTheme="majorBidi" w:eastAsia="Times New Roman" w:hAnsiTheme="majorBidi" w:cstheme="majorBidi"/>
          <w:color w:val="0F1115"/>
          <w:sz w:val="20"/>
          <w:szCs w:val="20"/>
        </w:rPr>
        <w:t xml:space="preserve"> The study focuses purely on the technical development or application of a machine learning/deep learning model for a specific task (e.g., classification, prediction, detection). It does not address AI ethics, epistemic justice, geopolitical asymmetries, educational governance, or critical sociotechnical analysis. </w:t>
      </w:r>
      <w:r w:rsidRPr="004E5E59">
        <w:rPr>
          <w:rStyle w:val="Emphasis"/>
          <w:rFonts w:asciiTheme="majorBidi" w:hAnsiTheme="majorBidi" w:cstheme="majorBidi"/>
          <w:color w:val="0F1115"/>
          <w:sz w:val="20"/>
          <w:szCs w:val="20"/>
          <w:shd w:val="clear" w:color="auto" w:fill="FFFFFF"/>
        </w:rPr>
        <w:t>Complete list of 529 excluded studies available upon request.</w:t>
      </w:r>
    </w:p>
    <w:p w14:paraId="6E072CE1" w14:textId="551B0E54" w:rsidR="007E2F08" w:rsidRPr="004E5E59" w:rsidRDefault="002E153B" w:rsidP="007E2F08">
      <w:pPr>
        <w:pStyle w:val="Heading2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Table SM</w:t>
      </w:r>
      <w:r w:rsidR="00A33D94">
        <w:rPr>
          <w:rFonts w:eastAsia="Times New Roman"/>
          <w:sz w:val="20"/>
          <w:szCs w:val="20"/>
        </w:rPr>
        <w:t>5</w:t>
      </w:r>
      <w:r>
        <w:rPr>
          <w:rFonts w:eastAsia="Times New Roman"/>
          <w:sz w:val="20"/>
          <w:szCs w:val="20"/>
        </w:rPr>
        <w:t>.</w:t>
      </w:r>
      <w:r w:rsidR="00A33D94">
        <w:rPr>
          <w:rFonts w:eastAsia="Times New Roman"/>
          <w:sz w:val="20"/>
          <w:szCs w:val="20"/>
        </w:rPr>
        <w:t>02</w:t>
      </w:r>
      <w:r w:rsidR="007E2F08" w:rsidRPr="004E5E59">
        <w:rPr>
          <w:rFonts w:eastAsia="Times New Roman"/>
          <w:sz w:val="20"/>
          <w:szCs w:val="20"/>
        </w:rPr>
        <w:t xml:space="preserve">: </w:t>
      </w:r>
      <w:r w:rsidR="004E5E59">
        <w:rPr>
          <w:rFonts w:eastAsia="Times New Roman"/>
          <w:sz w:val="20"/>
          <w:szCs w:val="20"/>
        </w:rPr>
        <w:t xml:space="preserve">Sample </w:t>
      </w:r>
      <w:r w:rsidR="007E2F08" w:rsidRPr="004E5E59">
        <w:rPr>
          <w:rFonts w:eastAsia="Times New Roman"/>
          <w:sz w:val="20"/>
          <w:szCs w:val="20"/>
        </w:rPr>
        <w:t>Included Studies (Able to Answer RQs 1, 2, and/or 3)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8"/>
        <w:gridCol w:w="1218"/>
        <w:gridCol w:w="483"/>
        <w:gridCol w:w="483"/>
        <w:gridCol w:w="483"/>
        <w:gridCol w:w="2437"/>
        <w:gridCol w:w="679"/>
        <w:gridCol w:w="1134"/>
        <w:gridCol w:w="1415"/>
      </w:tblGrid>
      <w:tr w:rsidR="007E2F08" w:rsidRPr="004E5E59" w14:paraId="2DF5415A" w14:textId="77777777" w:rsidTr="004E5E59">
        <w:tc>
          <w:tcPr>
            <w:tcW w:w="0" w:type="auto"/>
            <w:hideMark/>
          </w:tcPr>
          <w:p w14:paraId="2451A422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Author (Year)</w:t>
            </w:r>
          </w:p>
        </w:tc>
        <w:tc>
          <w:tcPr>
            <w:tcW w:w="0" w:type="auto"/>
            <w:hideMark/>
          </w:tcPr>
          <w:p w14:paraId="6B127182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Title</w:t>
            </w:r>
          </w:p>
        </w:tc>
        <w:tc>
          <w:tcPr>
            <w:tcW w:w="0" w:type="auto"/>
            <w:hideMark/>
          </w:tcPr>
          <w:p w14:paraId="3D997B2B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RQ1</w:t>
            </w:r>
          </w:p>
        </w:tc>
        <w:tc>
          <w:tcPr>
            <w:tcW w:w="0" w:type="auto"/>
            <w:hideMark/>
          </w:tcPr>
          <w:p w14:paraId="4416ECAC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RQ2</w:t>
            </w:r>
          </w:p>
        </w:tc>
        <w:tc>
          <w:tcPr>
            <w:tcW w:w="0" w:type="auto"/>
            <w:hideMark/>
          </w:tcPr>
          <w:p w14:paraId="3E826A56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RQ3</w:t>
            </w:r>
          </w:p>
        </w:tc>
        <w:tc>
          <w:tcPr>
            <w:tcW w:w="0" w:type="auto"/>
            <w:hideMark/>
          </w:tcPr>
          <w:p w14:paraId="2C3635A4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DOI</w:t>
            </w:r>
          </w:p>
        </w:tc>
        <w:tc>
          <w:tcPr>
            <w:tcW w:w="0" w:type="auto"/>
            <w:hideMark/>
          </w:tcPr>
          <w:p w14:paraId="36B4AA99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Include / Exclude</w:t>
            </w:r>
          </w:p>
        </w:tc>
        <w:tc>
          <w:tcPr>
            <w:tcW w:w="0" w:type="auto"/>
            <w:hideMark/>
          </w:tcPr>
          <w:p w14:paraId="4C017723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Reason Code</w:t>
            </w:r>
          </w:p>
        </w:tc>
        <w:tc>
          <w:tcPr>
            <w:tcW w:w="0" w:type="auto"/>
            <w:hideMark/>
          </w:tcPr>
          <w:p w14:paraId="6F446576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Reason Description</w:t>
            </w:r>
          </w:p>
        </w:tc>
      </w:tr>
      <w:tr w:rsidR="007E2F08" w:rsidRPr="004E5E59" w14:paraId="5F54FD87" w14:textId="77777777" w:rsidTr="004E5E59">
        <w:tc>
          <w:tcPr>
            <w:tcW w:w="0" w:type="auto"/>
            <w:hideMark/>
          </w:tcPr>
          <w:p w14:paraId="34D8D94F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Abu-</w:t>
            </w: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Lughod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, L. (2025)</w:t>
            </w:r>
          </w:p>
        </w:tc>
        <w:tc>
          <w:tcPr>
            <w:tcW w:w="0" w:type="auto"/>
            <w:hideMark/>
          </w:tcPr>
          <w:p w14:paraId="7E158DB4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From the Politics of Representation to the Ethics of Decolonization.</w:t>
            </w:r>
          </w:p>
        </w:tc>
        <w:tc>
          <w:tcPr>
            <w:tcW w:w="0" w:type="auto"/>
            <w:hideMark/>
          </w:tcPr>
          <w:p w14:paraId="1BEA22B6" w14:textId="56C8D7E1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00425E63" w14:textId="3A47012F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0D2BAD45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5FA2F779" w14:textId="77777777" w:rsidR="007E2F08" w:rsidRPr="004E5E59" w:rsidRDefault="00BC2D9B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hyperlink r:id="rId6" w:tgtFrame="_blank" w:history="1">
              <w:r w:rsidR="007E2F08" w:rsidRPr="004E5E59">
                <w:rPr>
                  <w:rFonts w:asciiTheme="majorBidi" w:eastAsia="Times New Roman" w:hAnsiTheme="majorBidi" w:cstheme="majorBidi"/>
                  <w:color w:val="3964FE"/>
                  <w:sz w:val="20"/>
                  <w:szCs w:val="20"/>
                  <w:bdr w:val="single" w:sz="12" w:space="0" w:color="auto" w:frame="1"/>
                </w:rPr>
                <w:t>https://www.jstor.org/stable/48820595</w:t>
              </w:r>
            </w:hyperlink>
          </w:p>
        </w:tc>
        <w:tc>
          <w:tcPr>
            <w:tcW w:w="0" w:type="auto"/>
            <w:hideMark/>
          </w:tcPr>
          <w:p w14:paraId="09FCC926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Include</w:t>
            </w:r>
          </w:p>
        </w:tc>
        <w:tc>
          <w:tcPr>
            <w:tcW w:w="0" w:type="auto"/>
            <w:hideMark/>
          </w:tcPr>
          <w:p w14:paraId="41BD6616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DECOL</w:t>
            </w:r>
          </w:p>
        </w:tc>
        <w:tc>
          <w:tcPr>
            <w:tcW w:w="0" w:type="auto"/>
            <w:hideMark/>
          </w:tcPr>
          <w:p w14:paraId="1A022513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Provides foundational theory for RQ2 on epistemic disobedience and decolonizing ethics.</w:t>
            </w:r>
          </w:p>
        </w:tc>
      </w:tr>
      <w:tr w:rsidR="007E2F08" w:rsidRPr="004E5E59" w14:paraId="21C24D37" w14:textId="77777777" w:rsidTr="004E5E59">
        <w:tc>
          <w:tcPr>
            <w:tcW w:w="0" w:type="auto"/>
            <w:hideMark/>
          </w:tcPr>
          <w:p w14:paraId="5A8F03A6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Adams, C., et al. (2023)</w:t>
            </w:r>
          </w:p>
        </w:tc>
        <w:tc>
          <w:tcPr>
            <w:tcW w:w="0" w:type="auto"/>
            <w:hideMark/>
          </w:tcPr>
          <w:p w14:paraId="3B8BEED1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Ethical principles for artificial intelligence in K-12 education.</w:t>
            </w:r>
          </w:p>
        </w:tc>
        <w:tc>
          <w:tcPr>
            <w:tcW w:w="0" w:type="auto"/>
            <w:hideMark/>
          </w:tcPr>
          <w:p w14:paraId="025596E7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288AE0A1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72D8499E" w14:textId="52CCB386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6E8D2E07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10.1016/j.caeai.2023.100131</w:t>
            </w:r>
          </w:p>
        </w:tc>
        <w:tc>
          <w:tcPr>
            <w:tcW w:w="0" w:type="auto"/>
            <w:hideMark/>
          </w:tcPr>
          <w:p w14:paraId="392BB7A8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Include</w:t>
            </w:r>
          </w:p>
        </w:tc>
        <w:tc>
          <w:tcPr>
            <w:tcW w:w="0" w:type="auto"/>
            <w:hideMark/>
          </w:tcPr>
          <w:p w14:paraId="5D317E46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GOV</w:t>
            </w:r>
          </w:p>
        </w:tc>
        <w:tc>
          <w:tcPr>
            <w:tcW w:w="0" w:type="auto"/>
            <w:hideMark/>
          </w:tcPr>
          <w:p w14:paraId="4EC61FE4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Proposes principles for AI ethics in education, directly relevant to RQ3 on governance models.</w:t>
            </w:r>
          </w:p>
        </w:tc>
      </w:tr>
      <w:tr w:rsidR="007E2F08" w:rsidRPr="004E5E59" w14:paraId="34E33BBD" w14:textId="77777777" w:rsidTr="004E5E59">
        <w:tc>
          <w:tcPr>
            <w:tcW w:w="0" w:type="auto"/>
            <w:hideMark/>
          </w:tcPr>
          <w:p w14:paraId="3618F339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Ammah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, L. N. A., et al. (2024)</w:t>
            </w:r>
          </w:p>
        </w:tc>
        <w:tc>
          <w:tcPr>
            <w:tcW w:w="0" w:type="auto"/>
            <w:hideMark/>
          </w:tcPr>
          <w:p w14:paraId="7637AD0B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AI4people − an ethical framework for a good AI society: the Ghana (Ga) perspective.</w:t>
            </w:r>
          </w:p>
        </w:tc>
        <w:tc>
          <w:tcPr>
            <w:tcW w:w="0" w:type="auto"/>
            <w:hideMark/>
          </w:tcPr>
          <w:p w14:paraId="50F668F2" w14:textId="08A9C83C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1824DFC3" w14:textId="083A63D9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59A8F921" w14:textId="1D774A60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426A5728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10.1108/JICES-06-2024-0072</w:t>
            </w:r>
          </w:p>
        </w:tc>
        <w:tc>
          <w:tcPr>
            <w:tcW w:w="0" w:type="auto"/>
            <w:hideMark/>
          </w:tcPr>
          <w:p w14:paraId="049E7027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Include</w:t>
            </w:r>
          </w:p>
        </w:tc>
        <w:tc>
          <w:tcPr>
            <w:tcW w:w="0" w:type="auto"/>
            <w:hideMark/>
          </w:tcPr>
          <w:p w14:paraId="4D413AB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PLURI</w:t>
            </w:r>
          </w:p>
        </w:tc>
        <w:tc>
          <w:tcPr>
            <w:tcW w:w="0" w:type="auto"/>
            <w:hideMark/>
          </w:tcPr>
          <w:p w14:paraId="5A777C2A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Operationalizes non-universal (Ga) perspective, addressing RQ1's critique of universalism and RQ2's </w:t>
            </w: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pluriversality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</w:p>
        </w:tc>
      </w:tr>
      <w:tr w:rsidR="007E2F08" w:rsidRPr="004E5E59" w14:paraId="79C367E8" w14:textId="77777777" w:rsidTr="004E5E59">
        <w:tc>
          <w:tcPr>
            <w:tcW w:w="0" w:type="auto"/>
            <w:hideMark/>
          </w:tcPr>
          <w:p w14:paraId="0C778B65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Arora, A., et al. (2023)</w:t>
            </w:r>
          </w:p>
        </w:tc>
        <w:tc>
          <w:tcPr>
            <w:tcW w:w="0" w:type="auto"/>
            <w:hideMark/>
          </w:tcPr>
          <w:p w14:paraId="612B4AFA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Risk and the future of AI: Algorithmic bias, data colonialism, </w:t>
            </w: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and marginalization.</w:t>
            </w:r>
          </w:p>
        </w:tc>
        <w:tc>
          <w:tcPr>
            <w:tcW w:w="0" w:type="auto"/>
            <w:hideMark/>
          </w:tcPr>
          <w:p w14:paraId="54E835E1" w14:textId="6615889F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lastRenderedPageBreak/>
              <w:t>✔</w:t>
            </w:r>
          </w:p>
        </w:tc>
        <w:tc>
          <w:tcPr>
            <w:tcW w:w="0" w:type="auto"/>
            <w:hideMark/>
          </w:tcPr>
          <w:p w14:paraId="6B67E981" w14:textId="6F1273FE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0C75E1D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2166B99F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10.1016/j.infoandorg.2023.100478</w:t>
            </w:r>
          </w:p>
        </w:tc>
        <w:tc>
          <w:tcPr>
            <w:tcW w:w="0" w:type="auto"/>
            <w:hideMark/>
          </w:tcPr>
          <w:p w14:paraId="7CEBD689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Include</w:t>
            </w:r>
          </w:p>
        </w:tc>
        <w:tc>
          <w:tcPr>
            <w:tcW w:w="0" w:type="auto"/>
            <w:hideMark/>
          </w:tcPr>
          <w:p w14:paraId="7E92346F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COL-MECH</w:t>
            </w:r>
          </w:p>
        </w:tc>
        <w:tc>
          <w:tcPr>
            <w:tcW w:w="0" w:type="auto"/>
            <w:hideMark/>
          </w:tcPr>
          <w:p w14:paraId="49F29177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Directly analyzes data colonialism (RQ1 mechanism) and </w:t>
            </w: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marginalization.</w:t>
            </w:r>
          </w:p>
        </w:tc>
      </w:tr>
      <w:tr w:rsidR="007E2F08" w:rsidRPr="004E5E59" w14:paraId="5516E6F8" w14:textId="77777777" w:rsidTr="004E5E59">
        <w:tc>
          <w:tcPr>
            <w:tcW w:w="0" w:type="auto"/>
            <w:hideMark/>
          </w:tcPr>
          <w:p w14:paraId="58761BC7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Bannor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, G. A., et al. (2025)</w:t>
            </w:r>
          </w:p>
        </w:tc>
        <w:tc>
          <w:tcPr>
            <w:tcW w:w="0" w:type="auto"/>
            <w:hideMark/>
          </w:tcPr>
          <w:p w14:paraId="46147BBB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Effects of ethics, regulations, and training regarding responsible AI use on continued use intentions...</w:t>
            </w:r>
          </w:p>
        </w:tc>
        <w:tc>
          <w:tcPr>
            <w:tcW w:w="0" w:type="auto"/>
            <w:hideMark/>
          </w:tcPr>
          <w:p w14:paraId="1ADB97F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7562A3B1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642EB4E2" w14:textId="2FAC14E2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6EDE3E68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10.1007/s43681-025-00755-z</w:t>
            </w:r>
          </w:p>
        </w:tc>
        <w:tc>
          <w:tcPr>
            <w:tcW w:w="0" w:type="auto"/>
            <w:hideMark/>
          </w:tcPr>
          <w:p w14:paraId="5F0D02BB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Include</w:t>
            </w:r>
          </w:p>
        </w:tc>
        <w:tc>
          <w:tcPr>
            <w:tcW w:w="0" w:type="auto"/>
            <w:hideMark/>
          </w:tcPr>
          <w:p w14:paraId="112EAFF4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GOV</w:t>
            </w:r>
          </w:p>
        </w:tc>
        <w:tc>
          <w:tcPr>
            <w:tcW w:w="0" w:type="auto"/>
            <w:hideMark/>
          </w:tcPr>
          <w:p w14:paraId="4720EC52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Focuses on governance (regulations, training) for responsible AI, relevant to RQ3.</w:t>
            </w:r>
          </w:p>
        </w:tc>
      </w:tr>
      <w:tr w:rsidR="007E2F08" w:rsidRPr="004E5E59" w14:paraId="21F12C62" w14:textId="77777777" w:rsidTr="004E5E59">
        <w:tc>
          <w:tcPr>
            <w:tcW w:w="0" w:type="auto"/>
            <w:hideMark/>
          </w:tcPr>
          <w:p w14:paraId="6AA7A87C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Chauncey, S. A., &amp; McKenna, H. P. (2023)</w:t>
            </w:r>
          </w:p>
        </w:tc>
        <w:tc>
          <w:tcPr>
            <w:tcW w:w="0" w:type="auto"/>
            <w:hideMark/>
          </w:tcPr>
          <w:p w14:paraId="3CF78892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 framework and exemplars for ethical and responsible use of AI Chatbot technology to support teaching and learning.</w:t>
            </w:r>
          </w:p>
        </w:tc>
        <w:tc>
          <w:tcPr>
            <w:tcW w:w="0" w:type="auto"/>
            <w:hideMark/>
          </w:tcPr>
          <w:p w14:paraId="7F3F159D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322D1A4D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0756D5F7" w14:textId="4CE018FE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295B1DFA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10.1016/j.caeai.2023.100182</w:t>
            </w:r>
          </w:p>
        </w:tc>
        <w:tc>
          <w:tcPr>
            <w:tcW w:w="0" w:type="auto"/>
            <w:hideMark/>
          </w:tcPr>
          <w:p w14:paraId="2799D0F8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Include</w:t>
            </w:r>
          </w:p>
        </w:tc>
        <w:tc>
          <w:tcPr>
            <w:tcW w:w="0" w:type="auto"/>
            <w:hideMark/>
          </w:tcPr>
          <w:p w14:paraId="52F28911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GOV</w:t>
            </w:r>
          </w:p>
        </w:tc>
        <w:tc>
          <w:tcPr>
            <w:tcW w:w="0" w:type="auto"/>
            <w:hideMark/>
          </w:tcPr>
          <w:p w14:paraId="3D813C40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Provides a framework for ethical use, contributing to RQ3's constructive dimension.</w:t>
            </w:r>
          </w:p>
        </w:tc>
      </w:tr>
      <w:tr w:rsidR="007E2F08" w:rsidRPr="004E5E59" w14:paraId="5D235D24" w14:textId="77777777" w:rsidTr="004E5E59">
        <w:tc>
          <w:tcPr>
            <w:tcW w:w="0" w:type="auto"/>
            <w:hideMark/>
          </w:tcPr>
          <w:p w14:paraId="3C4069D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Gondwe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, G. (2024)</w:t>
            </w:r>
          </w:p>
        </w:tc>
        <w:tc>
          <w:tcPr>
            <w:tcW w:w="0" w:type="auto"/>
            <w:hideMark/>
          </w:tcPr>
          <w:p w14:paraId="0E2A4151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Artificial Intelligence, Journalism, and the Ubuntu Robot in Sub-</w:t>
            </w: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Saharan Africa: Towards a Normative Framework.</w:t>
            </w:r>
          </w:p>
        </w:tc>
        <w:tc>
          <w:tcPr>
            <w:tcW w:w="0" w:type="auto"/>
            <w:hideMark/>
          </w:tcPr>
          <w:p w14:paraId="061887D6" w14:textId="42447535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lastRenderedPageBreak/>
              <w:t>✔</w:t>
            </w:r>
          </w:p>
        </w:tc>
        <w:tc>
          <w:tcPr>
            <w:tcW w:w="0" w:type="auto"/>
            <w:hideMark/>
          </w:tcPr>
          <w:p w14:paraId="761FD430" w14:textId="622965B0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3E1C1F29" w14:textId="47DAA700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57E44D1F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10.1080/21670811.2024.2311258</w:t>
            </w:r>
          </w:p>
        </w:tc>
        <w:tc>
          <w:tcPr>
            <w:tcW w:w="0" w:type="auto"/>
            <w:hideMark/>
          </w:tcPr>
          <w:p w14:paraId="6C6F874F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Include</w:t>
            </w:r>
          </w:p>
        </w:tc>
        <w:tc>
          <w:tcPr>
            <w:tcW w:w="0" w:type="auto"/>
            <w:hideMark/>
          </w:tcPr>
          <w:p w14:paraId="0DA6D4D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PLURI</w:t>
            </w:r>
          </w:p>
        </w:tc>
        <w:tc>
          <w:tcPr>
            <w:tcW w:w="0" w:type="auto"/>
            <w:hideMark/>
          </w:tcPr>
          <w:p w14:paraId="5441032B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Embodies RQ2 through Ubuntu ethics, critiques universalism (RQ1), and builds a </w:t>
            </w: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framework (RQ3).</w:t>
            </w:r>
          </w:p>
        </w:tc>
      </w:tr>
      <w:tr w:rsidR="007E2F08" w:rsidRPr="004E5E59" w14:paraId="176EFFCD" w14:textId="77777777" w:rsidTr="004E5E59">
        <w:tc>
          <w:tcPr>
            <w:tcW w:w="0" w:type="auto"/>
            <w:hideMark/>
          </w:tcPr>
          <w:p w14:paraId="30B903B9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Hassan, Y. (2023)</w:t>
            </w:r>
          </w:p>
        </w:tc>
        <w:tc>
          <w:tcPr>
            <w:tcW w:w="0" w:type="auto"/>
            <w:hideMark/>
          </w:tcPr>
          <w:p w14:paraId="44D09B49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Governing algorithms from the South: a case study of AI development in Africa.</w:t>
            </w:r>
          </w:p>
        </w:tc>
        <w:tc>
          <w:tcPr>
            <w:tcW w:w="0" w:type="auto"/>
            <w:hideMark/>
          </w:tcPr>
          <w:p w14:paraId="11E21983" w14:textId="4725C7DD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29F96FD6" w14:textId="09455BFD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614435E3" w14:textId="5F3F7158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10D43AC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10.1007/s00146-022-01527-7</w:t>
            </w:r>
          </w:p>
        </w:tc>
        <w:tc>
          <w:tcPr>
            <w:tcW w:w="0" w:type="auto"/>
            <w:hideMark/>
          </w:tcPr>
          <w:p w14:paraId="38E0B58C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Include</w:t>
            </w:r>
          </w:p>
        </w:tc>
        <w:tc>
          <w:tcPr>
            <w:tcW w:w="0" w:type="auto"/>
            <w:hideMark/>
          </w:tcPr>
          <w:p w14:paraId="1FA184F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GLOCAL</w:t>
            </w:r>
          </w:p>
        </w:tc>
        <w:tc>
          <w:tcPr>
            <w:tcW w:w="0" w:type="auto"/>
            <w:hideMark/>
          </w:tcPr>
          <w:p w14:paraId="1277C28B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Case study on Southern governance, addressing RQ1 asymmetries, RQ2 local practices, and RQ3 glocalization.</w:t>
            </w:r>
          </w:p>
        </w:tc>
      </w:tr>
      <w:tr w:rsidR="007E2F08" w:rsidRPr="004E5E59" w14:paraId="29768615" w14:textId="77777777" w:rsidTr="004E5E59">
        <w:tc>
          <w:tcPr>
            <w:tcW w:w="0" w:type="auto"/>
            <w:hideMark/>
          </w:tcPr>
          <w:p w14:paraId="185822E2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Heeks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, R. (2022)</w:t>
            </w:r>
          </w:p>
        </w:tc>
        <w:tc>
          <w:tcPr>
            <w:tcW w:w="0" w:type="auto"/>
            <w:hideMark/>
          </w:tcPr>
          <w:p w14:paraId="083EEF8D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Digital inequality beyond the digital divide: conceptualizing adverse digital incorporation in the global South.</w:t>
            </w:r>
          </w:p>
        </w:tc>
        <w:tc>
          <w:tcPr>
            <w:tcW w:w="0" w:type="auto"/>
            <w:hideMark/>
          </w:tcPr>
          <w:p w14:paraId="7178B795" w14:textId="415BBC0A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3F27B448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713C1062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284D84D3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10.1080/02681102.2022.2068492</w:t>
            </w:r>
          </w:p>
        </w:tc>
        <w:tc>
          <w:tcPr>
            <w:tcW w:w="0" w:type="auto"/>
            <w:hideMark/>
          </w:tcPr>
          <w:p w14:paraId="40ED6AF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Include</w:t>
            </w:r>
          </w:p>
        </w:tc>
        <w:tc>
          <w:tcPr>
            <w:tcW w:w="0" w:type="auto"/>
            <w:hideMark/>
          </w:tcPr>
          <w:p w14:paraId="6F2E7207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COL-MECH</w:t>
            </w:r>
          </w:p>
        </w:tc>
        <w:tc>
          <w:tcPr>
            <w:tcW w:w="0" w:type="auto"/>
            <w:hideMark/>
          </w:tcPr>
          <w:p w14:paraId="63D97BFD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Provides a key mechanism (adverse incorporation) for understanding RQ1's asymmetries.</w:t>
            </w:r>
          </w:p>
        </w:tc>
      </w:tr>
      <w:tr w:rsidR="007E2F08" w:rsidRPr="004E5E59" w14:paraId="34309F60" w14:textId="77777777" w:rsidTr="004E5E59">
        <w:tc>
          <w:tcPr>
            <w:tcW w:w="0" w:type="auto"/>
            <w:hideMark/>
          </w:tcPr>
          <w:p w14:paraId="4302A00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Henadirage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, A., &amp; </w:t>
            </w: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Gunarathne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, N. (2025)</w:t>
            </w:r>
          </w:p>
        </w:tc>
        <w:tc>
          <w:tcPr>
            <w:tcW w:w="0" w:type="auto"/>
            <w:hideMark/>
          </w:tcPr>
          <w:p w14:paraId="56C31D6A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Barriers to and Opportunities for the Adoption of Generative </w:t>
            </w: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Artificial Intelligence in Higher Education in the Global South...</w:t>
            </w:r>
          </w:p>
        </w:tc>
        <w:tc>
          <w:tcPr>
            <w:tcW w:w="0" w:type="auto"/>
            <w:hideMark/>
          </w:tcPr>
          <w:p w14:paraId="164C4DAB" w14:textId="61748C93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lastRenderedPageBreak/>
              <w:t>✔</w:t>
            </w:r>
          </w:p>
        </w:tc>
        <w:tc>
          <w:tcPr>
            <w:tcW w:w="0" w:type="auto"/>
            <w:hideMark/>
          </w:tcPr>
          <w:p w14:paraId="084C4AA7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71D89E9D" w14:textId="281144AE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1E49E4D9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10.1007/s40593-024-00439-5</w:t>
            </w:r>
          </w:p>
        </w:tc>
        <w:tc>
          <w:tcPr>
            <w:tcW w:w="0" w:type="auto"/>
            <w:hideMark/>
          </w:tcPr>
          <w:p w14:paraId="13DD1D65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Include</w:t>
            </w:r>
          </w:p>
        </w:tc>
        <w:tc>
          <w:tcPr>
            <w:tcW w:w="0" w:type="auto"/>
            <w:hideMark/>
          </w:tcPr>
          <w:p w14:paraId="24BD66E3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GLOCAL</w:t>
            </w:r>
          </w:p>
        </w:tc>
        <w:tc>
          <w:tcPr>
            <w:tcW w:w="0" w:type="auto"/>
            <w:hideMark/>
          </w:tcPr>
          <w:p w14:paraId="1120D8FA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Analyzes Global South barriers (RQ1) and opportunities for </w:t>
            </w: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glocalized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adoption (RQ3).</w:t>
            </w:r>
          </w:p>
        </w:tc>
      </w:tr>
      <w:tr w:rsidR="007E2F08" w:rsidRPr="004E5E59" w14:paraId="25528121" w14:textId="77777777" w:rsidTr="004E5E59">
        <w:tc>
          <w:tcPr>
            <w:tcW w:w="0" w:type="auto"/>
            <w:hideMark/>
          </w:tcPr>
          <w:p w14:paraId="485EF453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 xml:space="preserve">Kamila, M. K., &amp; </w:t>
            </w: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Jasrotia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, S. S. (2023)</w:t>
            </w:r>
          </w:p>
        </w:tc>
        <w:tc>
          <w:tcPr>
            <w:tcW w:w="0" w:type="auto"/>
            <w:hideMark/>
          </w:tcPr>
          <w:p w14:paraId="7DCFF4C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Ethical issues in the development of artificial intelligence: recognizing the risks.</w:t>
            </w:r>
          </w:p>
        </w:tc>
        <w:tc>
          <w:tcPr>
            <w:tcW w:w="0" w:type="auto"/>
            <w:hideMark/>
          </w:tcPr>
          <w:p w14:paraId="2DEF8F2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5A54936D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79A8B3E1" w14:textId="2D999EA0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5809C588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10.1108/IJOES-05-2023-0107</w:t>
            </w:r>
          </w:p>
        </w:tc>
        <w:tc>
          <w:tcPr>
            <w:tcW w:w="0" w:type="auto"/>
            <w:hideMark/>
          </w:tcPr>
          <w:p w14:paraId="09EBE9EC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Include</w:t>
            </w:r>
          </w:p>
        </w:tc>
        <w:tc>
          <w:tcPr>
            <w:tcW w:w="0" w:type="auto"/>
            <w:hideMark/>
          </w:tcPr>
          <w:p w14:paraId="3A79AB59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PRINC-CRIT</w:t>
            </w:r>
          </w:p>
        </w:tc>
        <w:tc>
          <w:tcPr>
            <w:tcW w:w="0" w:type="auto"/>
            <w:hideMark/>
          </w:tcPr>
          <w:p w14:paraId="68AF3A0A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Recognizes risks of principle-based ethics, feeding into RQ3's critique of symbolic compliance.</w:t>
            </w:r>
          </w:p>
        </w:tc>
      </w:tr>
      <w:tr w:rsidR="007E2F08" w:rsidRPr="004E5E59" w14:paraId="6C23BFAF" w14:textId="77777777" w:rsidTr="004E5E59">
        <w:tc>
          <w:tcPr>
            <w:tcW w:w="0" w:type="auto"/>
            <w:hideMark/>
          </w:tcPr>
          <w:p w14:paraId="69308D40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Kwet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, M. (2019)</w:t>
            </w:r>
          </w:p>
        </w:tc>
        <w:tc>
          <w:tcPr>
            <w:tcW w:w="0" w:type="auto"/>
            <w:hideMark/>
          </w:tcPr>
          <w:p w14:paraId="06A7CE49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Digital colonialism: US empire and the new imperialism in the Global South.</w:t>
            </w:r>
          </w:p>
        </w:tc>
        <w:tc>
          <w:tcPr>
            <w:tcW w:w="0" w:type="auto"/>
            <w:hideMark/>
          </w:tcPr>
          <w:p w14:paraId="6EA1678F" w14:textId="03EEBB08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410EDD1F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7245D7FC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7C7BC3B2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10.1177/0306396818823172</w:t>
            </w:r>
          </w:p>
        </w:tc>
        <w:tc>
          <w:tcPr>
            <w:tcW w:w="0" w:type="auto"/>
            <w:hideMark/>
          </w:tcPr>
          <w:p w14:paraId="330F8C42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Include</w:t>
            </w:r>
          </w:p>
        </w:tc>
        <w:tc>
          <w:tcPr>
            <w:tcW w:w="0" w:type="auto"/>
            <w:hideMark/>
          </w:tcPr>
          <w:p w14:paraId="76849EE8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COL-MECH</w:t>
            </w:r>
          </w:p>
        </w:tc>
        <w:tc>
          <w:tcPr>
            <w:tcW w:w="0" w:type="auto"/>
            <w:hideMark/>
          </w:tcPr>
          <w:p w14:paraId="58D12FCD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Foundational text for understanding RQ1's coloniality as a mechanism.</w:t>
            </w:r>
          </w:p>
        </w:tc>
      </w:tr>
      <w:tr w:rsidR="007E2F08" w:rsidRPr="004E5E59" w14:paraId="7C041646" w14:textId="77777777" w:rsidTr="004E5E59">
        <w:tc>
          <w:tcPr>
            <w:tcW w:w="0" w:type="auto"/>
            <w:hideMark/>
          </w:tcPr>
          <w:p w14:paraId="327D9236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Lee, J., Hong, M., &amp; Cho, J. (2024)</w:t>
            </w:r>
          </w:p>
        </w:tc>
        <w:tc>
          <w:tcPr>
            <w:tcW w:w="0" w:type="auto"/>
            <w:hideMark/>
          </w:tcPr>
          <w:p w14:paraId="165F025A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Development of a Content Framework of Artificial Intelligence Integrated Education Considering Ethical Factors.</w:t>
            </w:r>
          </w:p>
        </w:tc>
        <w:tc>
          <w:tcPr>
            <w:tcW w:w="0" w:type="auto"/>
            <w:hideMark/>
          </w:tcPr>
          <w:p w14:paraId="55E9FD47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0CA66AA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67575F8A" w14:textId="5CFF48ED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1DF9122B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10.18517/ijaseit.14.1.19558</w:t>
            </w:r>
          </w:p>
        </w:tc>
        <w:tc>
          <w:tcPr>
            <w:tcW w:w="0" w:type="auto"/>
            <w:hideMark/>
          </w:tcPr>
          <w:p w14:paraId="773AB7B6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Include</w:t>
            </w:r>
          </w:p>
        </w:tc>
        <w:tc>
          <w:tcPr>
            <w:tcW w:w="0" w:type="auto"/>
            <w:hideMark/>
          </w:tcPr>
          <w:p w14:paraId="22A6B4E2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GOV</w:t>
            </w:r>
          </w:p>
        </w:tc>
        <w:tc>
          <w:tcPr>
            <w:tcW w:w="0" w:type="auto"/>
            <w:hideMark/>
          </w:tcPr>
          <w:p w14:paraId="70760E00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Contributes to RQ3 by developing a framework integrating ethics into educational content.</w:t>
            </w:r>
          </w:p>
        </w:tc>
      </w:tr>
      <w:tr w:rsidR="007E2F08" w:rsidRPr="004E5E59" w14:paraId="35D400F8" w14:textId="77777777" w:rsidTr="004E5E59">
        <w:tc>
          <w:tcPr>
            <w:tcW w:w="0" w:type="auto"/>
            <w:hideMark/>
          </w:tcPr>
          <w:p w14:paraId="43D77A6F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Lin, X. F., et al. (2023)</w:t>
            </w:r>
          </w:p>
        </w:tc>
        <w:tc>
          <w:tcPr>
            <w:tcW w:w="0" w:type="auto"/>
            <w:hideMark/>
          </w:tcPr>
          <w:p w14:paraId="3C80C9AB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Technological support to foster students' artificial intelligence ethics: An augmented reality-based...</w:t>
            </w:r>
          </w:p>
        </w:tc>
        <w:tc>
          <w:tcPr>
            <w:tcW w:w="0" w:type="auto"/>
            <w:hideMark/>
          </w:tcPr>
          <w:p w14:paraId="33C57AB1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3A009C69" w14:textId="5DCC1DFF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447D4641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14FD0ADA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10.1016/j.compedu.2023.104813</w:t>
            </w:r>
          </w:p>
        </w:tc>
        <w:tc>
          <w:tcPr>
            <w:tcW w:w="0" w:type="auto"/>
            <w:hideMark/>
          </w:tcPr>
          <w:p w14:paraId="4A95FB80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Include</w:t>
            </w:r>
          </w:p>
        </w:tc>
        <w:tc>
          <w:tcPr>
            <w:tcW w:w="0" w:type="auto"/>
            <w:hideMark/>
          </w:tcPr>
          <w:p w14:paraId="76DE4114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EPIST-PRAXIS</w:t>
            </w:r>
          </w:p>
        </w:tc>
        <w:tc>
          <w:tcPr>
            <w:tcW w:w="0" w:type="auto"/>
            <w:hideMark/>
          </w:tcPr>
          <w:p w14:paraId="47738577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Demonstrates an innovative pedagogical practice for AI ethics, relevant to RQ2's reconfiguration of participation.</w:t>
            </w:r>
          </w:p>
        </w:tc>
      </w:tr>
      <w:tr w:rsidR="007E2F08" w:rsidRPr="004E5E59" w14:paraId="6BC0944B" w14:textId="77777777" w:rsidTr="004E5E59">
        <w:tc>
          <w:tcPr>
            <w:tcW w:w="0" w:type="auto"/>
            <w:hideMark/>
          </w:tcPr>
          <w:p w14:paraId="213602A9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Liu, Z. (2025)</w:t>
            </w:r>
          </w:p>
        </w:tc>
        <w:tc>
          <w:tcPr>
            <w:tcW w:w="0" w:type="auto"/>
            <w:hideMark/>
          </w:tcPr>
          <w:p w14:paraId="3010DBB2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Cultural Bias in Large Language Models: A Comprehensive Analysis and Mitigation Strategies.</w:t>
            </w:r>
          </w:p>
        </w:tc>
        <w:tc>
          <w:tcPr>
            <w:tcW w:w="0" w:type="auto"/>
            <w:hideMark/>
          </w:tcPr>
          <w:p w14:paraId="11C90E63" w14:textId="0D2A52CD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6939B3D2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65B4608B" w14:textId="31E4D730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53E8ABDB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10.1515/jtc-2023-0019</w:t>
            </w:r>
          </w:p>
        </w:tc>
        <w:tc>
          <w:tcPr>
            <w:tcW w:w="0" w:type="auto"/>
            <w:hideMark/>
          </w:tcPr>
          <w:p w14:paraId="2015D7F6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Include</w:t>
            </w:r>
          </w:p>
        </w:tc>
        <w:tc>
          <w:tcPr>
            <w:tcW w:w="0" w:type="auto"/>
            <w:hideMark/>
          </w:tcPr>
          <w:p w14:paraId="010AC553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BIAS</w:t>
            </w:r>
          </w:p>
        </w:tc>
        <w:tc>
          <w:tcPr>
            <w:tcW w:w="0" w:type="auto"/>
            <w:hideMark/>
          </w:tcPr>
          <w:p w14:paraId="1540A32C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Analyzes cultural bias (RQ1) and proposes mitigation/ governance strategies (RQ3).</w:t>
            </w:r>
          </w:p>
        </w:tc>
      </w:tr>
      <w:tr w:rsidR="007E2F08" w:rsidRPr="004E5E59" w14:paraId="58B7FC84" w14:textId="77777777" w:rsidTr="004E5E59">
        <w:tc>
          <w:tcPr>
            <w:tcW w:w="0" w:type="auto"/>
            <w:hideMark/>
          </w:tcPr>
          <w:p w14:paraId="5605E743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Mager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, A., et al. (2025)</w:t>
            </w:r>
          </w:p>
        </w:tc>
        <w:tc>
          <w:tcPr>
            <w:tcW w:w="0" w:type="auto"/>
            <w:hideMark/>
          </w:tcPr>
          <w:p w14:paraId="3B85C7B0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Situated ethics: Ethical accountability of local perspectives in global AI ethics.</w:t>
            </w:r>
          </w:p>
        </w:tc>
        <w:tc>
          <w:tcPr>
            <w:tcW w:w="0" w:type="auto"/>
            <w:hideMark/>
          </w:tcPr>
          <w:p w14:paraId="164A7651" w14:textId="713B9C8D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41A9D0ED" w14:textId="5465ABB9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2AC0E339" w14:textId="6A453EC6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44D9D45A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10.1177/01634437251328200</w:t>
            </w:r>
          </w:p>
        </w:tc>
        <w:tc>
          <w:tcPr>
            <w:tcW w:w="0" w:type="auto"/>
            <w:hideMark/>
          </w:tcPr>
          <w:p w14:paraId="73B467F2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Include</w:t>
            </w:r>
          </w:p>
        </w:tc>
        <w:tc>
          <w:tcPr>
            <w:tcW w:w="0" w:type="auto"/>
            <w:hideMark/>
          </w:tcPr>
          <w:p w14:paraId="6B04944A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SIT-ETH</w:t>
            </w:r>
          </w:p>
        </w:tc>
        <w:tc>
          <w:tcPr>
            <w:tcW w:w="0" w:type="auto"/>
            <w:hideMark/>
          </w:tcPr>
          <w:p w14:paraId="29B9D1F2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Core text for RQ1 (critique of universalism), RQ2 (local perspectives), RQ3 (situated accountability).</w:t>
            </w:r>
          </w:p>
        </w:tc>
      </w:tr>
      <w:tr w:rsidR="007E2F08" w:rsidRPr="004E5E59" w14:paraId="2D0D0D24" w14:textId="77777777" w:rsidTr="004E5E59">
        <w:tc>
          <w:tcPr>
            <w:tcW w:w="0" w:type="auto"/>
            <w:hideMark/>
          </w:tcPr>
          <w:p w14:paraId="255F385C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Mbunge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, E., et al. (2022)</w:t>
            </w:r>
          </w:p>
        </w:tc>
        <w:tc>
          <w:tcPr>
            <w:tcW w:w="0" w:type="auto"/>
            <w:hideMark/>
          </w:tcPr>
          <w:p w14:paraId="5101E42F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Virtual healthcare services and digital </w:t>
            </w: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health technologies deployed during COVID-19 in South Africa...</w:t>
            </w:r>
          </w:p>
        </w:tc>
        <w:tc>
          <w:tcPr>
            <w:tcW w:w="0" w:type="auto"/>
            <w:hideMark/>
          </w:tcPr>
          <w:p w14:paraId="509BB2D8" w14:textId="1EA30685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lastRenderedPageBreak/>
              <w:t>✔</w:t>
            </w:r>
          </w:p>
        </w:tc>
        <w:tc>
          <w:tcPr>
            <w:tcW w:w="0" w:type="auto"/>
            <w:hideMark/>
          </w:tcPr>
          <w:p w14:paraId="0028E529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3BEBFD75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676747BF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10.1016/j.glohj.2022.03.001</w:t>
            </w:r>
          </w:p>
        </w:tc>
        <w:tc>
          <w:tcPr>
            <w:tcW w:w="0" w:type="auto"/>
            <w:hideMark/>
          </w:tcPr>
          <w:p w14:paraId="0038553D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Include</w:t>
            </w:r>
          </w:p>
        </w:tc>
        <w:tc>
          <w:tcPr>
            <w:tcW w:w="0" w:type="auto"/>
            <w:hideMark/>
          </w:tcPr>
          <w:p w14:paraId="0C2AB963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BIAS</w:t>
            </w:r>
          </w:p>
        </w:tc>
        <w:tc>
          <w:tcPr>
            <w:tcW w:w="0" w:type="auto"/>
            <w:hideMark/>
          </w:tcPr>
          <w:p w14:paraId="5E16D598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Highlights biases and implementation challenges </w:t>
            </w: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in a Global South context (RQ1).</w:t>
            </w:r>
          </w:p>
        </w:tc>
      </w:tr>
      <w:tr w:rsidR="007E2F08" w:rsidRPr="004E5E59" w14:paraId="492EDCF7" w14:textId="77777777" w:rsidTr="004E5E59">
        <w:tc>
          <w:tcPr>
            <w:tcW w:w="0" w:type="auto"/>
            <w:hideMark/>
          </w:tcPr>
          <w:p w14:paraId="68BDDBF7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Monasterio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Astobiza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, A., et al. (2022)</w:t>
            </w:r>
          </w:p>
        </w:tc>
        <w:tc>
          <w:tcPr>
            <w:tcW w:w="0" w:type="auto"/>
            <w:hideMark/>
          </w:tcPr>
          <w:p w14:paraId="56AC9448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Ethical Governance of AI in the Global South: A Human Rights Approach to Responsible Use of AI.</w:t>
            </w:r>
          </w:p>
        </w:tc>
        <w:tc>
          <w:tcPr>
            <w:tcW w:w="0" w:type="auto"/>
            <w:hideMark/>
          </w:tcPr>
          <w:p w14:paraId="35C16A2B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5812CF8F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64B175EA" w14:textId="335ED924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07059177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10.3390/proceedings2022081136</w:t>
            </w:r>
          </w:p>
        </w:tc>
        <w:tc>
          <w:tcPr>
            <w:tcW w:w="0" w:type="auto"/>
            <w:hideMark/>
          </w:tcPr>
          <w:p w14:paraId="7BAA3494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Include</w:t>
            </w:r>
          </w:p>
        </w:tc>
        <w:tc>
          <w:tcPr>
            <w:tcW w:w="0" w:type="auto"/>
            <w:hideMark/>
          </w:tcPr>
          <w:p w14:paraId="4BB0145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GOV</w:t>
            </w:r>
          </w:p>
        </w:tc>
        <w:tc>
          <w:tcPr>
            <w:tcW w:w="0" w:type="auto"/>
            <w:hideMark/>
          </w:tcPr>
          <w:p w14:paraId="3D0A24B4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Directly addresses RQ3 by proposing a human rights-based governance model for the Global South.</w:t>
            </w:r>
          </w:p>
        </w:tc>
      </w:tr>
      <w:tr w:rsidR="007E2F08" w:rsidRPr="004E5E59" w14:paraId="7B4FA769" w14:textId="77777777" w:rsidTr="004E5E59">
        <w:tc>
          <w:tcPr>
            <w:tcW w:w="0" w:type="auto"/>
            <w:hideMark/>
          </w:tcPr>
          <w:p w14:paraId="25DFC5D3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Muralidharan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, V., et al. (2024)</w:t>
            </w:r>
          </w:p>
        </w:tc>
        <w:tc>
          <w:tcPr>
            <w:tcW w:w="0" w:type="auto"/>
            <w:hideMark/>
          </w:tcPr>
          <w:p w14:paraId="14B4FE2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Applied artificial intelligence for global child health: Addressing biases and barriers.</w:t>
            </w:r>
          </w:p>
        </w:tc>
        <w:tc>
          <w:tcPr>
            <w:tcW w:w="0" w:type="auto"/>
            <w:hideMark/>
          </w:tcPr>
          <w:p w14:paraId="7E87EBF8" w14:textId="66B806CD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3F749150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75F78C97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34D97797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10.1371/journal.pdig.0000583</w:t>
            </w:r>
          </w:p>
        </w:tc>
        <w:tc>
          <w:tcPr>
            <w:tcW w:w="0" w:type="auto"/>
            <w:hideMark/>
          </w:tcPr>
          <w:p w14:paraId="15CDA3B7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Include</w:t>
            </w:r>
          </w:p>
        </w:tc>
        <w:tc>
          <w:tcPr>
            <w:tcW w:w="0" w:type="auto"/>
            <w:hideMark/>
          </w:tcPr>
          <w:p w14:paraId="0D0E5E61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BIAS</w:t>
            </w:r>
          </w:p>
        </w:tc>
        <w:tc>
          <w:tcPr>
            <w:tcW w:w="0" w:type="auto"/>
            <w:hideMark/>
          </w:tcPr>
          <w:p w14:paraId="7B4759DF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Identifies and addresses biases and barriers (RQ1 mechanisms) in a global health context.</w:t>
            </w:r>
          </w:p>
        </w:tc>
      </w:tr>
      <w:tr w:rsidR="007E2F08" w:rsidRPr="004E5E59" w14:paraId="7497A777" w14:textId="77777777" w:rsidTr="004E5E59">
        <w:tc>
          <w:tcPr>
            <w:tcW w:w="0" w:type="auto"/>
            <w:hideMark/>
          </w:tcPr>
          <w:p w14:paraId="39D65A76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Nazer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, L. H., et al. (2023)</w:t>
            </w:r>
          </w:p>
        </w:tc>
        <w:tc>
          <w:tcPr>
            <w:tcW w:w="0" w:type="auto"/>
            <w:hideMark/>
          </w:tcPr>
          <w:p w14:paraId="6F592952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Bias in artificial intelligence algorithms and recommendations for mitigation.</w:t>
            </w:r>
          </w:p>
        </w:tc>
        <w:tc>
          <w:tcPr>
            <w:tcW w:w="0" w:type="auto"/>
            <w:hideMark/>
          </w:tcPr>
          <w:p w14:paraId="4A93216E" w14:textId="73A81380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09764F82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1AD4D9D6" w14:textId="4D73FA1B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72B5B5A4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10.1371/journal.pdig.0000278</w:t>
            </w:r>
          </w:p>
        </w:tc>
        <w:tc>
          <w:tcPr>
            <w:tcW w:w="0" w:type="auto"/>
            <w:hideMark/>
          </w:tcPr>
          <w:p w14:paraId="400638AF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Include</w:t>
            </w:r>
          </w:p>
        </w:tc>
        <w:tc>
          <w:tcPr>
            <w:tcW w:w="0" w:type="auto"/>
            <w:hideMark/>
          </w:tcPr>
          <w:p w14:paraId="49B95ED3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BIAS</w:t>
            </w:r>
          </w:p>
        </w:tc>
        <w:tc>
          <w:tcPr>
            <w:tcW w:w="0" w:type="auto"/>
            <w:hideMark/>
          </w:tcPr>
          <w:p w14:paraId="6777A8E8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Analyzes bias (RQ1) and provides mitigation recommendations (informing RQ3 governance).</w:t>
            </w:r>
          </w:p>
        </w:tc>
      </w:tr>
      <w:tr w:rsidR="007E2F08" w:rsidRPr="004E5E59" w14:paraId="67E03379" w14:textId="77777777" w:rsidTr="004E5E59">
        <w:tc>
          <w:tcPr>
            <w:tcW w:w="0" w:type="auto"/>
            <w:hideMark/>
          </w:tcPr>
          <w:p w14:paraId="7900829A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Ng, D. T. K., et al. (2021a)</w:t>
            </w:r>
          </w:p>
        </w:tc>
        <w:tc>
          <w:tcPr>
            <w:tcW w:w="0" w:type="auto"/>
            <w:hideMark/>
          </w:tcPr>
          <w:p w14:paraId="239F503F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AI Literacy: Definition, Teaching, Evaluation and Ethical Issues.</w:t>
            </w:r>
          </w:p>
        </w:tc>
        <w:tc>
          <w:tcPr>
            <w:tcW w:w="0" w:type="auto"/>
            <w:hideMark/>
          </w:tcPr>
          <w:p w14:paraId="31D655E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06AB6B86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7948A1E8" w14:textId="6697DC1B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72784441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10.1002/pra2.487</w:t>
            </w:r>
          </w:p>
        </w:tc>
        <w:tc>
          <w:tcPr>
            <w:tcW w:w="0" w:type="auto"/>
            <w:hideMark/>
          </w:tcPr>
          <w:p w14:paraId="0ADF5EF0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Include</w:t>
            </w:r>
          </w:p>
        </w:tc>
        <w:tc>
          <w:tcPr>
            <w:tcW w:w="0" w:type="auto"/>
            <w:hideMark/>
          </w:tcPr>
          <w:p w14:paraId="3649D143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GOV-FRAMEWORK</w:t>
            </w:r>
          </w:p>
        </w:tc>
        <w:tc>
          <w:tcPr>
            <w:tcW w:w="0" w:type="auto"/>
            <w:hideMark/>
          </w:tcPr>
          <w:p w14:paraId="48EDDA65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Contributes to RQ3 by defining components for AI literacy education, including ethics.</w:t>
            </w:r>
          </w:p>
        </w:tc>
      </w:tr>
      <w:tr w:rsidR="007E2F08" w:rsidRPr="004E5E59" w14:paraId="3B107AF8" w14:textId="77777777" w:rsidTr="004E5E59">
        <w:tc>
          <w:tcPr>
            <w:tcW w:w="0" w:type="auto"/>
            <w:hideMark/>
          </w:tcPr>
          <w:p w14:paraId="1F23A08B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Olojede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, H. T. (2023)</w:t>
            </w:r>
          </w:p>
        </w:tc>
        <w:tc>
          <w:tcPr>
            <w:tcW w:w="0" w:type="auto"/>
            <w:hideMark/>
          </w:tcPr>
          <w:p w14:paraId="34D2CA71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Towards African Artificial Intelligence Ethical Principles.</w:t>
            </w:r>
          </w:p>
        </w:tc>
        <w:tc>
          <w:tcPr>
            <w:tcW w:w="0" w:type="auto"/>
            <w:hideMark/>
          </w:tcPr>
          <w:p w14:paraId="15AD11A4" w14:textId="4424B9FD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2B8A8A16" w14:textId="2B7D9DD6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7CE028BC" w14:textId="274DB2EE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3E879DB9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10.1109/AAIAC60008.2023.10465379</w:t>
            </w:r>
          </w:p>
        </w:tc>
        <w:tc>
          <w:tcPr>
            <w:tcW w:w="0" w:type="auto"/>
            <w:hideMark/>
          </w:tcPr>
          <w:p w14:paraId="73BA8B8F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Include</w:t>
            </w:r>
          </w:p>
        </w:tc>
        <w:tc>
          <w:tcPr>
            <w:tcW w:w="0" w:type="auto"/>
            <w:hideMark/>
          </w:tcPr>
          <w:p w14:paraId="5688E67B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PLURI</w:t>
            </w:r>
          </w:p>
        </w:tc>
        <w:tc>
          <w:tcPr>
            <w:tcW w:w="0" w:type="auto"/>
            <w:hideMark/>
          </w:tcPr>
          <w:p w14:paraId="5CFEEE80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Directly addresses all three RQs by proposing African-centered ethical principles.</w:t>
            </w:r>
          </w:p>
        </w:tc>
      </w:tr>
      <w:tr w:rsidR="007E2F08" w:rsidRPr="004E5E59" w14:paraId="25990AA4" w14:textId="77777777" w:rsidTr="004E5E59">
        <w:tc>
          <w:tcPr>
            <w:tcW w:w="0" w:type="auto"/>
            <w:hideMark/>
          </w:tcPr>
          <w:p w14:paraId="024A471A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Pessach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, D., &amp; </w:t>
            </w: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Shmueli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, E. (2023)</w:t>
            </w:r>
          </w:p>
        </w:tc>
        <w:tc>
          <w:tcPr>
            <w:tcW w:w="0" w:type="auto"/>
            <w:hideMark/>
          </w:tcPr>
          <w:p w14:paraId="76965D19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 Review on Fairness in Machine Learning.</w:t>
            </w:r>
          </w:p>
        </w:tc>
        <w:tc>
          <w:tcPr>
            <w:tcW w:w="0" w:type="auto"/>
            <w:hideMark/>
          </w:tcPr>
          <w:p w14:paraId="017E922E" w14:textId="30D5CA08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6FBAB01F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6803850E" w14:textId="680C7270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6A144FC3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10.1145/3494672</w:t>
            </w:r>
          </w:p>
        </w:tc>
        <w:tc>
          <w:tcPr>
            <w:tcW w:w="0" w:type="auto"/>
            <w:hideMark/>
          </w:tcPr>
          <w:p w14:paraId="2844D856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Include</w:t>
            </w:r>
          </w:p>
        </w:tc>
        <w:tc>
          <w:tcPr>
            <w:tcW w:w="0" w:type="auto"/>
            <w:hideMark/>
          </w:tcPr>
          <w:p w14:paraId="742C35A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BIAS</w:t>
            </w:r>
          </w:p>
        </w:tc>
        <w:tc>
          <w:tcPr>
            <w:tcW w:w="0" w:type="auto"/>
            <w:hideMark/>
          </w:tcPr>
          <w:p w14:paraId="5F143744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Comprehensive review of fairness (bias as RQ1 mechanism) and technical/governance solutions (RQ3).</w:t>
            </w:r>
          </w:p>
        </w:tc>
      </w:tr>
      <w:tr w:rsidR="007E2F08" w:rsidRPr="004E5E59" w14:paraId="3C866720" w14:textId="77777777" w:rsidTr="004E5E59">
        <w:tc>
          <w:tcPr>
            <w:tcW w:w="0" w:type="auto"/>
            <w:hideMark/>
          </w:tcPr>
          <w:p w14:paraId="7B39EE5F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Roche, C., Wall, P. J., &amp; Lewis, D. (2023)</w:t>
            </w:r>
          </w:p>
        </w:tc>
        <w:tc>
          <w:tcPr>
            <w:tcW w:w="0" w:type="auto"/>
            <w:hideMark/>
          </w:tcPr>
          <w:p w14:paraId="787AA693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Ethics and diversity in artificial intelligence policies, strategies and initiatives.</w:t>
            </w:r>
          </w:p>
        </w:tc>
        <w:tc>
          <w:tcPr>
            <w:tcW w:w="0" w:type="auto"/>
            <w:hideMark/>
          </w:tcPr>
          <w:p w14:paraId="14553D2E" w14:textId="4D6A0B7D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2518D738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45053A16" w14:textId="6B65C00F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7492476A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10.1007/s43681-022-00218-9</w:t>
            </w:r>
          </w:p>
        </w:tc>
        <w:tc>
          <w:tcPr>
            <w:tcW w:w="0" w:type="auto"/>
            <w:hideMark/>
          </w:tcPr>
          <w:p w14:paraId="2ACA9D27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Include</w:t>
            </w:r>
          </w:p>
        </w:tc>
        <w:tc>
          <w:tcPr>
            <w:tcW w:w="0" w:type="auto"/>
            <w:hideMark/>
          </w:tcPr>
          <w:p w14:paraId="39FBAD85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GOV</w:t>
            </w:r>
          </w:p>
        </w:tc>
        <w:tc>
          <w:tcPr>
            <w:tcW w:w="0" w:type="auto"/>
            <w:hideMark/>
          </w:tcPr>
          <w:p w14:paraId="073CA4AE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Analyzes diversity in AI policies (RQ1 gap) and contributes to inclusive governance (RQ3).</w:t>
            </w:r>
          </w:p>
        </w:tc>
      </w:tr>
      <w:tr w:rsidR="007E2F08" w:rsidRPr="004E5E59" w14:paraId="282EF7C6" w14:textId="77777777" w:rsidTr="004E5E59">
        <w:tc>
          <w:tcPr>
            <w:tcW w:w="0" w:type="auto"/>
            <w:hideMark/>
          </w:tcPr>
          <w:p w14:paraId="0B2F0E25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Schiff, D. (2022)</w:t>
            </w:r>
          </w:p>
        </w:tc>
        <w:tc>
          <w:tcPr>
            <w:tcW w:w="0" w:type="auto"/>
            <w:hideMark/>
          </w:tcPr>
          <w:p w14:paraId="273E5AEA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Education for AI, not AI for Education: The Role of Education and Ethics in National AI Policy Strategies.</w:t>
            </w:r>
          </w:p>
        </w:tc>
        <w:tc>
          <w:tcPr>
            <w:tcW w:w="0" w:type="auto"/>
            <w:hideMark/>
          </w:tcPr>
          <w:p w14:paraId="1E3282B3" w14:textId="640C82A8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12CCCFA4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hideMark/>
          </w:tcPr>
          <w:p w14:paraId="56468C69" w14:textId="65BF9065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6B857D12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10.1007/s40593-021-00270-2</w:t>
            </w:r>
          </w:p>
        </w:tc>
        <w:tc>
          <w:tcPr>
            <w:tcW w:w="0" w:type="auto"/>
            <w:hideMark/>
          </w:tcPr>
          <w:p w14:paraId="7B1C0F13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Include</w:t>
            </w:r>
          </w:p>
        </w:tc>
        <w:tc>
          <w:tcPr>
            <w:tcW w:w="0" w:type="auto"/>
            <w:hideMark/>
          </w:tcPr>
          <w:p w14:paraId="7E7B4FB3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GOV-CRIT</w:t>
            </w:r>
          </w:p>
        </w:tc>
        <w:tc>
          <w:tcPr>
            <w:tcW w:w="0" w:type="auto"/>
            <w:hideMark/>
          </w:tcPr>
          <w:p w14:paraId="5BAD7359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Critiques national AI policies (RQ1) and argues for ethics in policy (RQ3).</w:t>
            </w:r>
          </w:p>
        </w:tc>
      </w:tr>
      <w:tr w:rsidR="007E2F08" w:rsidRPr="004E5E59" w14:paraId="5F8C8822" w14:textId="77777777" w:rsidTr="004E5E59">
        <w:tc>
          <w:tcPr>
            <w:tcW w:w="0" w:type="auto"/>
            <w:hideMark/>
          </w:tcPr>
          <w:p w14:paraId="2CE423A0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Zembylas</w:t>
            </w:r>
            <w:proofErr w:type="spellEnd"/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, M. (2023)</w:t>
            </w:r>
          </w:p>
        </w:tc>
        <w:tc>
          <w:tcPr>
            <w:tcW w:w="0" w:type="auto"/>
            <w:hideMark/>
          </w:tcPr>
          <w:p w14:paraId="4737698C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A decolonial approach to AI in higher education teaching and learning: strategies for undoing the ethics of digital neocolonialism.</w:t>
            </w:r>
          </w:p>
        </w:tc>
        <w:tc>
          <w:tcPr>
            <w:tcW w:w="0" w:type="auto"/>
            <w:hideMark/>
          </w:tcPr>
          <w:p w14:paraId="33D8F115" w14:textId="60EC7B37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24A58893" w14:textId="0DF9A708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7D752FFD" w14:textId="65278568" w:rsidR="007E2F08" w:rsidRPr="004E5E59" w:rsidRDefault="004E5E59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>✔</w:t>
            </w:r>
          </w:p>
        </w:tc>
        <w:tc>
          <w:tcPr>
            <w:tcW w:w="0" w:type="auto"/>
            <w:hideMark/>
          </w:tcPr>
          <w:p w14:paraId="13BEECC8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10.1080/17439884.2021.2010094</w:t>
            </w:r>
          </w:p>
        </w:tc>
        <w:tc>
          <w:tcPr>
            <w:tcW w:w="0" w:type="auto"/>
            <w:hideMark/>
          </w:tcPr>
          <w:p w14:paraId="1E8E6F7A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Include</w:t>
            </w:r>
          </w:p>
        </w:tc>
        <w:tc>
          <w:tcPr>
            <w:tcW w:w="0" w:type="auto"/>
            <w:hideMark/>
          </w:tcPr>
          <w:p w14:paraId="59576559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DECOL</w:t>
            </w:r>
          </w:p>
        </w:tc>
        <w:tc>
          <w:tcPr>
            <w:tcW w:w="0" w:type="auto"/>
            <w:hideMark/>
          </w:tcPr>
          <w:p w14:paraId="08D7F2DC" w14:textId="77777777" w:rsidR="007E2F08" w:rsidRPr="004E5E59" w:rsidRDefault="007E2F08" w:rsidP="004E5E59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E5E59">
              <w:rPr>
                <w:rFonts w:asciiTheme="majorBidi" w:eastAsia="Times New Roman" w:hAnsiTheme="majorBidi" w:cstheme="majorBidi"/>
                <w:sz w:val="20"/>
                <w:szCs w:val="20"/>
              </w:rPr>
              <w:t>Explicitly addresses all RQs: decolonial approach (RQ2), critique of neocolonialism (RQ1), and strategies for change (RQ3).</w:t>
            </w:r>
          </w:p>
        </w:tc>
      </w:tr>
    </w:tbl>
    <w:p w14:paraId="2D4F729E" w14:textId="77777777" w:rsidR="007E2F08" w:rsidRPr="004E5E59" w:rsidRDefault="007E2F08" w:rsidP="007E2F08">
      <w:pPr>
        <w:shd w:val="clear" w:color="auto" w:fill="FFFFFF"/>
        <w:spacing w:before="240" w:after="240" w:line="420" w:lineRule="atLeast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 w:rsidRPr="004E5E59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Reason Code Description for Included Studies:</w:t>
      </w:r>
    </w:p>
    <w:p w14:paraId="5BECF150" w14:textId="77777777" w:rsidR="007E2F08" w:rsidRPr="004E5E59" w:rsidRDefault="007E2F08" w:rsidP="00C30AF7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0" w:line="420" w:lineRule="atLeast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 w:rsidRPr="004E5E59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DECOL:</w:t>
      </w:r>
      <w:r w:rsidRPr="004E5E59">
        <w:rPr>
          <w:rFonts w:asciiTheme="majorBidi" w:eastAsia="Times New Roman" w:hAnsiTheme="majorBidi" w:cstheme="majorBidi"/>
          <w:color w:val="0F1115"/>
          <w:sz w:val="20"/>
          <w:szCs w:val="20"/>
        </w:rPr>
        <w:t> Applies decolonial theory to critique universalist AI ethics and propose alternative frameworks.</w:t>
      </w:r>
    </w:p>
    <w:p w14:paraId="2BF262B4" w14:textId="77777777" w:rsidR="007E2F08" w:rsidRPr="004E5E59" w:rsidRDefault="007E2F08" w:rsidP="00C30AF7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0" w:line="420" w:lineRule="atLeast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 w:rsidRPr="004E5E59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COL-MECH:</w:t>
      </w:r>
      <w:r w:rsidRPr="004E5E59">
        <w:rPr>
          <w:rFonts w:asciiTheme="majorBidi" w:eastAsia="Times New Roman" w:hAnsiTheme="majorBidi" w:cstheme="majorBidi"/>
          <w:color w:val="0F1115"/>
          <w:sz w:val="20"/>
          <w:szCs w:val="20"/>
        </w:rPr>
        <w:t> Identifies specific sociotechnical mechanisms (e.g., data colonialism, digital incorporation) that reproduce North-South asymmetries.</w:t>
      </w:r>
    </w:p>
    <w:p w14:paraId="0CC168AA" w14:textId="77777777" w:rsidR="007E2F08" w:rsidRPr="004E5E59" w:rsidRDefault="007E2F08" w:rsidP="00C30AF7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0" w:line="420" w:lineRule="atLeast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 w:rsidRPr="004E5E59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PLURI:</w:t>
      </w:r>
      <w:r w:rsidRPr="004E5E59">
        <w:rPr>
          <w:rFonts w:asciiTheme="majorBidi" w:eastAsia="Times New Roman" w:hAnsiTheme="majorBidi" w:cstheme="majorBidi"/>
          <w:color w:val="0F1115"/>
          <w:sz w:val="20"/>
          <w:szCs w:val="20"/>
        </w:rPr>
        <w:t xml:space="preserve"> Embodies or argues for </w:t>
      </w:r>
      <w:proofErr w:type="spellStart"/>
      <w:r w:rsidRPr="004E5E59">
        <w:rPr>
          <w:rFonts w:asciiTheme="majorBidi" w:eastAsia="Times New Roman" w:hAnsiTheme="majorBidi" w:cstheme="majorBidi"/>
          <w:color w:val="0F1115"/>
          <w:sz w:val="20"/>
          <w:szCs w:val="20"/>
        </w:rPr>
        <w:t>pluriversal</w:t>
      </w:r>
      <w:proofErr w:type="spellEnd"/>
      <w:r w:rsidRPr="004E5E59">
        <w:rPr>
          <w:rFonts w:asciiTheme="majorBidi" w:eastAsia="Times New Roman" w:hAnsiTheme="majorBidi" w:cstheme="majorBidi"/>
          <w:color w:val="0F1115"/>
          <w:sz w:val="20"/>
          <w:szCs w:val="20"/>
        </w:rPr>
        <w:t xml:space="preserve"> ethical practices rooted in non-Western contexts (e.g., Ubuntu, Ga philosophy).</w:t>
      </w:r>
    </w:p>
    <w:p w14:paraId="72D8E9FE" w14:textId="77777777" w:rsidR="007E2F08" w:rsidRPr="004E5E59" w:rsidRDefault="007E2F08" w:rsidP="00C30AF7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0" w:line="420" w:lineRule="atLeast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 w:rsidRPr="004E5E59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GLOCAL:</w:t>
      </w:r>
      <w:r w:rsidRPr="004E5E59">
        <w:rPr>
          <w:rFonts w:asciiTheme="majorBidi" w:eastAsia="Times New Roman" w:hAnsiTheme="majorBidi" w:cstheme="majorBidi"/>
          <w:color w:val="0F1115"/>
          <w:sz w:val="20"/>
          <w:szCs w:val="20"/>
        </w:rPr>
        <w:t xml:space="preserve"> Analyzes the tension between global principles and local implementation, proposing </w:t>
      </w:r>
      <w:proofErr w:type="spellStart"/>
      <w:r w:rsidRPr="004E5E59">
        <w:rPr>
          <w:rFonts w:asciiTheme="majorBidi" w:eastAsia="Times New Roman" w:hAnsiTheme="majorBidi" w:cstheme="majorBidi"/>
          <w:color w:val="0F1115"/>
          <w:sz w:val="20"/>
          <w:szCs w:val="20"/>
        </w:rPr>
        <w:t>glocalized</w:t>
      </w:r>
      <w:proofErr w:type="spellEnd"/>
      <w:r w:rsidRPr="004E5E59">
        <w:rPr>
          <w:rFonts w:asciiTheme="majorBidi" w:eastAsia="Times New Roman" w:hAnsiTheme="majorBidi" w:cstheme="majorBidi"/>
          <w:color w:val="0F1115"/>
          <w:sz w:val="20"/>
          <w:szCs w:val="20"/>
        </w:rPr>
        <w:t xml:space="preserve"> governance models.</w:t>
      </w:r>
    </w:p>
    <w:p w14:paraId="0695A3DF" w14:textId="77777777" w:rsidR="007E2F08" w:rsidRPr="004E5E59" w:rsidRDefault="007E2F08" w:rsidP="00C30AF7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0" w:line="420" w:lineRule="atLeast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 w:rsidRPr="004E5E59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lastRenderedPageBreak/>
        <w:t>PRINC-CRIT:</w:t>
      </w:r>
      <w:r w:rsidRPr="004E5E59">
        <w:rPr>
          <w:rFonts w:asciiTheme="majorBidi" w:eastAsia="Times New Roman" w:hAnsiTheme="majorBidi" w:cstheme="majorBidi"/>
          <w:color w:val="0F1115"/>
          <w:sz w:val="20"/>
          <w:szCs w:val="20"/>
        </w:rPr>
        <w:t> Critiques principle-based or symbolic compliance in AI ethics.</w:t>
      </w:r>
    </w:p>
    <w:p w14:paraId="35BC5962" w14:textId="77777777" w:rsidR="007E2F08" w:rsidRPr="004E5E59" w:rsidRDefault="007E2F08" w:rsidP="00C30AF7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0" w:line="420" w:lineRule="atLeast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 w:rsidRPr="004E5E59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GOV / GOV-FRAMEWORK / GOV-CRIT:</w:t>
      </w:r>
      <w:r w:rsidRPr="004E5E59">
        <w:rPr>
          <w:rFonts w:asciiTheme="majorBidi" w:eastAsia="Times New Roman" w:hAnsiTheme="majorBidi" w:cstheme="majorBidi"/>
          <w:color w:val="0F1115"/>
          <w:sz w:val="20"/>
          <w:szCs w:val="20"/>
        </w:rPr>
        <w:t> Proposes, critiques, or analyzes governance models, policies, or frameworks for responsible AI.</w:t>
      </w:r>
    </w:p>
    <w:p w14:paraId="15BDE75C" w14:textId="77777777" w:rsidR="007E2F08" w:rsidRPr="004E5E59" w:rsidRDefault="007E2F08" w:rsidP="00C30AF7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0" w:line="420" w:lineRule="atLeast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 w:rsidRPr="004E5E59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SIT-ETH:</w:t>
      </w:r>
      <w:r w:rsidRPr="004E5E59">
        <w:rPr>
          <w:rFonts w:asciiTheme="majorBidi" w:eastAsia="Times New Roman" w:hAnsiTheme="majorBidi" w:cstheme="majorBidi"/>
          <w:color w:val="0F1115"/>
          <w:sz w:val="20"/>
          <w:szCs w:val="20"/>
        </w:rPr>
        <w:t> Argues for situated, context-aware ethics over universalist frameworks.</w:t>
      </w:r>
    </w:p>
    <w:p w14:paraId="31617756" w14:textId="77777777" w:rsidR="007E2F08" w:rsidRPr="004E5E59" w:rsidRDefault="007E2F08" w:rsidP="00C30AF7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0" w:line="420" w:lineRule="atLeast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 w:rsidRPr="004E5E59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BIAS:</w:t>
      </w:r>
      <w:r w:rsidRPr="004E5E59">
        <w:rPr>
          <w:rFonts w:asciiTheme="majorBidi" w:eastAsia="Times New Roman" w:hAnsiTheme="majorBidi" w:cstheme="majorBidi"/>
          <w:color w:val="0F1115"/>
          <w:sz w:val="20"/>
          <w:szCs w:val="20"/>
        </w:rPr>
        <w:t> Analyzes algorithmic bias as a mechanism of inequality (RQ1) and/or proposes mitigation strategies (informing RQ3).</w:t>
      </w:r>
    </w:p>
    <w:p w14:paraId="032BD997" w14:textId="77777777" w:rsidR="007E2F08" w:rsidRPr="004E5E59" w:rsidRDefault="007E2F08" w:rsidP="00C30AF7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0" w:line="420" w:lineRule="atLeast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 w:rsidRPr="004E5E59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EPIST-PRAXIS:</w:t>
      </w:r>
      <w:r w:rsidRPr="004E5E59">
        <w:rPr>
          <w:rFonts w:asciiTheme="majorBidi" w:eastAsia="Times New Roman" w:hAnsiTheme="majorBidi" w:cstheme="majorBidi"/>
          <w:color w:val="0F1115"/>
          <w:sz w:val="20"/>
          <w:szCs w:val="20"/>
        </w:rPr>
        <w:t> Demonstrates pedagogical or practical interventions that reconfigure participation and ethical legitimacy.</w:t>
      </w:r>
    </w:p>
    <w:p w14:paraId="444723F0" w14:textId="77777777" w:rsidR="007E2F08" w:rsidRPr="004E5E59" w:rsidRDefault="007E2F08" w:rsidP="007E2F08">
      <w:pPr>
        <w:rPr>
          <w:rFonts w:asciiTheme="majorBidi" w:hAnsiTheme="majorBidi" w:cstheme="majorBidi"/>
          <w:sz w:val="20"/>
          <w:szCs w:val="20"/>
        </w:rPr>
      </w:pPr>
      <w:bookmarkStart w:id="0" w:name="_GoBack"/>
      <w:bookmarkEnd w:id="0"/>
    </w:p>
    <w:sectPr w:rsidR="007E2F08" w:rsidRPr="004E5E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F10DB"/>
    <w:multiLevelType w:val="hybridMultilevel"/>
    <w:tmpl w:val="928693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0B82011"/>
    <w:multiLevelType w:val="hybridMultilevel"/>
    <w:tmpl w:val="A44469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8B5A14"/>
    <w:multiLevelType w:val="hybridMultilevel"/>
    <w:tmpl w:val="E904CD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99A2F2F"/>
    <w:multiLevelType w:val="hybridMultilevel"/>
    <w:tmpl w:val="C722F7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47C1215"/>
    <w:multiLevelType w:val="hybridMultilevel"/>
    <w:tmpl w:val="AB8C9E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CB4"/>
    <w:rsid w:val="0006727B"/>
    <w:rsid w:val="000C292B"/>
    <w:rsid w:val="00154A1C"/>
    <w:rsid w:val="00176EDD"/>
    <w:rsid w:val="001C5B93"/>
    <w:rsid w:val="002E153B"/>
    <w:rsid w:val="003C2B16"/>
    <w:rsid w:val="00427418"/>
    <w:rsid w:val="004D53A5"/>
    <w:rsid w:val="004E5E59"/>
    <w:rsid w:val="00511178"/>
    <w:rsid w:val="005600F8"/>
    <w:rsid w:val="006D7CB4"/>
    <w:rsid w:val="007E2F08"/>
    <w:rsid w:val="008A2D85"/>
    <w:rsid w:val="009371F5"/>
    <w:rsid w:val="00A33D94"/>
    <w:rsid w:val="00AF147A"/>
    <w:rsid w:val="00BC2D9B"/>
    <w:rsid w:val="00BC6A58"/>
    <w:rsid w:val="00BD2ACD"/>
    <w:rsid w:val="00BD7F0B"/>
    <w:rsid w:val="00C30AF7"/>
    <w:rsid w:val="00C90EFE"/>
    <w:rsid w:val="00D41B2E"/>
    <w:rsid w:val="00D8230D"/>
    <w:rsid w:val="00DA2B6E"/>
    <w:rsid w:val="00E30C5C"/>
    <w:rsid w:val="00E64E70"/>
    <w:rsid w:val="00ED7D5C"/>
    <w:rsid w:val="00F3468B"/>
    <w:rsid w:val="00F656D9"/>
    <w:rsid w:val="00FF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CCFF4"/>
  <w15:chartTrackingRefBased/>
  <w15:docId w15:val="{E37D4D55-7A10-4924-8661-0DAC0A7D1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7CB4"/>
  </w:style>
  <w:style w:type="paragraph" w:styleId="Heading1">
    <w:name w:val="heading 1"/>
    <w:basedOn w:val="Normal"/>
    <w:link w:val="Heading1Char"/>
    <w:uiPriority w:val="9"/>
    <w:qFormat/>
    <w:rsid w:val="006D7C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7CB4"/>
    <w:pPr>
      <w:keepNext/>
      <w:keepLines/>
      <w:spacing w:before="240" w:after="120"/>
      <w:outlineLvl w:val="1"/>
    </w:pPr>
    <w:rPr>
      <w:rFonts w:asciiTheme="majorBidi" w:eastAsiaTheme="majorEastAsia" w:hAnsiTheme="majorBidi" w:cstheme="majorBidi"/>
      <w:b/>
      <w:i/>
      <w:sz w:val="24"/>
      <w:szCs w:val="26"/>
    </w:rPr>
  </w:style>
  <w:style w:type="paragraph" w:styleId="Heading3">
    <w:name w:val="heading 3"/>
    <w:basedOn w:val="Normal"/>
    <w:link w:val="Heading3Char"/>
    <w:uiPriority w:val="9"/>
    <w:qFormat/>
    <w:rsid w:val="006D7C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7CB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7CB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7CB4"/>
    <w:rPr>
      <w:rFonts w:ascii="Times New Roman" w:eastAsia="Times New Roman" w:hAnsi="Times New Roman" w:cs="Times New Roman"/>
      <w:b/>
      <w:bCs/>
      <w:kern w:val="36"/>
      <w:sz w:val="24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D7CB4"/>
    <w:rPr>
      <w:rFonts w:asciiTheme="majorBidi" w:eastAsiaTheme="majorEastAsia" w:hAnsiTheme="majorBidi" w:cstheme="majorBidi"/>
      <w:b/>
      <w:i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D7CB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6D7CB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7CB4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Strong">
    <w:name w:val="Strong"/>
    <w:basedOn w:val="DefaultParagraphFont"/>
    <w:uiPriority w:val="22"/>
    <w:qFormat/>
    <w:rsid w:val="006D7CB4"/>
    <w:rPr>
      <w:b/>
      <w:bCs/>
    </w:rPr>
  </w:style>
  <w:style w:type="paragraph" w:styleId="NormalWeb">
    <w:name w:val="Normal (Web)"/>
    <w:basedOn w:val="Normal"/>
    <w:uiPriority w:val="99"/>
    <w:unhideWhenUsed/>
    <w:rsid w:val="006D7C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D7CB4"/>
    <w:rPr>
      <w:i/>
      <w:iCs/>
    </w:rPr>
  </w:style>
  <w:style w:type="table" w:styleId="PlainTable2">
    <w:name w:val="Plain Table 2"/>
    <w:basedOn w:val="TableNormal"/>
    <w:uiPriority w:val="42"/>
    <w:rsid w:val="006D7CB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odyText">
    <w:name w:val="Body Text"/>
    <w:basedOn w:val="Normal"/>
    <w:link w:val="BodyTextChar"/>
    <w:uiPriority w:val="1"/>
    <w:qFormat/>
    <w:rsid w:val="006D7CB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D7CB4"/>
    <w:rPr>
      <w:rFonts w:ascii="Arial MT" w:eastAsia="Arial MT" w:hAnsi="Arial MT" w:cs="Arial MT"/>
      <w:sz w:val="24"/>
      <w:szCs w:val="24"/>
    </w:rPr>
  </w:style>
  <w:style w:type="table" w:styleId="TableGrid">
    <w:name w:val="Table Grid"/>
    <w:basedOn w:val="TableNormal"/>
    <w:uiPriority w:val="39"/>
    <w:rsid w:val="006D7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Normal"/>
    <w:rsid w:val="006D7C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D7CB4"/>
    <w:pPr>
      <w:ind w:left="720"/>
      <w:contextualSpacing/>
    </w:pPr>
  </w:style>
  <w:style w:type="character" w:styleId="HTMLCode">
    <w:name w:val="HTML Code"/>
    <w:basedOn w:val="DefaultParagraphFont"/>
    <w:uiPriority w:val="99"/>
    <w:semiHidden/>
    <w:unhideWhenUsed/>
    <w:rsid w:val="006D7CB4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D7C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7CB4"/>
    <w:rPr>
      <w:color w:val="605E5C"/>
      <w:shd w:val="clear" w:color="auto" w:fill="E1DFDD"/>
    </w:rPr>
  </w:style>
  <w:style w:type="character" w:customStyle="1" w:styleId="d813de27">
    <w:name w:val="d813de27"/>
    <w:basedOn w:val="DefaultParagraphFont"/>
    <w:rsid w:val="006D7CB4"/>
  </w:style>
  <w:style w:type="character" w:customStyle="1" w:styleId="code-info-button-text">
    <w:name w:val="code-info-button-text"/>
    <w:basedOn w:val="DefaultParagraphFont"/>
    <w:rsid w:val="006D7CB4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D7C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D7CB4"/>
    <w:rPr>
      <w:rFonts w:ascii="Courier New" w:eastAsia="Times New Roman" w:hAnsi="Courier New" w:cs="Courier New"/>
      <w:sz w:val="20"/>
      <w:szCs w:val="20"/>
    </w:rPr>
  </w:style>
  <w:style w:type="character" w:customStyle="1" w:styleId="token">
    <w:name w:val="token"/>
    <w:basedOn w:val="DefaultParagraphFont"/>
    <w:rsid w:val="006D7CB4"/>
  </w:style>
  <w:style w:type="character" w:customStyle="1" w:styleId="katex-mathml">
    <w:name w:val="katex-mathml"/>
    <w:basedOn w:val="DefaultParagraphFont"/>
    <w:rsid w:val="006D7CB4"/>
  </w:style>
  <w:style w:type="character" w:customStyle="1" w:styleId="mord">
    <w:name w:val="mord"/>
    <w:basedOn w:val="DefaultParagraphFont"/>
    <w:rsid w:val="006D7CB4"/>
  </w:style>
  <w:style w:type="character" w:customStyle="1" w:styleId="mpunct">
    <w:name w:val="mpunct"/>
    <w:basedOn w:val="DefaultParagraphFont"/>
    <w:rsid w:val="006D7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6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7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0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2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8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3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0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4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4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1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39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0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2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6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0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5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79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35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5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8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5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0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18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5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5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95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1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jstor.org/stable/4882059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9D827DA8-8878-4164-9D79-3BC29FFC0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2388</Words>
  <Characters>13618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dwimariyono</dc:creator>
  <cp:keywords/>
  <dc:description/>
  <cp:lastModifiedBy>dwimariyono</cp:lastModifiedBy>
  <cp:revision>4</cp:revision>
  <dcterms:created xsi:type="dcterms:W3CDTF">2026-04-08T12:57:00Z</dcterms:created>
  <dcterms:modified xsi:type="dcterms:W3CDTF">2026-04-08T12:58:00Z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http://www.zotero.org/styles/african-online-scientific-information-systems-vancouver</vt:lpwstr>
  </property>
  <property fmtid="{D5CDD505-2E9C-101B-9397-08002B2CF9AE}" pid="3" name="Mendeley Recent Style Name 0_1">
    <vt:lpwstr>African Online Scientific Information Systems - Vancouver</vt:lpwstr>
  </property>
  <property fmtid="{D5CDD505-2E9C-101B-9397-08002B2CF9AE}" pid="4" name="Mendeley Recent Style Id 1_1">
    <vt:lpwstr>https://csl.mendeley.com/styles/475823531/apa</vt:lpwstr>
  </property>
  <property fmtid="{D5CDD505-2E9C-101B-9397-08002B2CF9AE}" pid="5" name="Mendeley Recent Style Name 1_1">
    <vt:lpwstr>American Psychological Association 6th edition - Mincho Slavov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http://www.zotero.org/styles/chicago-fullnote-bibliography</vt:lpwstr>
  </property>
  <property fmtid="{D5CDD505-2E9C-101B-9397-08002B2CF9AE}" pid="13" name="Mendeley Recent Style Name 5_1">
    <vt:lpwstr>Chicago Manual of Style 17th edition (full note)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http://www.zotero.org/styles/new-harts-rules-the-oxford-style-guide-author-date</vt:lpwstr>
  </property>
  <property fmtid="{D5CDD505-2E9C-101B-9397-08002B2CF9AE}" pid="17" name="Mendeley Recent Style Name 7_1">
    <vt:lpwstr>New Hart's Rules: The Oxford Style Guide (author-date)</vt:lpwstr>
  </property>
  <property fmtid="{D5CDD505-2E9C-101B-9397-08002B2CF9AE}" pid="18" name="Mendeley Recent Style Id 8_1">
    <vt:lpwstr>http://www.zotero.org/styles/universitas-negeri-yogyakarta-program-pascasarjana</vt:lpwstr>
  </property>
  <property fmtid="{D5CDD505-2E9C-101B-9397-08002B2CF9AE}" pid="19" name="Mendeley Recent Style Name 8_1">
    <vt:lpwstr>Universitas Negeri Yogyakarta - Program Pascasarjana (Bahasa Indonesia)</vt:lpwstr>
  </property>
  <property fmtid="{D5CDD505-2E9C-101B-9397-08002B2CF9AE}" pid="20" name="Mendeley Recent Style Id 9_1">
    <vt:lpwstr>http://www.zotero.org/styles/vancouver-brackets</vt:lpwstr>
  </property>
  <property fmtid="{D5CDD505-2E9C-101B-9397-08002B2CF9AE}" pid="21" name="Mendeley Recent Style Name 9_1">
    <vt:lpwstr>Vancouver (brackets)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31669e51-6e21-35a3-b117-c12cf2f1bab5</vt:lpwstr>
  </property>
  <property fmtid="{D5CDD505-2E9C-101B-9397-08002B2CF9AE}" pid="24" name="Mendeley Citation Style_1">
    <vt:lpwstr>http://www.zotero.org/styles/apa</vt:lpwstr>
  </property>
</Properties>
</file>