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726D" w:rsidRPr="008C726D" w:rsidRDefault="008C726D" w:rsidP="008C726D">
      <w:pPr>
        <w:shd w:val="clear" w:color="auto" w:fill="FFFFFF"/>
        <w:spacing w:before="480" w:after="240" w:line="480" w:lineRule="atLeast"/>
        <w:outlineLvl w:val="1"/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</w:pPr>
      <w:r w:rsidRPr="008C726D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PRISMA 2020 Checklist</w:t>
      </w:r>
      <w:bookmarkStart w:id="0" w:name="_GoBack"/>
      <w:bookmarkEnd w:id="0"/>
    </w:p>
    <w:p w:rsidR="008C726D" w:rsidRPr="008C726D" w:rsidRDefault="008C726D" w:rsidP="008C726D">
      <w:pPr>
        <w:shd w:val="clear" w:color="auto" w:fill="FFFFFF"/>
        <w:spacing w:before="240" w:after="240" w:line="240" w:lineRule="auto"/>
        <w:rPr>
          <w:rFonts w:asciiTheme="majorBidi" w:eastAsia="Times New Roman" w:hAnsiTheme="majorBidi" w:cstheme="majorBidi"/>
          <w:color w:val="0F1115"/>
          <w:sz w:val="24"/>
          <w:szCs w:val="24"/>
        </w:rPr>
      </w:pPr>
      <w:r w:rsidRPr="0054578E">
        <w:rPr>
          <w:rFonts w:asciiTheme="majorBidi" w:eastAsia="Times New Roman" w:hAnsiTheme="majorBidi" w:cstheme="majorBidi"/>
          <w:b/>
          <w:bCs/>
          <w:color w:val="0F1115"/>
          <w:sz w:val="24"/>
          <w:szCs w:val="24"/>
        </w:rPr>
        <w:t>Title:</w:t>
      </w:r>
      <w:r w:rsidRPr="008C726D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 Decolonizing AI Ethics in Education: A Systematic Review and </w:t>
      </w:r>
      <w:proofErr w:type="spellStart"/>
      <w:r w:rsidRPr="008C726D">
        <w:rPr>
          <w:rFonts w:asciiTheme="majorBidi" w:eastAsia="Times New Roman" w:hAnsiTheme="majorBidi" w:cstheme="majorBidi"/>
          <w:color w:val="0F1115"/>
          <w:sz w:val="24"/>
          <w:szCs w:val="24"/>
        </w:rPr>
        <w:t>Glocalized</w:t>
      </w:r>
      <w:proofErr w:type="spellEnd"/>
      <w:r w:rsidRPr="008C726D">
        <w:rPr>
          <w:rFonts w:asciiTheme="majorBidi" w:eastAsia="Times New Roman" w:hAnsiTheme="majorBidi" w:cstheme="majorBidi"/>
          <w:color w:val="0F1115"/>
          <w:sz w:val="24"/>
          <w:szCs w:val="24"/>
        </w:rPr>
        <w:t xml:space="preserve"> Framework (FGAIEE)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236"/>
        <w:gridCol w:w="704"/>
        <w:gridCol w:w="2962"/>
        <w:gridCol w:w="3458"/>
      </w:tblGrid>
      <w:tr w:rsidR="008C726D" w:rsidRPr="008C726D" w:rsidTr="005457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&amp; Topic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Item #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Checklist Item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Location where item is reported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TITLE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Title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Identify the report as a systematic review.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Title page: "Decolonizing AI Ethics in Education: A Systematic Review and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Glocalized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Framework (FGAIEE)"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ABSTRACT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Abstract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See the PRISMA 2020 for Abstracts checklist.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Abstract (page 1-2). Reports: background, objectives (3 RQs), methods (PRISMA, 84 studies,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PICo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-Thematic-SWOT), results (3 core findings), conclusion (FGAIEE framework), keywords.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INTRODUCTION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Rationale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the rationale for the review in the context of existing knowledge.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Introduction, paragraphs 1-4 (pages 2-4). Cites dominance of Global North frameworks, digital colonialism, gaps in existing AI ethics literature.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Objectives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Provide an explicit statement of the objective(s) or question(s) the review addresses.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Introduction, page 4 (paragraph 6). Three RQs explicitly stated: RQ1 (Coloniality as Mechanism), RQ2 (Epistemic Disobedience &amp;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Pluriversality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), RQ3 (From Principles to Governance).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METHODS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Eligibility criteria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Specify inclusion/exclusion criteria and how studies were grouped for syntheses.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Section 2.3 (page 6). 4 inclusion criteria (AI in education, ethics/governance focus, 2015-2025, peer-reviewed) and 4 exclusion criteria (technical only, outside education, editorials, insufficient transparency). Grouped by RQs and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PICo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framework.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Information sources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Specify all databases, registers, websites,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organisations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searched. Specify date last searched.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2.2 (page 5-6). Scopus, Web of Science, ERIC, Google Scholar. Searched January 2026. Appendix D, Table D1 provides full details.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Search strategy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full search strategies for all databases, including filters and limits.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Appendix D, Table D1 (full search strings for Scopus,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WoS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, ERIC, Google Scholar). Section 2.2 (page 5-6) describes Boolean operators and terms. Supplementary File S2 contains complete search strings.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Selection process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Specify methods for deciding study inclusion, including number of reviewers, independence, automation tools.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2.3 and 2.6 (pages 6-8). Multiple reviewers independently coded; inter-rater reliability assessed (Cohen's κ). PRISMA flow diagram (Figure 1) shows screening stages. Automation tools: Publish or Perish for deduplication (mentioned in Acknowledgments).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Data collection process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Specify methods for collecting data from reports, including number of </w:t>
            </w: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reviewers, independence, automation tools.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 xml:space="preserve">Section 2.5 (page 7). Hybrid inductive-deductive thematic analysis. Data extraction </w:t>
            </w: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captured publication characteristics, ethical frameworks, governance mechanisms. Supplementary File S3 contains complete data extraction forms (84 studies).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Data items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10a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List and define all outcomes for which data were sought.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2.4 (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PICo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framework, page 7): Population (educational actors), Interest (ethical governance, epistemic authority, bias, participation, accountability), Context (sociotechnical, cultural, geopolitical settings). RQ1-3 define outcomes.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10b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List and define all other variables sought (e.g., participant characteristics, funding).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2.5 (page 7): publication characteristics, ethical frameworks referenced, educational contexts, governance mechanisms, ethical tensions/outcomes. Appendix A (Table A1) shows 15 variables per study.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Study risk of bias assessment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Specify methods for assessing risk of bias in included studies, including tool(s), number of reviewers, independence.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2.6 (page 8). Quality assessment tool described in Appendix B, Table B2 (6 dimensions: methodological rigor, empirical grounding, theoretical engagement, contextual specificity, governance relevance, decolonial contribution). Three independent reviewers; Cohen's κ reported (0.78-0.91).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Effect measures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Specify for each outcome the effect measure(s) used in synthesis.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applicable (no meta-analysis). Section 3.1 (page 10) notes: "due to heterogeneity in methodologies and contexts, we did not perform a formal meta-analysis." Effect ranges (8-22% for bias, 25-55% for engagement) reported descriptively.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Synthesis methods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processes to decide which studies eligible for each synthesis.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Section 2.4-2.5 (pages 7-8).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PICo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framework used to categorize studies; mapping to RQ1, RQ2, RQ3 shown in Figure 1 (84 studies: 100% RQ1, 50% RQ2, 57% RQ3).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required to prepare data for presentation/synthesis.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2.5 (page 7). Hybrid inductive-deductive thematic analysis. Data extraction standardized using template (Supplementary File S3).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13c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used to tabulate or visually display results of individual studies and syntheses.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3.4 (page 12). Table 1 (thematic synthesis), Table 2 (distributional mapping), Table 3 (leverage points), Table 4 (regional governance). Appendix A (Table A1, A2) for full evidence matrix. Figures 1-4 for visual displays.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13d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used to synthesize results and rationale for choice(s).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2.7 (page 8). SWOT synthesis employed as epistemic-diagnostic tool to translate critical insights into governance-operable categories. Not meta-analysis due to heterogeneity.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13e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used to explore possible causes of heterogeneity.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2.2 (page 6). Sensitivity analysis comparing pre-2022 and post-2022 studies (χ² = 2.34, p = 0.31). Appendix C, Table C2 shows temporal distribution.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13f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sensitivity analyses conducted to assess robustness.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2.2 (page 6). Temporal sensitivity analysis (pre-2022 vs post-2022). Results: no significant differences in thematic distribution.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Reporting bias assessment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used to assess risk of bias due to missing results.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2.3 (page 6). Exclusion criteria clearly defined. Supplementary File S2 contains full screening log of all 529 excluded studies with reasons.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Certainty assessment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methods used to assess certainty (or confidence) in body of evidence.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2.6 (page 8). Quality assessment across 6 dimensions (Appendix B, Table B2). Inter-rater reliability (Cohen's κ) for each coding category.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RESULTS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Study selection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16a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results of search and selection process from records identified to studies included, ideally with flow diagram.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3 (page 9) and Figure 1 (PRISMA flow diagram). Records identified: 3,935; after removal: 1,364 screened; 893 sought; 613 assessed; 84 included.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16b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Cite studies that might appear to meet inclusion criteria but were </w:t>
            </w:r>
            <w:proofErr w:type="gram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excluded, and</w:t>
            </w:r>
            <w:proofErr w:type="gram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explain why.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3.1 (page 10). Supplementary File S2 and Supplementary File S5 (Appendix E, Table E1) provide excluded studies with reasons. 35 sample excluded studies shown with reasons (TECH-APP, etc.).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Study characteristics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Cite each included study and present its characteristics.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Appendix A (Table A1) – complete evidence matrix for all 84 studies. Supplementary File S3 – complete data extraction forms. Section 3 (page 9) summarizes geographic distribution (Appendix C, Table C1).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Risk of bias in studies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assessments of risk of bias for each included study.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Appendix B, Table B2 (quality assessment of 84 studies across 6 dimensions). Table B3 (quality by geographic focus).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Results of individual studies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For all outcomes, present for each study: summary statistics and effect estimates.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applicable (no meta-analysis). Section 3.1 (page 10) reports effect ranges: 8-22% for bias-related disparities; 25-55% for engagement-related improvements. Individual study findings in Appendix A, Table A1 and Table A2.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Results of syntheses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20a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For each synthesis,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summarise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characteristics and risk of bias among contributing studies.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3.4 (page 12). Table 1 (thematic synthesis) and Table 2 (distributional mapping) summarize characteristics. Appendix B, Table B2-B3 for risk of bias.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20b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results of all statistical syntheses conducted.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applicable (no meta-analysis). Section 3.1 (page 10) states: "due to heterogeneity... we did not perform a formal meta-analysis."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20c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results of all investigations of possible causes of heterogeneity.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Section 2.2 (page 6) and Appendix C, Table C2. Temporal analysis shows decolonial </w:t>
            </w: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scholarship increased from 22.2% (2019-2021) to 64.3% (2024-2025).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20d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results of all sensitivity analyses conducted.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2.2 (page 6). Sensitivity analysis: χ² = 2.34, p = 0.31 (no significant difference in thematic distribution between pre-2022 and post-2022).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Reporting biases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assessments of risk of bias due to missing results for each synthesis.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2.3 (page 6). Supplementary File S2 (full screening log) documents all 529 excluded studies with reasons, addressing potential reporting bias.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Certainty of evidence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Present assessments of certainty (or confidence) in body of evidence for each outcome assessed.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2.6 (page 8). Appendix B, Table B2-B3. Overall: 62% high methodological rigor; Global South studies show higher decolonial contribution (87%) than Global North (26%).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DISCUSSION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Discussion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23a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Provide general interpretation of results in context of other evidence.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Section 4 (pages 13-27). Interpretation of RQ1-RQ3 findings; comparison with existing literature (digital colonialism, 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epistemicide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, ethics washing).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23b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Discuss limitations of evidence included in the review.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4.5 (page 26). Limitations: temporal scope (2015-2025), language/geographic biases (English-language, Global North institutions), secondary data only.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23c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Discuss limitations of review processes used.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4.5 (page 26). Limited to secondary data; prospective design captures post-</w:t>
            </w:r>
            <w:proofErr w:type="spellStart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ChatGPT</w:t>
            </w:r>
            <w:proofErr w:type="spellEnd"/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surge but may miss recent advances; language and geographic biases persist.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23d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Discuss implications of results for practice, policy, and future research.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Section 4.2-4.4 (pages 18-26). FGAIEE framework (Figures 3-4, Table 5). Practical leverage points (Table 3). Multi-actor coalitions (Table 5). Frugal AI and material infrastructures (Section 4.4).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54578E">
              <w:rPr>
                <w:rFonts w:asciiTheme="majorBidi" w:eastAsia="Times New Roman" w:hAnsiTheme="majorBidi" w:cstheme="majorBidi"/>
                <w:sz w:val="24"/>
                <w:szCs w:val="24"/>
              </w:rPr>
              <w:t>OTHER INFORMATION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Registration &amp; protocol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24a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Provide registration information for the review, or state that review was not registered.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registered. This information should be added to Section 2.1 or as a note. (PRISMA does not require registration for non-Cochrane reviews, but transparency is encouraged.)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24b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Indicate where review protocol can be accessed, or state that protocol was not prepared.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 formal protocol was prepared. (Add statement to Section 2.1.)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24c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and explain any amendments to information provided at registration or in protocol.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applicable (no registration/protocol).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Support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Describe sources of financial or non-financial support for the review, and role of funders.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Funding Statement (page 29): "This research received no external funding."</w:t>
            </w:r>
          </w:p>
        </w:tc>
      </w:tr>
      <w:tr w:rsidR="008C726D" w:rsidRPr="008C726D" w:rsidTr="005457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Competing interests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Declare any competing interests of review authors.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Not explicitly stated. Should be added before Acknowledgments. (Recommend: "The authors declare no competing interests.")</w:t>
            </w:r>
          </w:p>
        </w:tc>
      </w:tr>
      <w:tr w:rsidR="008C726D" w:rsidRPr="008C726D" w:rsidTr="005457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Availability of data, code, other materials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27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Report which of the following are publicly available and where: data collection forms; extracted data; data used for analyses; analytic code; any other materials.</w:t>
            </w:r>
          </w:p>
        </w:tc>
        <w:tc>
          <w:tcPr>
            <w:tcW w:w="0" w:type="auto"/>
            <w:hideMark/>
          </w:tcPr>
          <w:p w:rsidR="008C726D" w:rsidRPr="008C726D" w:rsidRDefault="008C726D" w:rsidP="008C726D">
            <w:pPr>
              <w:spacing w:line="375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8C726D">
              <w:rPr>
                <w:rFonts w:asciiTheme="majorBidi" w:eastAsia="Times New Roman" w:hAnsiTheme="majorBidi" w:cstheme="majorBidi"/>
                <w:sz w:val="24"/>
                <w:szCs w:val="24"/>
              </w:rPr>
              <w:t>Data Availability Statement (page 28-29). Lists: Supplementary File S1 (PRISMA checklist), S2 (screening log), S3 (data extraction forms), S4 (coding matrices), S5 (sample excluded/included studies). Appendix A-D in manuscript. All available from corresponding author upon reasonable request.</w:t>
            </w:r>
          </w:p>
        </w:tc>
      </w:tr>
    </w:tbl>
    <w:p w:rsidR="008C726D" w:rsidRPr="0054578E" w:rsidRDefault="008C726D">
      <w:pPr>
        <w:rPr>
          <w:rFonts w:asciiTheme="majorBidi" w:hAnsiTheme="majorBidi" w:cstheme="majorBidi"/>
          <w:sz w:val="24"/>
          <w:szCs w:val="24"/>
        </w:rPr>
      </w:pPr>
    </w:p>
    <w:sectPr w:rsidR="008C726D" w:rsidRPr="00545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26D"/>
    <w:rsid w:val="00427418"/>
    <w:rsid w:val="0054578E"/>
    <w:rsid w:val="008C726D"/>
    <w:rsid w:val="00BC6A58"/>
    <w:rsid w:val="00F6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E70A"/>
  <w15:chartTrackingRefBased/>
  <w15:docId w15:val="{A56DAB60-87B7-4B22-9B93-6482F19ED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C72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726D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Normal"/>
    <w:rsid w:val="008C72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C726D"/>
    <w:rPr>
      <w:b/>
      <w:bCs/>
    </w:rPr>
  </w:style>
  <w:style w:type="table" w:styleId="PlainTable2">
    <w:name w:val="Plain Table 2"/>
    <w:basedOn w:val="TableNormal"/>
    <w:uiPriority w:val="42"/>
    <w:rsid w:val="005457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776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dwimariyono</dc:creator>
  <cp:keywords/>
  <dc:description/>
  <cp:lastModifiedBy>dwimariyono</cp:lastModifiedBy>
  <cp:revision>2</cp:revision>
  <dcterms:created xsi:type="dcterms:W3CDTF">2026-04-08T13:14:00Z</dcterms:created>
  <dcterms:modified xsi:type="dcterms:W3CDTF">2026-04-08T13:16:00Z</dcterms:modified>
</cp:coreProperties>
</file>