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before="480" w:after="40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i w:val="false"/>
          <w:iCs w:val="false"/>
          <w:sz w:val="28"/>
          <w:szCs w:val="28"/>
        </w:rPr>
        <w:t xml:space="preserve">FIGURES</w:t>
      </w:r>
    </w:p>
    <w:p>
      <w:pPr>
        <w:spacing w:before="0" w:after="80" w:line="480" w:lineRule="auto"/>
        <w:jc w:val="center"/>
      </w:pPr>
      <w:r>
        <w:rPr>
          <w:rFonts w:ascii="Times New Roman" w:cs="Times New Roman" w:eastAsia="Times New Roman" w:hAnsi="Times New Roman"/>
          <w:b w:val="false"/>
          <w:bCs w:val="false"/>
          <w:i/>
          <w:iCs/>
          <w:sz w:val="18"/>
          <w:szCs w:val="18"/>
        </w:rPr>
        <w:t xml:space="preserve">Manuscript: Evaluation of Road Traffic Noise Pollution Using the IDW Interpolation Method</w:t>
      </w:r>
    </w:p>
    <w:p>
      <w:pPr>
        <w:spacing w:before="0" w:after="400" w:line="480" w:lineRule="auto"/>
        <w:jc w:val="center"/>
      </w:pPr>
      <w:r>
        <w:rPr>
          <w:rFonts w:ascii="Times New Roman" w:cs="Times New Roman" w:eastAsia="Times New Roman" w:hAnsi="Times New Roman"/>
          <w:b w:val="false"/>
          <w:bCs w:val="false"/>
          <w:i/>
          <w:iCs/>
          <w:sz w:val="18"/>
          <w:szCs w:val="18"/>
        </w:rPr>
        <w:t xml:space="preserve">Municipality of Ain Benian, Algiers, Algeria</w:t>
      </w:r>
    </w:p>
    <w:p>
      <w:pPr>
        <w:spacing w:before="0" w:after="80" w:line="480" w:lineRule="auto"/>
        <w:jc w:val="cente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sz w:val="18"/>
          <w:szCs w:val="18"/>
        </w:rPr>
        <w:t xml:space="preserve">Submitted to: Environmental Monitoring and Assessment (Springer)</w:t>
      </w:r>
    </w:p>
    <w:p>
      <w:pPr>
        <w:spacing w:before="0" w:after="80" w:line="480" w:lineRule="auto"/>
        <w:jc w:val="cente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sz w:val="18"/>
          <w:szCs w:val="18"/>
        </w:rPr>
        <w:t xml:space="preserve">ISSN: 0167-6369 (print) | 1573-2959 (online)</w:t>
      </w:r>
    </w:p>
    <w:p>
      <w:pPr>
        <w:spacing w:before="0" w:after="400" w:line="480" w:lineRule="auto"/>
        <w:jc w:val="cente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sz w:val="18"/>
          <w:szCs w:val="18"/>
        </w:rPr>
        <w:t xml:space="preserve">Total figures: 11 (Figs. 1–11)</w:t>
      </w:r>
    </w:p>
    <w:p>
      <w:pPr>
        <w:pageBreakBefore/>
        <w:spacing w:before="0" w:after="0"/>
      </w:pPr>
      <w:r>
        <w:t xml:space="preserve"/>
      </w:r>
    </w:p>
    <w:p>
      <w:pPr>
        <w:spacing w:before="0" w:after="8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i w:val="false"/>
          <w:iCs w:val="false"/>
          <w:sz w:val="20"/>
          <w:szCs w:val="20"/>
        </w:rPr>
        <w:t xml:space="preserve">Figure 1</w:t>
      </w:r>
    </w:p>
    <w:p>
      <w:pPr>
        <w:spacing w:before="200" w:after="120"/>
        <w:jc w:val="center"/>
      </w:pPr>
      <w:r>
        <w:drawing>
          <wp:inline distT="0" distB="0" distL="0" distR="0">
            <wp:extent cx="3933825" cy="557212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0" w:after="6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sz w:val="18"/>
          <w:szCs w:val="18"/>
        </w:rPr>
        <w:t xml:space="preserve">Fig. 1  </w:t>
      </w:r>
      <w:r>
        <w:rPr>
          <w:rFonts w:ascii="Times New Roman" w:cs="Times New Roman" w:eastAsia="Times New Roman" w:hAnsi="Times New Roman"/>
          <w:i/>
          <w:iCs/>
          <w:sz w:val="18"/>
          <w:szCs w:val="18"/>
        </w:rPr>
        <w:t xml:space="preserve">Location map of the study area — Municipality of Ain Benian, Algiers, Algeria.</w:t>
      </w:r>
    </w:p>
    <w:p>
      <w:pPr>
        <w:spacing w:before="40" w:after="300" w:line="480" w:lineRule="auto"/>
        <w:jc w:val="center"/>
      </w:pPr>
      <w:r>
        <w:rPr>
          <w:rFonts w:ascii="Times New Roman" w:cs="Times New Roman" w:eastAsia="Times New Roman" w:hAnsi="Times New Roman"/>
          <w:b w:val="false"/>
          <w:bCs w:val="false"/>
          <w:i/>
          <w:iCs/>
          <w:sz w:val="16"/>
          <w:szCs w:val="16"/>
        </w:rPr>
        <w:t xml:space="preserve">Note: Map lines delineate study areas and do not necessarily depict accepted national boundaries.</w:t>
      </w:r>
    </w:p>
    <w:p>
      <w:pPr>
        <w:pageBreakBefore/>
        <w:spacing w:before="0" w:after="0"/>
      </w:pPr>
      <w:r>
        <w:t xml:space="preserve"/>
      </w:r>
    </w:p>
    <w:p>
      <w:pPr>
        <w:spacing w:before="0" w:after="8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i w:val="false"/>
          <w:iCs w:val="false"/>
          <w:sz w:val="20"/>
          <w:szCs w:val="20"/>
        </w:rPr>
        <w:t xml:space="preserve">Figure 2</w:t>
      </w:r>
    </w:p>
    <w:p>
      <w:pPr>
        <w:spacing w:before="200" w:after="120"/>
        <w:jc w:val="center"/>
      </w:pPr>
      <w:r>
        <w:drawing>
          <wp:inline distT="0" distB="0" distL="0" distR="0">
            <wp:extent cx="5810250" cy="35623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0" w:after="6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sz w:val="18"/>
          <w:szCs w:val="18"/>
        </w:rPr>
        <w:t xml:space="preserve">Fig. 2  </w:t>
      </w:r>
      <w:r>
        <w:rPr>
          <w:rFonts w:ascii="Times New Roman" w:cs="Times New Roman" w:eastAsia="Times New Roman" w:hAnsi="Times New Roman"/>
          <w:i/>
          <w:iCs/>
          <w:sz w:val="18"/>
          <w:szCs w:val="18"/>
        </w:rPr>
        <w:t xml:space="preserve">Zoning of Ain Benian municipality into POS 129, 130, and 131.</w:t>
      </w:r>
    </w:p>
    <w:p>
      <w:pPr>
        <w:spacing w:before="40" w:after="300" w:line="480" w:lineRule="auto"/>
        <w:jc w:val="center"/>
      </w:pPr>
      <w:r>
        <w:rPr>
          <w:rFonts w:ascii="Times New Roman" w:cs="Times New Roman" w:eastAsia="Times New Roman" w:hAnsi="Times New Roman"/>
          <w:b w:val="false"/>
          <w:bCs w:val="false"/>
          <w:i/>
          <w:iCs/>
          <w:sz w:val="16"/>
          <w:szCs w:val="16"/>
        </w:rPr>
        <w:t xml:space="preserve">Note: Map lines delineate study areas and do not necessarily depict accepted national boundaries.</w:t>
      </w:r>
    </w:p>
    <w:p>
      <w:pPr>
        <w:pageBreakBefore/>
        <w:spacing w:before="0" w:after="0"/>
      </w:pPr>
      <w:r>
        <w:t xml:space="preserve"/>
      </w:r>
    </w:p>
    <w:p>
      <w:pPr>
        <w:spacing w:before="0" w:after="8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i w:val="false"/>
          <w:iCs w:val="false"/>
          <w:sz w:val="20"/>
          <w:szCs w:val="20"/>
        </w:rPr>
        <w:t xml:space="preserve">Figure 3</w:t>
      </w:r>
    </w:p>
    <w:p>
      <w:pPr>
        <w:spacing w:before="200" w:after="120"/>
        <w:jc w:val="center"/>
      </w:pPr>
      <w:r>
        <w:drawing>
          <wp:inline distT="0" distB="0" distL="0" distR="0">
            <wp:extent cx="5810250" cy="20193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0" w:after="6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sz w:val="18"/>
          <w:szCs w:val="18"/>
        </w:rPr>
        <w:t xml:space="preserve">Fig. 3  </w:t>
      </w:r>
      <w:r>
        <w:rPr>
          <w:rFonts w:ascii="Times New Roman" w:cs="Times New Roman" w:eastAsia="Times New Roman" w:hAnsi="Times New Roman"/>
          <w:i/>
          <w:iCs/>
          <w:sz w:val="18"/>
          <w:szCs w:val="18"/>
        </w:rPr>
        <w:t xml:space="preserve">Survey results: (a) gender distribution, (b) age distribution, and (c) primary transport mode among 170 respondents (Ain Benian, 2024).</w:t>
      </w:r>
    </w:p>
    <w:p>
      <w:pPr>
        <w:spacing w:before="0" w:after="120" w:line="480" w:lineRule="auto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sz w:val="20"/>
          <w:szCs w:val="20"/>
        </w:rPr>
        <w:t xml:space="preserve"/>
      </w:r>
    </w:p>
    <w:p>
      <w:pPr>
        <w:pageBreakBefore/>
        <w:spacing w:before="0" w:after="0"/>
      </w:pPr>
      <w:r>
        <w:t xml:space="preserve"/>
      </w:r>
    </w:p>
    <w:p>
      <w:pPr>
        <w:spacing w:before="0" w:after="8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i w:val="false"/>
          <w:iCs w:val="false"/>
          <w:sz w:val="20"/>
          <w:szCs w:val="20"/>
        </w:rPr>
        <w:t xml:space="preserve">Figure 4</w:t>
      </w:r>
    </w:p>
    <w:p>
      <w:pPr>
        <w:spacing w:before="200" w:after="120"/>
        <w:jc w:val="center"/>
      </w:pPr>
      <w:r>
        <w:drawing>
          <wp:inline distT="0" distB="0" distL="0" distR="0">
            <wp:extent cx="5810250" cy="355282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0" w:after="6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sz w:val="18"/>
          <w:szCs w:val="18"/>
        </w:rPr>
        <w:t xml:space="preserve">Fig. 4  </w:t>
      </w:r>
      <w:r>
        <w:rPr>
          <w:rFonts w:ascii="Times New Roman" w:cs="Times New Roman" w:eastAsia="Times New Roman" w:hAnsi="Times New Roman"/>
          <w:i/>
          <w:iCs/>
          <w:sz w:val="18"/>
          <w:szCs w:val="18"/>
        </w:rPr>
        <w:t xml:space="preserve">Location map of the 63 measurement stations across Ain Benian municipality.</w:t>
      </w:r>
    </w:p>
    <w:p>
      <w:pPr>
        <w:spacing w:before="0" w:after="120" w:line="480" w:lineRule="auto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sz w:val="20"/>
          <w:szCs w:val="20"/>
        </w:rPr>
        <w:t xml:space="preserve"/>
      </w:r>
    </w:p>
    <w:p>
      <w:pPr>
        <w:pageBreakBefore/>
        <w:spacing w:before="0" w:after="0"/>
      </w:pPr>
      <w:r>
        <w:t xml:space="preserve"/>
      </w:r>
    </w:p>
    <w:p>
      <w:pPr>
        <w:spacing w:before="0" w:after="8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i w:val="false"/>
          <w:iCs w:val="false"/>
          <w:sz w:val="20"/>
          <w:szCs w:val="20"/>
        </w:rPr>
        <w:t xml:space="preserve">Figure 5a</w:t>
      </w:r>
    </w:p>
    <w:p>
      <w:pPr>
        <w:spacing w:before="200" w:after="120"/>
        <w:jc w:val="center"/>
      </w:pPr>
      <w:r>
        <w:drawing>
          <wp:inline distT="0" distB="0" distL="0" distR="0">
            <wp:extent cx="5810250" cy="23907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0" w:after="6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sz w:val="18"/>
          <w:szCs w:val="18"/>
        </w:rPr>
        <w:t xml:space="preserve">Fig. 5a  </w:t>
      </w:r>
      <w:r>
        <w:rPr>
          <w:rFonts w:ascii="Times New Roman" w:cs="Times New Roman" w:eastAsia="Times New Roman" w:hAnsi="Times New Roman"/>
          <w:i/>
          <w:iCs/>
          <w:sz w:val="18"/>
          <w:szCs w:val="18"/>
        </w:rPr>
        <w:t xml:space="preserve">Sensitivity analysis of the IDW power parameter (p = 1, 2, 3): RMSE and MAE values for the three measurement periods. p = 2 was selected as the optimal value.</w:t>
      </w:r>
    </w:p>
    <w:p>
      <w:pPr>
        <w:spacing w:before="0" w:after="120" w:line="480" w:lineRule="auto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sz w:val="20"/>
          <w:szCs w:val="20"/>
        </w:rPr>
        <w:t xml:space="preserve"/>
      </w:r>
    </w:p>
    <w:p>
      <w:pPr>
        <w:pageBreakBefore/>
        <w:spacing w:before="0" w:after="0"/>
      </w:pPr>
      <w:r>
        <w:t xml:space="preserve"/>
      </w:r>
    </w:p>
    <w:p>
      <w:pPr>
        <w:spacing w:before="0" w:after="8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i w:val="false"/>
          <w:iCs w:val="false"/>
          <w:sz w:val="20"/>
          <w:szCs w:val="20"/>
        </w:rPr>
        <w:t xml:space="preserve">Figure 5b</w:t>
      </w:r>
    </w:p>
    <w:p>
      <w:pPr>
        <w:spacing w:before="200" w:after="120"/>
        <w:jc w:val="center"/>
      </w:pPr>
      <w:r>
        <w:drawing>
          <wp:inline distT="0" distB="0" distL="0" distR="0">
            <wp:extent cx="5810250" cy="18954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0" w:after="6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sz w:val="18"/>
          <w:szCs w:val="18"/>
        </w:rPr>
        <w:t xml:space="preserve">Fig. 5b  </w:t>
      </w:r>
      <w:r>
        <w:rPr>
          <w:rFonts w:ascii="Times New Roman" w:cs="Times New Roman" w:eastAsia="Times New Roman" w:hAnsi="Times New Roman"/>
          <w:i/>
          <w:iCs/>
          <w:sz w:val="18"/>
          <w:szCs w:val="18"/>
        </w:rPr>
        <w:t xml:space="preserve">Leave-one-out cross-validation (LOOCV) results: predicted vs. observed noise levels for morning, midday, and evening periods. RMSE = 5.09 dB(A) (morning and midday), 5.18 dB(A) (evening).</w:t>
      </w:r>
    </w:p>
    <w:p>
      <w:pPr>
        <w:spacing w:before="0" w:after="120" w:line="480" w:lineRule="auto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sz w:val="20"/>
          <w:szCs w:val="20"/>
        </w:rPr>
        <w:t xml:space="preserve"/>
      </w:r>
    </w:p>
    <w:p>
      <w:pPr>
        <w:pageBreakBefore/>
        <w:spacing w:before="0" w:after="0"/>
      </w:pPr>
      <w:r>
        <w:t xml:space="preserve"/>
      </w:r>
    </w:p>
    <w:p>
      <w:pPr>
        <w:spacing w:before="0" w:after="8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i w:val="false"/>
          <w:iCs w:val="false"/>
          <w:sz w:val="20"/>
          <w:szCs w:val="20"/>
        </w:rPr>
        <w:t xml:space="preserve">Figure 6</w:t>
      </w:r>
    </w:p>
    <w:p>
      <w:pPr>
        <w:spacing w:before="200" w:after="120"/>
        <w:jc w:val="center"/>
      </w:pPr>
      <w:r>
        <w:drawing>
          <wp:inline distT="0" distB="0" distL="0" distR="0">
            <wp:extent cx="5810250" cy="225742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0" w:after="6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sz w:val="18"/>
          <w:szCs w:val="18"/>
        </w:rPr>
        <w:t xml:space="preserve">Fig. 6  </w:t>
      </w:r>
      <w:r>
        <w:rPr>
          <w:rFonts w:ascii="Times New Roman" w:cs="Times New Roman" w:eastAsia="Times New Roman" w:hAnsi="Times New Roman"/>
          <w:i/>
          <w:iCs/>
          <w:sz w:val="18"/>
          <w:szCs w:val="18"/>
        </w:rPr>
        <w:t xml:space="preserve">(a) Boxplot distribution of noise levels by measurement period with WHO (53 dB) and Algerian (70 dB) regulatory thresholds; (b) percentage of measurement points exceeding noise thresholds by period.</w:t>
      </w:r>
    </w:p>
    <w:p>
      <w:pPr>
        <w:spacing w:before="0" w:after="120" w:line="480" w:lineRule="auto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sz w:val="20"/>
          <w:szCs w:val="20"/>
        </w:rPr>
        <w:t xml:space="preserve"/>
      </w:r>
    </w:p>
    <w:p>
      <w:pPr>
        <w:pageBreakBefore/>
        <w:spacing w:before="0" w:after="0"/>
      </w:pPr>
      <w:r>
        <w:t xml:space="preserve"/>
      </w:r>
    </w:p>
    <w:p>
      <w:pPr>
        <w:spacing w:before="0" w:after="8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i w:val="false"/>
          <w:iCs w:val="false"/>
          <w:sz w:val="20"/>
          <w:szCs w:val="20"/>
        </w:rPr>
        <w:t xml:space="preserve">Figure 7</w:t>
      </w:r>
    </w:p>
    <w:p>
      <w:pPr>
        <w:spacing w:before="200" w:after="120"/>
        <w:jc w:val="center"/>
      </w:pPr>
      <w:r>
        <w:drawing>
          <wp:inline distT="0" distB="0" distL="0" distR="0">
            <wp:extent cx="5810250" cy="18859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0" w:after="6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sz w:val="18"/>
          <w:szCs w:val="18"/>
        </w:rPr>
        <w:t xml:space="preserve">Fig. 7  </w:t>
      </w:r>
      <w:r>
        <w:rPr>
          <w:rFonts w:ascii="Times New Roman" w:cs="Times New Roman" w:eastAsia="Times New Roman" w:hAnsi="Times New Roman"/>
          <w:i/>
          <w:iCs/>
          <w:sz w:val="18"/>
          <w:szCs w:val="18"/>
        </w:rPr>
        <w:t xml:space="preserve">Indicative health risk assessment based on WHO (2018) dose–response functions applied to estimated Lden: (a) estimated number of residents potentially affected; (b) proportion highly annoyed and at sleep disturbance risk as a function of Lden; (c) relative risk for ischaemic heart disease as a function of Lden.</w:t>
      </w:r>
    </w:p>
    <w:p>
      <w:pPr>
        <w:spacing w:before="40" w:after="300" w:line="480" w:lineRule="auto"/>
        <w:jc w:val="center"/>
      </w:pPr>
      <w:r>
        <w:rPr>
          <w:rFonts w:ascii="Times New Roman" w:cs="Times New Roman" w:eastAsia="Times New Roman" w:hAnsi="Times New Roman"/>
          <w:b w:val="false"/>
          <w:bCs w:val="false"/>
          <w:i/>
          <w:iCs/>
          <w:sz w:val="16"/>
          <w:szCs w:val="16"/>
        </w:rPr>
        <w:t xml:space="preserve">Note: Values are indicative estimates subject to the limitations described in the text.</w:t>
      </w:r>
    </w:p>
    <w:p>
      <w:pPr>
        <w:pageBreakBefore/>
        <w:spacing w:before="0" w:after="0"/>
      </w:pPr>
      <w:r>
        <w:t xml:space="preserve"/>
      </w:r>
    </w:p>
    <w:p>
      <w:pPr>
        <w:spacing w:before="0" w:after="8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i w:val="false"/>
          <w:iCs w:val="false"/>
          <w:sz w:val="20"/>
          <w:szCs w:val="20"/>
        </w:rPr>
        <w:t xml:space="preserve">Figure 8</w:t>
      </w:r>
    </w:p>
    <w:p>
      <w:pPr>
        <w:spacing w:before="200" w:after="120"/>
        <w:jc w:val="center"/>
      </w:pPr>
      <w:r>
        <w:drawing>
          <wp:inline distT="0" distB="0" distL="0" distR="0">
            <wp:extent cx="5553075" cy="39243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0" w:after="6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sz w:val="18"/>
          <w:szCs w:val="18"/>
        </w:rPr>
        <w:t xml:space="preserve">Fig. 8  </w:t>
      </w:r>
      <w:r>
        <w:rPr>
          <w:rFonts w:ascii="Times New Roman" w:cs="Times New Roman" w:eastAsia="Times New Roman" w:hAnsi="Times New Roman"/>
          <w:i/>
          <w:iCs/>
          <w:sz w:val="18"/>
          <w:szCs w:val="18"/>
        </w:rPr>
        <w:t xml:space="preserve">Noise vulnerability map — Morning period (07:00–09:00).</w:t>
      </w:r>
    </w:p>
    <w:p>
      <w:pPr>
        <w:spacing w:before="40" w:after="300" w:line="480" w:lineRule="auto"/>
        <w:jc w:val="center"/>
      </w:pPr>
      <w:r>
        <w:rPr>
          <w:rFonts w:ascii="Times New Roman" w:cs="Times New Roman" w:eastAsia="Times New Roman" w:hAnsi="Times New Roman"/>
          <w:b w:val="false"/>
          <w:bCs w:val="false"/>
          <w:i/>
          <w:iCs/>
          <w:sz w:val="16"/>
          <w:szCs w:val="16"/>
        </w:rPr>
        <w:t xml:space="preserve">Note: Map lines delineate study areas and do not necessarily depict accepted national boundaries.</w:t>
      </w:r>
    </w:p>
    <w:p>
      <w:pPr>
        <w:pageBreakBefore/>
        <w:spacing w:before="0" w:after="0"/>
      </w:pPr>
      <w:r>
        <w:t xml:space="preserve"/>
      </w:r>
    </w:p>
    <w:p>
      <w:pPr>
        <w:spacing w:before="0" w:after="8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i w:val="false"/>
          <w:iCs w:val="false"/>
          <w:sz w:val="20"/>
          <w:szCs w:val="20"/>
        </w:rPr>
        <w:t xml:space="preserve">Figure 9</w:t>
      </w:r>
    </w:p>
    <w:p>
      <w:pPr>
        <w:spacing w:before="200" w:after="120"/>
        <w:jc w:val="center"/>
      </w:pPr>
      <w:r>
        <w:drawing>
          <wp:inline distT="0" distB="0" distL="0" distR="0">
            <wp:extent cx="5553075" cy="39243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0" w:after="6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sz w:val="18"/>
          <w:szCs w:val="18"/>
        </w:rPr>
        <w:t xml:space="preserve">Fig. 9  </w:t>
      </w:r>
      <w:r>
        <w:rPr>
          <w:rFonts w:ascii="Times New Roman" w:cs="Times New Roman" w:eastAsia="Times New Roman" w:hAnsi="Times New Roman"/>
          <w:i/>
          <w:iCs/>
          <w:sz w:val="18"/>
          <w:szCs w:val="18"/>
        </w:rPr>
        <w:t xml:space="preserve">Noise vulnerability map — Midday period (10:00–12:00).</w:t>
      </w:r>
    </w:p>
    <w:p>
      <w:pPr>
        <w:spacing w:before="40" w:after="300" w:line="480" w:lineRule="auto"/>
        <w:jc w:val="center"/>
      </w:pPr>
      <w:r>
        <w:rPr>
          <w:rFonts w:ascii="Times New Roman" w:cs="Times New Roman" w:eastAsia="Times New Roman" w:hAnsi="Times New Roman"/>
          <w:b w:val="false"/>
          <w:bCs w:val="false"/>
          <w:i/>
          <w:iCs/>
          <w:sz w:val="16"/>
          <w:szCs w:val="16"/>
        </w:rPr>
        <w:t xml:space="preserve">Note: Map lines delineate study areas and do not necessarily depict accepted national boundaries.</w:t>
      </w:r>
    </w:p>
    <w:p>
      <w:pPr>
        <w:pageBreakBefore/>
        <w:spacing w:before="0" w:after="0"/>
      </w:pPr>
      <w:r>
        <w:t xml:space="preserve"/>
      </w:r>
    </w:p>
    <w:p>
      <w:pPr>
        <w:spacing w:before="0" w:after="8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i w:val="false"/>
          <w:iCs w:val="false"/>
          <w:sz w:val="20"/>
          <w:szCs w:val="20"/>
        </w:rPr>
        <w:t xml:space="preserve">Figure 10</w:t>
      </w:r>
    </w:p>
    <w:p>
      <w:pPr>
        <w:spacing w:before="200" w:after="120"/>
        <w:jc w:val="center"/>
      </w:pPr>
      <w:r>
        <w:drawing>
          <wp:inline distT="0" distB="0" distL="0" distR="0">
            <wp:extent cx="5553075" cy="393382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0" w:after="6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sz w:val="18"/>
          <w:szCs w:val="18"/>
        </w:rPr>
        <w:t xml:space="preserve">Fig. 10  </w:t>
      </w:r>
      <w:r>
        <w:rPr>
          <w:rFonts w:ascii="Times New Roman" w:cs="Times New Roman" w:eastAsia="Times New Roman" w:hAnsi="Times New Roman"/>
          <w:i/>
          <w:iCs/>
          <w:sz w:val="18"/>
          <w:szCs w:val="18"/>
        </w:rPr>
        <w:t xml:space="preserve">Noise vulnerability map — Evening period (16:00–18:00).</w:t>
      </w:r>
    </w:p>
    <w:p>
      <w:pPr>
        <w:spacing w:before="40" w:after="300" w:line="480" w:lineRule="auto"/>
        <w:jc w:val="center"/>
      </w:pPr>
      <w:r>
        <w:rPr>
          <w:rFonts w:ascii="Times New Roman" w:cs="Times New Roman" w:eastAsia="Times New Roman" w:hAnsi="Times New Roman"/>
          <w:b w:val="false"/>
          <w:bCs w:val="false"/>
          <w:i/>
          <w:iCs/>
          <w:sz w:val="16"/>
          <w:szCs w:val="16"/>
        </w:rPr>
        <w:t xml:space="preserve">Note: Map lines delineate study areas and do not necessarily depict accepted national boundaries.</w:t>
      </w:r>
    </w:p>
    <w:p>
      <w:pPr>
        <w:pageBreakBefore/>
        <w:spacing w:before="0" w:after="0"/>
      </w:pPr>
      <w:r>
        <w:t xml:space="preserve"/>
      </w:r>
    </w:p>
    <w:p>
      <w:pPr>
        <w:spacing w:before="0" w:after="8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i w:val="false"/>
          <w:iCs w:val="false"/>
          <w:sz w:val="20"/>
          <w:szCs w:val="20"/>
        </w:rPr>
        <w:t xml:space="preserve">Figure 11</w:t>
      </w:r>
    </w:p>
    <w:p>
      <w:pPr>
        <w:spacing w:before="200" w:after="120"/>
        <w:jc w:val="center"/>
      </w:pPr>
      <w:r>
        <w:drawing>
          <wp:inline distT="0" distB="0" distL="0" distR="0">
            <wp:extent cx="5553075" cy="393382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0" w:after="60" w:line="480" w:lineRule="auto"/>
        <w:jc w:val="center"/>
      </w:pPr>
      <w:r>
        <w:rPr>
          <w:rFonts w:ascii="Times New Roman" w:cs="Times New Roman" w:eastAsia="Times New Roman" w:hAnsi="Times New Roman"/>
          <w:b/>
          <w:bCs/>
          <w:sz w:val="18"/>
          <w:szCs w:val="18"/>
        </w:rPr>
        <w:t xml:space="preserve">Fig. 11  </w:t>
      </w:r>
      <w:r>
        <w:rPr>
          <w:rFonts w:ascii="Times New Roman" w:cs="Times New Roman" w:eastAsia="Times New Roman" w:hAnsi="Times New Roman"/>
          <w:i/>
          <w:iCs/>
          <w:sz w:val="18"/>
          <w:szCs w:val="18"/>
        </w:rPr>
        <w:t xml:space="preserve">Summary noise map and spatial distribution of exposure zones in Ain Benian municipality.</w:t>
      </w:r>
    </w:p>
    <w:p>
      <w:pPr>
        <w:spacing w:before="40" w:after="300" w:line="480" w:lineRule="auto"/>
        <w:jc w:val="center"/>
      </w:pPr>
      <w:r>
        <w:rPr>
          <w:rFonts w:ascii="Times New Roman" w:cs="Times New Roman" w:eastAsia="Times New Roman" w:hAnsi="Times New Roman"/>
          <w:b w:val="false"/>
          <w:bCs w:val="false"/>
          <w:i/>
          <w:iCs/>
          <w:sz w:val="16"/>
          <w:szCs w:val="16"/>
        </w:rPr>
        <w:t xml:space="preserve">Note: Map lines delineate study areas and do not necessarily depict accepted national boundaries.</w:t>
      </w:r>
    </w:p>
    <w:sectPr>
      <w:headerReference w:type="default" r:id="rId6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jc w:val="right"/>
    </w:pPr>
    <w:r>
      <w:rPr>
        <w:rFonts w:ascii="Times New Roman" w:cs="Times New Roman" w:eastAsia="Times New Roman" w:hAnsi="Times New Roman"/>
        <w:b w:val="false"/>
        <w:bCs w:val="false"/>
        <w:i/>
        <w:iCs/>
        <w:sz w:val="16"/>
        <w:szCs w:val="16"/>
      </w:rPr>
      <w:t xml:space="preserve">Figures — Ain Benian Noise Study  |  </w:t>
    </w:r>
    <w:r>
      <w:rPr>
        <w:rFonts w:ascii="Times New Roman" w:cs="Times New Roman" w:eastAsia="Times New Roman" w:hAnsi="Times New Roman"/>
        <w:sz w:val="16"/>
        <w:szCs w:val="16"/>
      </w:rPr>
      <w:fldChar w:fldCharType="begin"/>
      <w:instrText xml:space="preserve">PAGE</w:instrText>
      <w:fldChar w:fldCharType="separate"/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cs="Times New Roman" w:eastAsia="Times New Roman" w:hAnsi="Times New Roman"/>
        <w:sz w:val="20"/>
        <w:szCs w:val="20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fe8ae8d83a80bf8bffb6bee69faa2a36a8107d75.jpg"/><Relationship Id="rId8" Type="http://schemas.openxmlformats.org/officeDocument/2006/relationships/image" Target="media/8acaf8316a2e0b708fbacff6a8c2e583de1e4764.png"/><Relationship Id="rId9" Type="http://schemas.openxmlformats.org/officeDocument/2006/relationships/image" Target="media/1089fdabe91807a67f48d14c42bf79d27fe95250.png"/><Relationship Id="rId10" Type="http://schemas.openxmlformats.org/officeDocument/2006/relationships/image" Target="media/557427176a31cf0ba4ec8892008f5d7d70e51a37.png"/><Relationship Id="rId11" Type="http://schemas.openxmlformats.org/officeDocument/2006/relationships/image" Target="media/2772793e7062e42fcc90a13ba5f8b8be967b04e4.png"/><Relationship Id="rId12" Type="http://schemas.openxmlformats.org/officeDocument/2006/relationships/image" Target="media/6245892e3f97f4d73e05d9561465781523e66cc2.png"/><Relationship Id="rId13" Type="http://schemas.openxmlformats.org/officeDocument/2006/relationships/image" Target="media/39701d6aadbb37961654f7df8219d58ec95a4e5d.png"/><Relationship Id="rId14" Type="http://schemas.openxmlformats.org/officeDocument/2006/relationships/image" Target="media/17476b9e1d12fd1601e4fcb297c53aa107795b8e.png"/><Relationship Id="rId15" Type="http://schemas.openxmlformats.org/officeDocument/2006/relationships/image" Target="media/b4e47b434d6d0f70909a940b3dd0d221e878b4fe.png"/><Relationship Id="rId16" Type="http://schemas.openxmlformats.org/officeDocument/2006/relationships/image" Target="media/29005a0f95c58460f82d1a2d694a741f36310792.png"/><Relationship Id="rId17" Type="http://schemas.openxmlformats.org/officeDocument/2006/relationships/image" Target="media/4b9962670198363d0549a5d6f7394336178d3c4a.png"/><Relationship Id="rId18" Type="http://schemas.openxmlformats.org/officeDocument/2006/relationships/image" Target="media/fcec899f37e61bf1b0b772cc44938347648c8c99.png"/><Relationship Id="rId19" Type="http://schemas.openxmlformats.org/officeDocument/2006/relationships/fontTable" Target="fontTable.xml"/></Relationships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2026-03-26T09:38:45.300Z</dcterms:created>
  <dcterms:modified xsi:type="dcterms:W3CDTF">2026-03-26T09:38:45.301Z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