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FF909" w14:textId="74509223" w:rsidR="00312610" w:rsidRPr="00312610" w:rsidRDefault="00312610">
      <w:pPr>
        <w:pBdr>
          <w:bottom w:val="single" w:sz="6" w:space="1" w:color="auto"/>
        </w:pBdr>
        <w:rPr>
          <w:b/>
          <w:bCs/>
        </w:rPr>
      </w:pPr>
      <w:r w:rsidRPr="00312610">
        <w:rPr>
          <w:b/>
          <w:bCs/>
        </w:rPr>
        <w:t>Online Supplement</w:t>
      </w:r>
    </w:p>
    <w:p w14:paraId="7835B86D" w14:textId="77777777" w:rsidR="00312610" w:rsidRDefault="00312610"/>
    <w:p w14:paraId="4EFA32F7" w14:textId="0156BA20" w:rsidR="00312610" w:rsidRDefault="00312610"/>
    <w:p w14:paraId="63F857BE" w14:textId="1F8F5974" w:rsidR="000766A7" w:rsidRDefault="00FF696C">
      <w:r>
        <w:rPr>
          <w:noProof/>
        </w:rPr>
        <w:drawing>
          <wp:inline distT="0" distB="0" distL="0" distR="0" wp14:anchorId="59677D46" wp14:editId="048D8960">
            <wp:extent cx="5760720" cy="4032250"/>
            <wp:effectExtent l="0" t="0" r="5080" b="6350"/>
            <wp:docPr id="1201754339" name="Afbeelding 1" descr="Afbeelding met diagram, lijn, tekst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54339" name="Afbeelding 1" descr="Afbeelding met diagram, lijn, tekst, Perceel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6B4A" w14:textId="24B22F27" w:rsidR="00312610" w:rsidRPr="009F5D51" w:rsidRDefault="00EC088F" w:rsidP="00DC1D75">
      <w:pPr>
        <w:jc w:val="both"/>
        <w:rPr>
          <w:i/>
          <w:iCs/>
          <w:sz w:val="20"/>
          <w:szCs w:val="20"/>
          <w:lang w:val="en-US"/>
        </w:rPr>
      </w:pPr>
      <w:r w:rsidRPr="006E5F8E">
        <w:rPr>
          <w:b/>
          <w:bCs/>
          <w:i/>
          <w:iCs/>
          <w:sz w:val="20"/>
          <w:szCs w:val="20"/>
          <w:lang w:val="en-US"/>
        </w:rPr>
        <w:t xml:space="preserve">Figure </w:t>
      </w:r>
      <w:r>
        <w:rPr>
          <w:b/>
          <w:bCs/>
          <w:i/>
          <w:iCs/>
          <w:sz w:val="20"/>
          <w:szCs w:val="20"/>
          <w:lang w:val="en-US"/>
        </w:rPr>
        <w:t>S1:</w:t>
      </w:r>
      <w:r w:rsidR="00DC1D75">
        <w:rPr>
          <w:b/>
          <w:bCs/>
          <w:i/>
          <w:iCs/>
          <w:sz w:val="20"/>
          <w:szCs w:val="20"/>
          <w:lang w:val="en-US"/>
        </w:rPr>
        <w:t xml:space="preserve"> </w:t>
      </w:r>
      <w:r w:rsidR="009F5D51" w:rsidRPr="009F5D51">
        <w:rPr>
          <w:b/>
          <w:bCs/>
          <w:i/>
          <w:iCs/>
          <w:sz w:val="20"/>
          <w:szCs w:val="20"/>
          <w:lang w:val="en-US"/>
        </w:rPr>
        <w:t xml:space="preserve">Changes in sex hormone levels and blood eosinophil counts following three months of gender-affirming hormone therapy (GAHT). </w:t>
      </w:r>
      <w:r w:rsidR="009F5D51">
        <w:rPr>
          <w:i/>
          <w:iCs/>
          <w:sz w:val="20"/>
          <w:szCs w:val="20"/>
          <w:lang w:val="en-US"/>
        </w:rPr>
        <w:t>P</w:t>
      </w:r>
      <w:r w:rsidR="009F5D51" w:rsidRPr="009F5D51">
        <w:rPr>
          <w:i/>
          <w:iCs/>
          <w:sz w:val="20"/>
          <w:szCs w:val="20"/>
          <w:lang w:val="en-US"/>
        </w:rPr>
        <w:t xml:space="preserve">aired </w:t>
      </w:r>
      <w:r w:rsidR="009F5D51">
        <w:rPr>
          <w:i/>
          <w:iCs/>
          <w:sz w:val="20"/>
          <w:szCs w:val="20"/>
          <w:lang w:val="en-US"/>
        </w:rPr>
        <w:t>samples</w:t>
      </w:r>
      <w:r w:rsidR="009F5D51" w:rsidRPr="009F5D51">
        <w:rPr>
          <w:i/>
          <w:iCs/>
          <w:sz w:val="20"/>
          <w:szCs w:val="20"/>
          <w:lang w:val="en-US"/>
        </w:rPr>
        <w:t xml:space="preserve"> at baseline and after 3 months of GAHT are shown for serum testosterone (A, D), serum estradiol (B, E), and blood eosinophil counts (C, F) in trans men (A</w:t>
      </w:r>
      <w:r w:rsidR="009F5D51">
        <w:rPr>
          <w:i/>
          <w:iCs/>
          <w:sz w:val="20"/>
          <w:szCs w:val="20"/>
          <w:lang w:val="en-US"/>
        </w:rPr>
        <w:t>-</w:t>
      </w:r>
      <w:r w:rsidR="009F5D51" w:rsidRPr="009F5D51">
        <w:rPr>
          <w:i/>
          <w:iCs/>
          <w:sz w:val="20"/>
          <w:szCs w:val="20"/>
          <w:lang w:val="en-US"/>
        </w:rPr>
        <w:t>C) and trans women (D</w:t>
      </w:r>
      <w:r w:rsidR="009F5D51">
        <w:rPr>
          <w:i/>
          <w:iCs/>
          <w:sz w:val="20"/>
          <w:szCs w:val="20"/>
          <w:lang w:val="en-US"/>
        </w:rPr>
        <w:t>-</w:t>
      </w:r>
      <w:r w:rsidR="009F5D51" w:rsidRPr="009F5D51">
        <w:rPr>
          <w:i/>
          <w:iCs/>
          <w:sz w:val="20"/>
          <w:szCs w:val="20"/>
          <w:lang w:val="en-US"/>
        </w:rPr>
        <w:t xml:space="preserve">F), respectively. Each dot represents one individual; lines connect paired measurements from the same participant. </w:t>
      </w:r>
      <w:r w:rsidR="009F5D51">
        <w:rPr>
          <w:i/>
          <w:iCs/>
          <w:sz w:val="20"/>
          <w:szCs w:val="20"/>
          <w:lang w:val="en-US"/>
        </w:rPr>
        <w:t>G</w:t>
      </w:r>
      <w:r w:rsidR="009F5D51" w:rsidRPr="009F5D51">
        <w:rPr>
          <w:i/>
          <w:iCs/>
          <w:sz w:val="20"/>
          <w:szCs w:val="20"/>
          <w:lang w:val="en-US"/>
        </w:rPr>
        <w:t>roup means</w:t>
      </w:r>
      <w:r w:rsidR="009F5D51">
        <w:rPr>
          <w:i/>
          <w:iCs/>
          <w:sz w:val="20"/>
          <w:szCs w:val="20"/>
          <w:lang w:val="en-US"/>
        </w:rPr>
        <w:t xml:space="preserve"> are displayed below the dots</w:t>
      </w:r>
      <w:r w:rsidR="009F5D51" w:rsidRPr="009F5D51">
        <w:rPr>
          <w:i/>
          <w:iCs/>
          <w:sz w:val="20"/>
          <w:szCs w:val="20"/>
          <w:lang w:val="en-US"/>
        </w:rPr>
        <w:t xml:space="preserve">. Statistical comparisons between baseline and 3-month timepoints were performed using the Wilcoxon signed-rank test for paired samples; Significance is indicated as follows: ***p &lt; 0.001; exact p-values are shown for non-significant comparisons. </w:t>
      </w:r>
    </w:p>
    <w:p w14:paraId="2F3E3B5E" w14:textId="77777777" w:rsidR="00EC088F" w:rsidRDefault="00EC088F">
      <w:pPr>
        <w:rPr>
          <w:b/>
          <w:bCs/>
          <w:i/>
          <w:iCs/>
          <w:sz w:val="20"/>
          <w:szCs w:val="20"/>
          <w:lang w:val="en-US"/>
        </w:rPr>
      </w:pPr>
    </w:p>
    <w:p w14:paraId="77432270" w14:textId="63125FE7" w:rsidR="00EC088F" w:rsidRPr="00FE38EE" w:rsidRDefault="005D2341">
      <w:pPr>
        <w:rPr>
          <w:b/>
          <w:bCs/>
          <w:i/>
          <w:iCs/>
          <w:sz w:val="20"/>
          <w:szCs w:val="20"/>
          <w:lang w:val="en-US"/>
        </w:rPr>
      </w:pPr>
      <w:r>
        <w:rPr>
          <w:b/>
          <w:bCs/>
          <w:i/>
          <w:iCs/>
          <w:sz w:val="20"/>
          <w:szCs w:val="20"/>
          <w:lang w:val="en-US"/>
        </w:rPr>
        <w:br w:type="page"/>
      </w:r>
    </w:p>
    <w:p w14:paraId="4989E55C" w14:textId="2D48CCAA" w:rsidR="00DC1D75" w:rsidRPr="00DC1D75" w:rsidRDefault="00312610" w:rsidP="00DC1D75">
      <w:pPr>
        <w:rPr>
          <w:b/>
          <w:bCs/>
          <w:i/>
          <w:iCs/>
          <w:sz w:val="22"/>
          <w:szCs w:val="22"/>
          <w:lang w:val="en-US"/>
        </w:rPr>
      </w:pPr>
      <w:r w:rsidRPr="00F41CCD">
        <w:rPr>
          <w:b/>
          <w:bCs/>
          <w:i/>
          <w:iCs/>
          <w:sz w:val="22"/>
          <w:szCs w:val="22"/>
          <w:lang w:val="en-US"/>
        </w:rPr>
        <w:lastRenderedPageBreak/>
        <w:t xml:space="preserve">Table </w:t>
      </w:r>
      <w:r>
        <w:rPr>
          <w:b/>
          <w:bCs/>
          <w:i/>
          <w:iCs/>
          <w:sz w:val="22"/>
          <w:szCs w:val="22"/>
          <w:lang w:val="en-US"/>
        </w:rPr>
        <w:t>S1</w:t>
      </w:r>
      <w:r w:rsidRPr="00F41CCD">
        <w:rPr>
          <w:b/>
          <w:bCs/>
          <w:i/>
          <w:iCs/>
          <w:sz w:val="22"/>
          <w:szCs w:val="22"/>
          <w:lang w:val="en-US"/>
        </w:rPr>
        <w:t xml:space="preserve">: </w:t>
      </w:r>
      <w:r w:rsidR="00DC1D75" w:rsidRPr="00DC1D75">
        <w:rPr>
          <w:b/>
          <w:bCs/>
          <w:i/>
          <w:iCs/>
          <w:sz w:val="22"/>
          <w:szCs w:val="22"/>
          <w:lang w:val="en-US"/>
        </w:rPr>
        <w:t xml:space="preserve">Immunophenotypic profiles used for the identification of the </w:t>
      </w:r>
      <w:r w:rsidR="00DC1D75">
        <w:rPr>
          <w:b/>
          <w:bCs/>
          <w:i/>
          <w:iCs/>
          <w:sz w:val="22"/>
          <w:szCs w:val="22"/>
          <w:lang w:val="en-US"/>
        </w:rPr>
        <w:t xml:space="preserve">different </w:t>
      </w:r>
      <w:r w:rsidR="00DC1D75" w:rsidRPr="00DC1D75">
        <w:rPr>
          <w:b/>
          <w:bCs/>
          <w:i/>
          <w:iCs/>
          <w:sz w:val="22"/>
          <w:szCs w:val="22"/>
          <w:lang w:val="en-US"/>
        </w:rPr>
        <w:t>populations of blood T-cells</w:t>
      </w:r>
    </w:p>
    <w:tbl>
      <w:tblPr>
        <w:tblpPr w:leftFromText="141" w:rightFromText="141" w:vertAnchor="text" w:horzAnchor="page" w:tblpX="2580" w:tblpY="823"/>
        <w:tblW w:w="69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397"/>
        <w:gridCol w:w="397"/>
        <w:gridCol w:w="469"/>
        <w:gridCol w:w="397"/>
        <w:gridCol w:w="397"/>
        <w:gridCol w:w="397"/>
        <w:gridCol w:w="397"/>
        <w:gridCol w:w="397"/>
        <w:gridCol w:w="397"/>
      </w:tblGrid>
      <w:tr w:rsidR="00DC1D75" w:rsidRPr="005E53A0" w14:paraId="0A7CEAE1" w14:textId="77777777" w:rsidTr="002E3852">
        <w:trPr>
          <w:trHeight w:val="1035"/>
        </w:trPr>
        <w:tc>
          <w:tcPr>
            <w:tcW w:w="3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30CEDE" w14:textId="77777777" w:rsidR="00DC1D75" w:rsidRPr="00DC1D75" w:rsidRDefault="00DC1D75" w:rsidP="002E385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  <w:t xml:space="preserve">FACS-sorted T-cell populations 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  <w:hideMark/>
          </w:tcPr>
          <w:p w14:paraId="4D7CE95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CD3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  <w:vAlign w:val="center"/>
            <w:hideMark/>
          </w:tcPr>
          <w:p w14:paraId="4C0FE45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CD4</w:t>
            </w: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extDirection w:val="btLr"/>
            <w:vAlign w:val="center"/>
            <w:hideMark/>
          </w:tcPr>
          <w:p w14:paraId="18B82A5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CD25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extDirection w:val="btLr"/>
            <w:vAlign w:val="center"/>
            <w:hideMark/>
          </w:tcPr>
          <w:p w14:paraId="6C3BFBD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CD127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extDirection w:val="btLr"/>
            <w:vAlign w:val="center"/>
            <w:hideMark/>
          </w:tcPr>
          <w:p w14:paraId="5438D9C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CD183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extDirection w:val="btLr"/>
            <w:vAlign w:val="center"/>
            <w:hideMark/>
          </w:tcPr>
          <w:p w14:paraId="240727A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CD185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extDirection w:val="btLr"/>
            <w:vAlign w:val="center"/>
            <w:hideMark/>
          </w:tcPr>
          <w:p w14:paraId="4189A17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CD194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extDirection w:val="btLr"/>
            <w:vAlign w:val="center"/>
            <w:hideMark/>
          </w:tcPr>
          <w:p w14:paraId="5803291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CD196</w:t>
            </w:r>
          </w:p>
        </w:tc>
        <w:tc>
          <w:tcPr>
            <w:tcW w:w="3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extDirection w:val="btLr"/>
            <w:vAlign w:val="center"/>
            <w:hideMark/>
          </w:tcPr>
          <w:p w14:paraId="0C4D3F2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CCR10</w:t>
            </w:r>
          </w:p>
        </w:tc>
      </w:tr>
      <w:tr w:rsidR="00DC1D75" w:rsidRPr="005E53A0" w14:paraId="34251E3B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B6B30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naïve T cells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C0C2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ABD1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4C01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94C8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9B6A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0F5D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321F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B3F7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FD68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553D9F10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59195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Th1 cells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EB3E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9912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2108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208CD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88BF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F823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343E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00F0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CE51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68147EDF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BFE62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Th2 cells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AB9B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3593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2E54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3B60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A27F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B31B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06D7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52D0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E20FD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1B9B53F6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41FAE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Th17 cells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03AE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101A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8DA3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8C14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AC0D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3E27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41FE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9135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71D4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7AFFD730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0C123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Th1/Th17 cells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E1B1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2A7E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06BF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A9FC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1305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98F7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2AC9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3F23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F641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57583787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F50E9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Th22 cells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FD9E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6616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3B65D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7D0A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B3E8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98D1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5937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7820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4A7D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</w:tr>
      <w:tr w:rsidR="00DC1D75" w:rsidRPr="005E53A0" w14:paraId="02F5892E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70E02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CD183+ CD194+ CD196+ CCR10+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1460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7882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E25D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D95E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B68C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F48D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998C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6C0C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DFB1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</w:tr>
      <w:tr w:rsidR="00DC1D75" w:rsidRPr="005E53A0" w14:paraId="105BA5BE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C60A3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CD183+ CD194+ CD196+ CCR10-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4062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D458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16F2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2624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1AE6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BEF5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8F11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599B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7725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10F7FFE2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22DD6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CD183+ CD194+ CD196- CCR10+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52CF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B628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01B4D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44AA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03E1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B8B6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05A3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1E1B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D45B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</w:tr>
      <w:tr w:rsidR="00DC1D75" w:rsidRPr="005E53A0" w14:paraId="200CA3C0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02D63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CD183+ CD194+ CD196- CCR10-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9EFD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3639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FCF0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6041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83B1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F3BBD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3BAD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2D92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2EA8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35C5F47B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F2BAA5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CD183- CD194+ CD196- CCR10+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F00C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D3B3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588E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lo/+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F2745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6606B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1BB36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BD6C7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F74EC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96D71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</w:tr>
      <w:tr w:rsidR="00DC1D75" w:rsidRPr="005E53A0" w14:paraId="6F993732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40E0D7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CD4+ Tregs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FE41F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36755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40F3D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+hi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D81A9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+lo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7FBF6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DEE25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9E945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AE0BA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00C52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</w:tr>
      <w:tr w:rsidR="00DC1D75" w:rsidRPr="005E53A0" w14:paraId="292E4A2B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76FEC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Treg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DAD3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9FF5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4FAC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5862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8423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FF1D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EC7F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9FAE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CA97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1F24ACD2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02AD6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Th1-like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83E1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1E26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837A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CDE0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DDDB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FEAB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CF0A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A40DE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74F9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1EC59445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6B5C6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Th2-like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863B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5535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A385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073B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414F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5074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4BD1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782F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7DC2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6AF83D66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5D54A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Th17-like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4308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6912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C0E9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7926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7C54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7B1B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9CEE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2BBA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5995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3A4A3D31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864FE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Th1/Th17-like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7568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FC60D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D92F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D3C4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E089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C8DC7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7EDF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14BC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45DA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48584A3A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A52FF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CD183- CD194- CD196- CCR10-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EE47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E9AC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52C2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A7AF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BA66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AA98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5CB0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9A04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5D4F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797D02AA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46312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CD183+ CD194+ CD196+ CCR10-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9B14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402A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5E00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FA0C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84D1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2077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4CB7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ED519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1E864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DC1D75" w:rsidRPr="005E53A0" w14:paraId="2409299B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C38C1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CD183- CD194- CD196+ CCR10- TFH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A2DD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D4FE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EE64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4DC5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64921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0481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955D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E221F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FC80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</w:tr>
      <w:tr w:rsidR="00DC1D75" w:rsidRPr="005E53A0" w14:paraId="3E9CC032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8DE539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CD183+ CD194+ CD196- CCR10- TFH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9F666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276EF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D7F19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5BDFC2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A3EE45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F889E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CF760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EECD6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4B5F88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</w:tr>
      <w:tr w:rsidR="00DC1D75" w:rsidRPr="005E53A0" w14:paraId="32ABD1B5" w14:textId="77777777" w:rsidTr="002E3852">
        <w:trPr>
          <w:trHeight w:val="300"/>
        </w:trPr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860533" w14:textId="77777777" w:rsidR="00DC1D75" w:rsidRPr="00DC1D75" w:rsidRDefault="00DC1D75" w:rsidP="002E38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</w:pPr>
            <w:r w:rsidRPr="00DC1D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s-ES"/>
              </w:rPr>
              <w:t>CD185+ CD4- T cells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823080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8B501B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8CD8B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-/lo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6324E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8B506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98C993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79E8CA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-/+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E465CC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2229D6" w14:textId="77777777" w:rsidR="00DC1D75" w:rsidRPr="005E53A0" w:rsidRDefault="00DC1D75" w:rsidP="002E3852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</w:pPr>
            <w:r w:rsidRPr="005E53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</w:tbl>
    <w:p w14:paraId="0498D3DD" w14:textId="77777777" w:rsidR="00DC1D75" w:rsidRPr="00905EA3" w:rsidRDefault="00DC1D75" w:rsidP="00DC1D75">
      <w:pPr>
        <w:tabs>
          <w:tab w:val="left" w:pos="3225"/>
        </w:tabs>
        <w:spacing w:after="120"/>
        <w:ind w:left="709" w:right="709"/>
        <w:jc w:val="both"/>
        <w:rPr>
          <w:b/>
        </w:rPr>
      </w:pPr>
    </w:p>
    <w:p w14:paraId="76048738" w14:textId="57355371" w:rsidR="00DC1D75" w:rsidRPr="00DC1D75" w:rsidRDefault="00DC1D75" w:rsidP="00DC1D75">
      <w:pPr>
        <w:tabs>
          <w:tab w:val="left" w:pos="3225"/>
        </w:tabs>
        <w:spacing w:after="120"/>
        <w:ind w:left="1701" w:right="1677"/>
        <w:jc w:val="both"/>
        <w:rPr>
          <w:rFonts w:ascii="Calibri" w:hAnsi="Calibri" w:cs="Calibri"/>
          <w:i/>
          <w:lang w:val="en-GB"/>
        </w:rPr>
      </w:pP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Pr="00DC1D75">
        <w:rPr>
          <w:rFonts w:ascii="Calibri" w:hAnsi="Calibri" w:cs="Calibri"/>
          <w:i/>
          <w:lang w:val="en-GB"/>
        </w:rPr>
        <w:t>Phenotypic profile</w:t>
      </w:r>
    </w:p>
    <w:p w14:paraId="26C4698E" w14:textId="77777777" w:rsidR="00DC1D75" w:rsidRDefault="00DC1D75" w:rsidP="00DC1D75">
      <w:pPr>
        <w:tabs>
          <w:tab w:val="left" w:pos="3225"/>
        </w:tabs>
        <w:spacing w:after="120"/>
        <w:ind w:left="1701" w:right="1677"/>
        <w:jc w:val="both"/>
        <w:rPr>
          <w:b/>
          <w:lang w:val="en-GB"/>
        </w:rPr>
      </w:pPr>
    </w:p>
    <w:p w14:paraId="4265A710" w14:textId="45CBBB2E" w:rsidR="00DC1D75" w:rsidRDefault="00DC1D75" w:rsidP="00DC1D75">
      <w:pPr>
        <w:tabs>
          <w:tab w:val="left" w:pos="3225"/>
        </w:tabs>
        <w:spacing w:before="240" w:after="120"/>
        <w:ind w:right="1820"/>
        <w:jc w:val="both"/>
        <w:rPr>
          <w:b/>
          <w:lang w:val="en-GB"/>
        </w:rPr>
      </w:pPr>
      <w:r w:rsidRPr="00F97277">
        <w:rPr>
          <w:rFonts w:cs="Arial"/>
          <w:sz w:val="16"/>
          <w:szCs w:val="16"/>
          <w:lang w:val="en-GB"/>
        </w:rPr>
        <w:t>Abbreviations</w:t>
      </w:r>
      <w:r>
        <w:rPr>
          <w:rFonts w:cs="Arial"/>
          <w:sz w:val="16"/>
          <w:szCs w:val="16"/>
          <w:lang w:val="en-GB"/>
        </w:rPr>
        <w:t xml:space="preserve"> </w:t>
      </w:r>
      <w:r w:rsidRPr="00A02A1C">
        <w:rPr>
          <w:rFonts w:cs="Arial"/>
          <w:sz w:val="16"/>
          <w:szCs w:val="16"/>
        </w:rPr>
        <w:t>(alphabetical order</w:t>
      </w:r>
      <w:r>
        <w:rPr>
          <w:rFonts w:cs="Arial"/>
          <w:sz w:val="16"/>
          <w:szCs w:val="16"/>
        </w:rPr>
        <w:t>)</w:t>
      </w:r>
      <w:r w:rsidRPr="00F97277">
        <w:rPr>
          <w:rFonts w:cs="Arial"/>
          <w:sz w:val="16"/>
          <w:szCs w:val="16"/>
          <w:lang w:val="en-GB"/>
        </w:rPr>
        <w:t xml:space="preserve">: </w:t>
      </w:r>
      <w:r>
        <w:rPr>
          <w:rFonts w:cs="Arial"/>
          <w:sz w:val="16"/>
          <w:szCs w:val="16"/>
          <w:lang w:val="en-GB"/>
        </w:rPr>
        <w:t xml:space="preserve">lo: low expression; </w:t>
      </w:r>
      <w:r w:rsidRPr="00F97277">
        <w:rPr>
          <w:rFonts w:cs="Arial"/>
          <w:sz w:val="16"/>
          <w:szCs w:val="16"/>
          <w:lang w:val="en-GB"/>
        </w:rPr>
        <w:t>TFH: follicular helper T cell</w:t>
      </w:r>
      <w:r>
        <w:rPr>
          <w:rFonts w:cs="Arial"/>
          <w:sz w:val="16"/>
          <w:szCs w:val="16"/>
          <w:lang w:val="en-GB"/>
        </w:rPr>
        <w:t>; Th: T helper; Tregs: regulatory T cells</w:t>
      </w:r>
    </w:p>
    <w:p w14:paraId="74726536" w14:textId="6FBEA2B2" w:rsidR="00312610" w:rsidRDefault="00312610"/>
    <w:p w14:paraId="75C20A08" w14:textId="3007BD22" w:rsidR="00312610" w:rsidRDefault="00312610">
      <w:r>
        <w:br w:type="page"/>
      </w:r>
    </w:p>
    <w:p w14:paraId="15D7BA5C" w14:textId="4F53A586" w:rsidR="002422ED" w:rsidRDefault="00FF696C" w:rsidP="0032386E">
      <w:pPr>
        <w:rPr>
          <w:b/>
          <w:bCs/>
          <w:i/>
          <w:iCs/>
          <w:sz w:val="20"/>
          <w:szCs w:val="20"/>
          <w:lang w:val="en-US"/>
        </w:rPr>
      </w:pPr>
      <w:r>
        <w:rPr>
          <w:b/>
          <w:bCs/>
          <w:i/>
          <w:iCs/>
          <w:noProof/>
          <w:sz w:val="20"/>
          <w:szCs w:val="20"/>
          <w:lang w:val="en-US"/>
        </w:rPr>
        <w:lastRenderedPageBreak/>
        <w:drawing>
          <wp:inline distT="0" distB="0" distL="0" distR="0" wp14:anchorId="5701F612" wp14:editId="48587501">
            <wp:extent cx="5760720" cy="6172200"/>
            <wp:effectExtent l="0" t="0" r="5080" b="0"/>
            <wp:docPr id="1336901766" name="Afbeelding 2" descr="Afbeelding met tekst, ka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01766" name="Afbeelding 2" descr="Afbeelding met tekst, kaart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0200" w14:textId="77777777" w:rsidR="002422ED" w:rsidRDefault="002422ED" w:rsidP="0032386E">
      <w:pPr>
        <w:rPr>
          <w:b/>
          <w:bCs/>
          <w:i/>
          <w:iCs/>
          <w:sz w:val="20"/>
          <w:szCs w:val="20"/>
          <w:lang w:val="en-US"/>
        </w:rPr>
      </w:pPr>
    </w:p>
    <w:p w14:paraId="1A100CCB" w14:textId="014CD540" w:rsidR="002422ED" w:rsidRDefault="0032386E" w:rsidP="0032386E">
      <w:pPr>
        <w:rPr>
          <w:b/>
          <w:bCs/>
          <w:i/>
          <w:iCs/>
          <w:sz w:val="20"/>
          <w:szCs w:val="20"/>
          <w:lang w:val="en-US"/>
        </w:rPr>
      </w:pPr>
      <w:r w:rsidRPr="006E5F8E">
        <w:rPr>
          <w:b/>
          <w:bCs/>
          <w:i/>
          <w:iCs/>
          <w:sz w:val="20"/>
          <w:szCs w:val="20"/>
          <w:lang w:val="en-US"/>
        </w:rPr>
        <w:t xml:space="preserve">Figure </w:t>
      </w:r>
      <w:r>
        <w:rPr>
          <w:b/>
          <w:bCs/>
          <w:i/>
          <w:iCs/>
          <w:sz w:val="20"/>
          <w:szCs w:val="20"/>
          <w:lang w:val="en-US"/>
        </w:rPr>
        <w:t>S</w:t>
      </w:r>
      <w:r w:rsidR="00FE38EE">
        <w:rPr>
          <w:b/>
          <w:bCs/>
          <w:i/>
          <w:iCs/>
          <w:sz w:val="20"/>
          <w:szCs w:val="20"/>
          <w:lang w:val="en-US"/>
        </w:rPr>
        <w:t>2</w:t>
      </w:r>
      <w:r w:rsidRPr="006E5F8E">
        <w:rPr>
          <w:b/>
          <w:bCs/>
          <w:i/>
          <w:iCs/>
          <w:sz w:val="20"/>
          <w:szCs w:val="20"/>
          <w:lang w:val="en-US"/>
        </w:rPr>
        <w:t xml:space="preserve">: </w:t>
      </w:r>
      <w:r w:rsidR="00DC1D75">
        <w:rPr>
          <w:b/>
          <w:bCs/>
          <w:i/>
          <w:iCs/>
          <w:sz w:val="20"/>
          <w:szCs w:val="20"/>
          <w:lang w:val="en-US"/>
        </w:rPr>
        <w:t>t-SNE plots of the r</w:t>
      </w:r>
      <w:r w:rsidRPr="006E5F8E">
        <w:rPr>
          <w:b/>
          <w:bCs/>
          <w:i/>
          <w:iCs/>
          <w:sz w:val="20"/>
          <w:szCs w:val="20"/>
          <w:lang w:val="en-US"/>
        </w:rPr>
        <w:t xml:space="preserve">elative marker expression of </w:t>
      </w:r>
      <w:r w:rsidR="00DC1D75">
        <w:rPr>
          <w:b/>
          <w:bCs/>
          <w:i/>
          <w:iCs/>
          <w:sz w:val="20"/>
          <w:szCs w:val="20"/>
          <w:lang w:val="en-US"/>
        </w:rPr>
        <w:t xml:space="preserve">individual cells in the </w:t>
      </w:r>
      <w:proofErr w:type="spellStart"/>
      <w:r w:rsidRPr="006E5F8E">
        <w:rPr>
          <w:b/>
          <w:bCs/>
          <w:i/>
          <w:iCs/>
          <w:sz w:val="20"/>
          <w:szCs w:val="20"/>
          <w:lang w:val="en-US"/>
        </w:rPr>
        <w:t>FlowSOM</w:t>
      </w:r>
      <w:proofErr w:type="spellEnd"/>
      <w:r w:rsidRPr="006E5F8E">
        <w:rPr>
          <w:b/>
          <w:bCs/>
          <w:i/>
          <w:iCs/>
          <w:sz w:val="20"/>
          <w:szCs w:val="20"/>
          <w:lang w:val="en-US"/>
        </w:rPr>
        <w:t xml:space="preserve"> model</w:t>
      </w:r>
      <w:r w:rsidR="00DC1D75">
        <w:rPr>
          <w:b/>
          <w:bCs/>
          <w:i/>
          <w:iCs/>
          <w:sz w:val="20"/>
          <w:szCs w:val="20"/>
          <w:lang w:val="en-US"/>
        </w:rPr>
        <w:t xml:space="preserve">, shown for each marker in the </w:t>
      </w:r>
      <w:proofErr w:type="spellStart"/>
      <w:r w:rsidR="00DC1D75">
        <w:rPr>
          <w:b/>
          <w:bCs/>
          <w:i/>
          <w:iCs/>
          <w:sz w:val="20"/>
          <w:szCs w:val="20"/>
          <w:lang w:val="en-US"/>
        </w:rPr>
        <w:t>FlowSOM</w:t>
      </w:r>
      <w:proofErr w:type="spellEnd"/>
      <w:r w:rsidR="00DC1D75">
        <w:rPr>
          <w:b/>
          <w:bCs/>
          <w:i/>
          <w:iCs/>
          <w:sz w:val="20"/>
          <w:szCs w:val="20"/>
          <w:lang w:val="en-US"/>
        </w:rPr>
        <w:t xml:space="preserve"> model</w:t>
      </w:r>
      <w:r>
        <w:rPr>
          <w:b/>
          <w:bCs/>
          <w:i/>
          <w:iCs/>
          <w:sz w:val="20"/>
          <w:szCs w:val="20"/>
          <w:lang w:val="en-US"/>
        </w:rPr>
        <w:t>.</w:t>
      </w:r>
      <w:r w:rsidR="00DC1D75">
        <w:rPr>
          <w:b/>
          <w:bCs/>
          <w:i/>
          <w:iCs/>
          <w:sz w:val="20"/>
          <w:szCs w:val="20"/>
          <w:lang w:val="en-US"/>
        </w:rPr>
        <w:t xml:space="preserve"> A representative subset of 20,000 cells was used for this visualization.</w:t>
      </w:r>
      <w:r>
        <w:rPr>
          <w:b/>
          <w:bCs/>
          <w:i/>
          <w:iCs/>
          <w:sz w:val="20"/>
          <w:szCs w:val="20"/>
          <w:lang w:val="en-US"/>
        </w:rPr>
        <w:t xml:space="preserve"> </w:t>
      </w:r>
    </w:p>
    <w:p w14:paraId="11924634" w14:textId="223D1DC3" w:rsidR="005D2341" w:rsidRPr="000A280A" w:rsidRDefault="002422ED" w:rsidP="000A280A">
      <w:pPr>
        <w:rPr>
          <w:b/>
          <w:bCs/>
          <w:i/>
          <w:iCs/>
          <w:sz w:val="20"/>
          <w:szCs w:val="20"/>
          <w:lang w:val="en-US"/>
        </w:rPr>
      </w:pPr>
      <w:r>
        <w:rPr>
          <w:b/>
          <w:bCs/>
          <w:i/>
          <w:iCs/>
          <w:sz w:val="20"/>
          <w:szCs w:val="20"/>
          <w:lang w:val="en-US"/>
        </w:rPr>
        <w:br w:type="page"/>
      </w:r>
    </w:p>
    <w:p w14:paraId="6C9E3F47" w14:textId="3F2B9FFE" w:rsidR="00160332" w:rsidRDefault="00FF696C" w:rsidP="00AC0541">
      <w:pPr>
        <w:jc w:val="both"/>
        <w:rPr>
          <w:b/>
          <w:bCs/>
          <w:i/>
          <w:iCs/>
          <w:sz w:val="21"/>
          <w:szCs w:val="21"/>
          <w:lang w:val="en-US"/>
        </w:rPr>
      </w:pPr>
      <w:r>
        <w:rPr>
          <w:b/>
          <w:bCs/>
          <w:i/>
          <w:iCs/>
          <w:noProof/>
          <w:sz w:val="21"/>
          <w:szCs w:val="21"/>
          <w:lang w:val="en-US"/>
        </w:rPr>
        <w:lastRenderedPageBreak/>
        <w:drawing>
          <wp:inline distT="0" distB="0" distL="0" distR="0" wp14:anchorId="07A5BAE7" wp14:editId="0DEFECB4">
            <wp:extent cx="5760720" cy="4080510"/>
            <wp:effectExtent l="0" t="0" r="5080" b="0"/>
            <wp:docPr id="2055132241" name="Afbeelding 4" descr="Afbeelding met schermopname, plein, patroon, Rechth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2241" name="Afbeelding 4" descr="Afbeelding met schermopname, plein, patroon, Rechthoek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9EDC" w14:textId="7B9DAAD3" w:rsidR="005D2341" w:rsidRPr="00FE4A5A" w:rsidRDefault="002A5616" w:rsidP="00AC0541">
      <w:pPr>
        <w:jc w:val="both"/>
        <w:rPr>
          <w:b/>
          <w:bCs/>
          <w:i/>
          <w:iCs/>
          <w:sz w:val="21"/>
          <w:szCs w:val="21"/>
          <w:lang w:val="en-US"/>
        </w:rPr>
      </w:pPr>
      <w:r w:rsidRPr="006E5F8E">
        <w:rPr>
          <w:b/>
          <w:bCs/>
          <w:i/>
          <w:iCs/>
          <w:sz w:val="20"/>
          <w:szCs w:val="20"/>
          <w:lang w:val="en-US"/>
        </w:rPr>
        <w:t xml:space="preserve">Figure </w:t>
      </w:r>
      <w:r>
        <w:rPr>
          <w:b/>
          <w:bCs/>
          <w:i/>
          <w:iCs/>
          <w:sz w:val="20"/>
          <w:szCs w:val="20"/>
          <w:lang w:val="en-US"/>
        </w:rPr>
        <w:t>S</w:t>
      </w:r>
      <w:r w:rsidR="000A280A">
        <w:rPr>
          <w:b/>
          <w:bCs/>
          <w:i/>
          <w:iCs/>
          <w:sz w:val="20"/>
          <w:szCs w:val="20"/>
          <w:lang w:val="en-US"/>
        </w:rPr>
        <w:t>3</w:t>
      </w:r>
      <w:r w:rsidRPr="006E5F8E">
        <w:rPr>
          <w:b/>
          <w:bCs/>
          <w:i/>
          <w:iCs/>
          <w:sz w:val="20"/>
          <w:szCs w:val="20"/>
          <w:lang w:val="en-US"/>
        </w:rPr>
        <w:t xml:space="preserve">: </w:t>
      </w:r>
      <w:r w:rsidRPr="00DC1D75">
        <w:rPr>
          <w:b/>
          <w:bCs/>
          <w:i/>
          <w:iCs/>
          <w:sz w:val="20"/>
          <w:szCs w:val="20"/>
          <w:lang w:val="en-US"/>
        </w:rPr>
        <w:t xml:space="preserve">Heatmap of per-individual changes in immune </w:t>
      </w:r>
      <w:proofErr w:type="spellStart"/>
      <w:r w:rsidRPr="00DC1D75">
        <w:rPr>
          <w:b/>
          <w:bCs/>
          <w:i/>
          <w:iCs/>
          <w:sz w:val="20"/>
          <w:szCs w:val="20"/>
          <w:lang w:val="en-US"/>
        </w:rPr>
        <w:t>metacluster</w:t>
      </w:r>
      <w:proofErr w:type="spellEnd"/>
      <w:r w:rsidRPr="00DC1D75">
        <w:rPr>
          <w:b/>
          <w:bCs/>
          <w:i/>
          <w:iCs/>
          <w:sz w:val="20"/>
          <w:szCs w:val="20"/>
          <w:lang w:val="en-US"/>
        </w:rPr>
        <w:t xml:space="preserve"> abundances</w:t>
      </w:r>
      <w:r>
        <w:rPr>
          <w:b/>
          <w:bCs/>
          <w:i/>
          <w:iCs/>
          <w:sz w:val="20"/>
          <w:szCs w:val="20"/>
          <w:lang w:val="en-US"/>
        </w:rPr>
        <w:t xml:space="preserve"> (z-scores)</w:t>
      </w:r>
      <w:r w:rsidRPr="00DC1D75">
        <w:rPr>
          <w:b/>
          <w:bCs/>
          <w:i/>
          <w:iCs/>
          <w:sz w:val="20"/>
          <w:szCs w:val="20"/>
          <w:lang w:val="en-US"/>
        </w:rPr>
        <w:t xml:space="preserve"> following 3 months of gender-affirming hormone therapy in trans men and trans women.</w:t>
      </w:r>
      <w:r>
        <w:rPr>
          <w:b/>
          <w:bCs/>
          <w:i/>
          <w:iCs/>
          <w:sz w:val="20"/>
          <w:szCs w:val="20"/>
          <w:lang w:val="en-US"/>
        </w:rPr>
        <w:t xml:space="preserve"> Trans men and trans women are ordered by largest increase and largest decrease in testosterone levels respectively.</w:t>
      </w:r>
    </w:p>
    <w:sectPr w:rsidR="005D2341" w:rsidRPr="00FE4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82B"/>
    <w:rsid w:val="00062D62"/>
    <w:rsid w:val="000766A7"/>
    <w:rsid w:val="000A280A"/>
    <w:rsid w:val="00160332"/>
    <w:rsid w:val="00223274"/>
    <w:rsid w:val="002262AA"/>
    <w:rsid w:val="002422ED"/>
    <w:rsid w:val="002A3172"/>
    <w:rsid w:val="002A5616"/>
    <w:rsid w:val="00312610"/>
    <w:rsid w:val="0032386E"/>
    <w:rsid w:val="00440359"/>
    <w:rsid w:val="005D2341"/>
    <w:rsid w:val="00647633"/>
    <w:rsid w:val="008D6DAF"/>
    <w:rsid w:val="009332FE"/>
    <w:rsid w:val="009F5D51"/>
    <w:rsid w:val="00A223BD"/>
    <w:rsid w:val="00A554E2"/>
    <w:rsid w:val="00AC0541"/>
    <w:rsid w:val="00AC65EC"/>
    <w:rsid w:val="00C701D4"/>
    <w:rsid w:val="00DC1D75"/>
    <w:rsid w:val="00EC088F"/>
    <w:rsid w:val="00F2282B"/>
    <w:rsid w:val="00F30411"/>
    <w:rsid w:val="00F5009D"/>
    <w:rsid w:val="00F65443"/>
    <w:rsid w:val="00FE38EE"/>
    <w:rsid w:val="00FE4A5A"/>
    <w:rsid w:val="00FF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E1AD9C"/>
  <w15:chartTrackingRefBased/>
  <w15:docId w15:val="{D9A09F9F-A345-1947-BDCE-C38CCD93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12610"/>
  </w:style>
  <w:style w:type="paragraph" w:styleId="Kop1">
    <w:name w:val="heading 1"/>
    <w:basedOn w:val="Standaard"/>
    <w:next w:val="Standaard"/>
    <w:link w:val="Kop1Char"/>
    <w:uiPriority w:val="9"/>
    <w:qFormat/>
    <w:rsid w:val="00F228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228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228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28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228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228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228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228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228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228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228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228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282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2282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2282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2282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2282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2282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228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228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228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228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228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2282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2282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2282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228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2282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2282B"/>
    <w:rPr>
      <w:b/>
      <w:bCs/>
      <w:smallCaps/>
      <w:color w:val="0F4761" w:themeColor="accent1" w:themeShade="BF"/>
      <w:spacing w:val="5"/>
    </w:rPr>
  </w:style>
  <w:style w:type="table" w:styleId="Onopgemaaktetabel3">
    <w:name w:val="Plain Table 3"/>
    <w:basedOn w:val="Standaardtabel"/>
    <w:uiPriority w:val="43"/>
    <w:rsid w:val="00F5009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e">
    <w:name w:val="Revision"/>
    <w:hidden/>
    <w:uiPriority w:val="99"/>
    <w:semiHidden/>
    <w:rsid w:val="00FE3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Riemann</dc:creator>
  <cp:keywords/>
  <dc:description/>
  <cp:lastModifiedBy>Sebastian Riemann</cp:lastModifiedBy>
  <cp:revision>3</cp:revision>
  <dcterms:created xsi:type="dcterms:W3CDTF">2026-03-31T09:46:00Z</dcterms:created>
  <dcterms:modified xsi:type="dcterms:W3CDTF">2026-03-31T12:49:00Z</dcterms:modified>
</cp:coreProperties>
</file>