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0B68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fingerprint of </w:t>
      </w:r>
      <w:bookmarkStart w:id="0" w:name="_Hlk104234384"/>
      <w:r>
        <w:rPr>
          <w:rFonts w:hint="default" w:ascii="Times New Roman" w:hAnsi="Times New Roman" w:cs="Times New Roman"/>
          <w:sz w:val="24"/>
          <w:szCs w:val="24"/>
        </w:rPr>
        <w:t>Fructus auranti</w:t>
      </w:r>
      <w:bookmarkEnd w:id="0"/>
      <w:r>
        <w:rPr>
          <w:rFonts w:hint="default" w:ascii="Times New Roman" w:hAnsi="Times New Roman" w:cs="Times New Roman"/>
          <w:sz w:val="24"/>
          <w:szCs w:val="24"/>
        </w:rPr>
        <w:t>i (FA) has been studied in the previous research</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eastAsia="zh-CN"/>
        </w:rPr>
        <w:instrText xml:space="preserve"> ADDIN EN.CITE &lt;EndNote&gt;&lt;Cite&gt;&lt;Author&gt;Wang&lt;/Author&gt;&lt;Year&gt;2021&lt;/Year&gt;&lt;RecNum&gt;86&lt;/RecNum&gt;&lt;DisplayText&gt;[1]&lt;/DisplayText&gt;&lt;record&gt;&lt;rec-number&gt;86&lt;/rec-number&gt;&lt;foreign-keys&gt;&lt;key app="EN" db-id="f5ts2zdtivpswceeffmpzv96pw09e2sxp229" timestamp="1653310800"&gt;86&lt;/key&gt;&lt;/foreign-keys&gt;&lt;ref-type name="Journal Article"&gt;17&lt;/ref-type&gt;&lt;contributors&gt;&lt;authors&gt;&lt;author&gt;Wang, H.&lt;/author&gt;&lt;author&gt;Zhong, P.&lt;/author&gt;&lt;author&gt;Liang, J.&lt;/author&gt;&lt;author&gt;Zhou, M.&lt;/author&gt;&lt;author&gt;Chen, K.&lt;/author&gt;&lt;author&gt;Xia, Q.&lt;/author&gt;&lt;/authors&gt;&lt;/contributors&gt;&lt;titles&gt;&lt;title&gt;&lt;style face="normal" font="default" charset="134" size="100%"&gt;Correlation analysis between HPLC fingerprint and small intestinal propelling of processed Fructus aurantii&lt;/style&gt;&lt;/title&gt;&lt;secondary-title&gt;Chinese Traditional  Patent Medicine&lt;/secondary-title&gt;&lt;/titles&gt;&lt;periodical&gt;&lt;full-title&gt;Chinese Traditional  Patent Medicine&lt;/full-title&gt;&lt;/periodical&gt;&lt;pages&gt;5&lt;/pages&gt;&lt;volume&gt;43&lt;/volume&gt;&lt;number&gt;3&lt;/number&gt;&lt;dates&gt;&lt;year&gt;2021&lt;/year&gt;&lt;/dates&gt;&lt;urls&gt;&lt;/urls&gt;&lt;/record&gt;&lt;/Cite&gt;&lt;/EndNote&gt;</w:instrText>
      </w:r>
      <w:r>
        <w:rPr>
          <w:rFonts w:hint="default" w:ascii="Times New Roman" w:hAnsi="Times New Roman" w:cs="Times New Roman"/>
          <w:sz w:val="24"/>
          <w:szCs w:val="24"/>
        </w:rPr>
        <w:fldChar w:fldCharType="separate"/>
      </w: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T</w:t>
      </w:r>
      <w:r>
        <w:rPr>
          <w:rFonts w:hint="default" w:ascii="Times New Roman" w:hAnsi="Times New Roman" w:cs="Times New Roman"/>
          <w:sz w:val="24"/>
          <w:szCs w:val="24"/>
        </w:rPr>
        <w:t>he specific methods/data are as follows:</w:t>
      </w:r>
    </w:p>
    <w:p w14:paraId="4B390ACE">
      <w:pPr>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t>1 Materials and methods</w:t>
      </w:r>
    </w:p>
    <w:p w14:paraId="6660538E">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1.1 Plant material</w:t>
      </w:r>
    </w:p>
    <w:p w14:paraId="7E29CA1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was collected from different regions (</w:t>
      </w:r>
      <w:r>
        <w:rPr>
          <w:rFonts w:hint="default" w:ascii="Times New Roman" w:hAnsi="Times New Roman" w:cs="Times New Roman"/>
          <w:b/>
          <w:bCs/>
          <w:sz w:val="24"/>
          <w:szCs w:val="24"/>
        </w:rPr>
        <w:t>Table S1</w:t>
      </w:r>
      <w:r>
        <w:rPr>
          <w:rFonts w:hint="default" w:ascii="Times New Roman" w:hAnsi="Times New Roman" w:cs="Times New Roman"/>
          <w:b/>
          <w:bCs/>
          <w:sz w:val="24"/>
          <w:szCs w:val="24"/>
          <w:lang w:val="en-US" w:eastAsia="zh-CN"/>
        </w:rPr>
        <w:t>3</w:t>
      </w:r>
      <w:r>
        <w:rPr>
          <w:rFonts w:hint="default" w:ascii="Times New Roman" w:hAnsi="Times New Roman" w:cs="Times New Roman"/>
          <w:sz w:val="24"/>
          <w:szCs w:val="24"/>
        </w:rPr>
        <w:t>).</w:t>
      </w:r>
    </w:p>
    <w:p w14:paraId="523374DB">
      <w:pPr>
        <w:spacing w:line="360" w:lineRule="auto"/>
        <w:jc w:val="center"/>
        <w:rPr>
          <w:rFonts w:hint="default" w:ascii="Times New Roman" w:hAnsi="Times New Roman" w:cs="Times New Roman"/>
          <w:sz w:val="24"/>
          <w:szCs w:val="24"/>
        </w:rPr>
      </w:pPr>
      <w:r>
        <w:rPr>
          <w:rFonts w:hint="default" w:ascii="Times New Roman" w:hAnsi="Times New Roman" w:cs="Times New Roman"/>
          <w:b/>
          <w:bCs/>
          <w:sz w:val="24"/>
          <w:szCs w:val="24"/>
        </w:rPr>
        <w:t>Table S1</w:t>
      </w:r>
      <w:r>
        <w:rPr>
          <w:rFonts w:hint="default" w:ascii="Times New Roman" w:hAnsi="Times New Roman" w:cs="Times New Roman"/>
          <w:b/>
          <w:bCs/>
          <w:sz w:val="24"/>
          <w:szCs w:val="24"/>
          <w:lang w:val="en-US" w:eastAsia="zh-CN"/>
        </w:rPr>
        <w:t>3</w:t>
      </w:r>
      <w:r>
        <w:rPr>
          <w:rFonts w:hint="default" w:ascii="Times New Roman" w:hAnsi="Times New Roman" w:cs="Times New Roman"/>
          <w:sz w:val="24"/>
          <w:szCs w:val="24"/>
        </w:rPr>
        <w:t xml:space="preserve"> Sources of </w:t>
      </w:r>
      <w:bookmarkStart w:id="1" w:name="OLE_LINK2"/>
      <w:bookmarkStart w:id="2" w:name="OLE_LINK1"/>
      <w:r>
        <w:rPr>
          <w:rFonts w:hint="default" w:ascii="Times New Roman" w:hAnsi="Times New Roman" w:cs="Times New Roman"/>
          <w:sz w:val="24"/>
          <w:szCs w:val="24"/>
        </w:rPr>
        <w:t>Fructus auranti</w:t>
      </w:r>
      <w:bookmarkEnd w:id="1"/>
      <w:bookmarkEnd w:id="2"/>
      <w:r>
        <w:rPr>
          <w:rFonts w:hint="default" w:ascii="Times New Roman" w:hAnsi="Times New Roman" w:cs="Times New Roman"/>
          <w:sz w:val="24"/>
          <w:szCs w:val="24"/>
        </w:rPr>
        <w:t xml:space="preserve">i </w:t>
      </w:r>
    </w:p>
    <w:tbl>
      <w:tblPr>
        <w:tblStyle w:val="5"/>
        <w:tblpPr w:leftFromText="180" w:rightFromText="180" w:vertAnchor="text" w:horzAnchor="margin" w:tblpXSpec="center" w:tblpY="90"/>
        <w:tblOverlap w:val="never"/>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0"/>
      </w:tblGrid>
      <w:tr w14:paraId="1E76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680" w:type="dxa"/>
            <w:tcBorders>
              <w:top w:val="single" w:color="auto" w:sz="4" w:space="0"/>
              <w:left w:val="nil"/>
              <w:bottom w:val="nil"/>
              <w:right w:val="nil"/>
            </w:tcBorders>
          </w:tcPr>
          <w:p w14:paraId="6B225078">
            <w:pPr>
              <w:widowControl/>
              <w:spacing w:line="360" w:lineRule="auto"/>
              <w:ind w:firstLine="960" w:firstLineChars="400"/>
              <w:jc w:val="left"/>
              <w:rPr>
                <w:rFonts w:hint="default" w:ascii="Times New Roman" w:hAnsi="Times New Roman" w:cs="Times New Roman"/>
                <w:color w:val="000000" w:themeColor="text1"/>
                <w:sz w:val="24"/>
                <w:szCs w:val="24"/>
                <w14:textFill>
                  <w14:solidFill>
                    <w14:schemeClr w14:val="tx1"/>
                  </w14:solidFill>
                </w14:textFill>
              </w:rPr>
            </w:pPr>
            <w:bookmarkStart w:id="3" w:name="_Hlk32354634"/>
            <w:r>
              <w:rPr>
                <w:rFonts w:hint="default" w:ascii="Times New Roman" w:hAnsi="Times New Roman" w:cs="Times New Roman"/>
                <w:color w:val="000000" w:themeColor="text1"/>
                <w:sz w:val="24"/>
                <w:szCs w:val="24"/>
                <w14:textFill>
                  <w14:solidFill>
                    <w14:schemeClr w14:val="tx1"/>
                  </w14:solidFill>
                </w14:textFill>
              </w:rPr>
              <w:t>FA                                       Origin</w:t>
            </w:r>
          </w:p>
        </w:tc>
      </w:tr>
      <w:tr w14:paraId="647C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8" w:hRule="atLeast"/>
        </w:trPr>
        <w:tc>
          <w:tcPr>
            <w:tcW w:w="9680" w:type="dxa"/>
            <w:tcBorders>
              <w:left w:val="nil"/>
              <w:bottom w:val="single" w:color="auto" w:sz="12" w:space="0"/>
              <w:right w:val="nil"/>
            </w:tcBorders>
          </w:tcPr>
          <w:p w14:paraId="30733115">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S1                                   Hunan province</w:t>
            </w:r>
          </w:p>
          <w:p w14:paraId="4E2ECBF1">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S2                  Jiangxi (Jiangzhong TCM Decoction Tablets Company)</w:t>
            </w:r>
          </w:p>
          <w:p w14:paraId="7452CA2B">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S3                 Zhejiang (Foshan Nanhai Beisha Pharmaceutical Processing Plant)</w:t>
            </w:r>
          </w:p>
          <w:p w14:paraId="2722C9DC">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S4                Zhejiang (Foshan Nanhai Beisha Pharmaceutical Processing Plant)</w:t>
            </w:r>
          </w:p>
          <w:p w14:paraId="7CA6C8AC">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S5                   Jiangxi Province (Guangzhou Zhixin Pharmaceutical Group)</w:t>
            </w:r>
          </w:p>
          <w:p w14:paraId="256D60D4">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S6                          Hushan Town, Yichun, Jiangxi Province</w:t>
            </w:r>
          </w:p>
          <w:p w14:paraId="70285FAF">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S7                            Yichun lou Town, Jiangxi</w:t>
            </w:r>
          </w:p>
          <w:p w14:paraId="57EB9F07">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S8                           Liugong Town, Yichun, Jiangxi Province</w:t>
            </w:r>
          </w:p>
          <w:p w14:paraId="0540C376">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S9                   Hunan (Foshan Nanhai Beisha Pharmaceutical Processing Plant)</w:t>
            </w:r>
          </w:p>
          <w:p w14:paraId="20973945">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S10                  Zhejiang (Foshan Nanhai Beisha Pharmaceutical Processing Plant)</w:t>
            </w:r>
          </w:p>
        </w:tc>
      </w:tr>
      <w:bookmarkEnd w:id="3"/>
    </w:tbl>
    <w:p w14:paraId="4EBCE91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Notes: S1 to S10 stands for FA.</w:t>
      </w:r>
    </w:p>
    <w:p w14:paraId="70C56359">
      <w:pPr>
        <w:spacing w:line="360" w:lineRule="auto"/>
        <w:rPr>
          <w:rFonts w:hint="default" w:ascii="Times New Roman" w:hAnsi="Times New Roman" w:cs="Times New Roman"/>
          <w:sz w:val="24"/>
          <w:szCs w:val="24"/>
        </w:rPr>
      </w:pPr>
    </w:p>
    <w:p w14:paraId="3FD219C9">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1.2 Establishment of HPLC fingerprint of </w:t>
      </w:r>
      <w:r>
        <w:rPr>
          <w:rFonts w:hint="default" w:ascii="Times New Roman" w:hAnsi="Times New Roman" w:cs="Times New Roman"/>
          <w:b/>
          <w:bCs/>
          <w:sz w:val="24"/>
          <w:szCs w:val="24"/>
          <w:lang w:eastAsia="zh-CN"/>
        </w:rPr>
        <w:t>FA</w:t>
      </w:r>
      <w:r>
        <w:rPr>
          <w:rFonts w:hint="default" w:ascii="Times New Roman" w:hAnsi="Times New Roman" w:cs="Times New Roman"/>
          <w:b/>
          <w:bCs/>
          <w:sz w:val="24"/>
          <w:szCs w:val="24"/>
        </w:rPr>
        <w:t xml:space="preserve"> and PFA</w:t>
      </w:r>
    </w:p>
    <w:p w14:paraId="31D63DD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1.2.1 Preparation of sample solutions and standard solutions</w:t>
      </w:r>
    </w:p>
    <w:p w14:paraId="36EFFC8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 g of FA powder was added to volumetric flasks and extracted by refluxing in 90 mL of methanol for 1.5 h. Next, the lost weight was compensated with methanol, and the solution was passed through 0.22 μm membrane filters for HPLC fingerprints.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Chromatographic separation was performed with acetonitrile (A) and 0.1% phosphoric acid aqueous solution (B) at a flow rate of 1.00 mL/min using an Inertsil ODS-3 High Performance Liquid Chromatography column (250 × 4.6 mm, 5 µm). The injection volume was 3 µL, and the elution program was as follows: 5%~6% A for 10 min; linear increase from 6% to 15% A in 10-20 min; linear increase from 15% to 27% A in 20-75 min; linear increase to 65% A in 75-120 min; a 4-min isocratic period, followed by reversion to initial conditions for 5 min. Meanwhile, the detection wavelength was 283 nm at 25℃.</w:t>
      </w:r>
    </w:p>
    <w:p w14:paraId="38DECBA7">
      <w:pPr>
        <w:spacing w:line="360" w:lineRule="auto"/>
        <w:rPr>
          <w:rFonts w:hint="default" w:ascii="Times New Roman" w:hAnsi="Times New Roman" w:cs="Times New Roman"/>
          <w:sz w:val="24"/>
          <w:szCs w:val="24"/>
        </w:rPr>
      </w:pPr>
    </w:p>
    <w:p w14:paraId="79A5F55C">
      <w:pPr>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t>Results</w:t>
      </w:r>
    </w:p>
    <w:p w14:paraId="4D3E12E9">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Similarity assessment and HPLC fingerprints</w:t>
      </w:r>
    </w:p>
    <w:p w14:paraId="5868211F">
      <w:pPr>
        <w:spacing w:line="360" w:lineRule="auto"/>
        <w:ind w:firstLine="480" w:firstLineChars="200"/>
        <w:rPr>
          <w:rFonts w:hint="default" w:ascii="Times New Roman" w:hAnsi="Times New Roman" w:cs="Times New Roman"/>
          <w:sz w:val="24"/>
          <w:szCs w:val="24"/>
        </w:rPr>
      </w:pPr>
      <w:bookmarkStart w:id="4" w:name="_Hlk104214159"/>
      <w:r>
        <w:rPr>
          <w:rFonts w:hint="default" w:ascii="Times New Roman" w:hAnsi="Times New Roman" w:cs="Times New Roman"/>
          <w:sz w:val="24"/>
          <w:szCs w:val="24"/>
        </w:rPr>
        <w:t>The chromatograms of 10 batches of samples were imported into the “TCM chromatographic fingerprint similarity evaluation System (version 2008A)”, which was used to calculate the similarity between a test sample and a reference one for similarity evaluation of different chromatographic fingerprintss. The fingerprints of FA (</w:t>
      </w:r>
      <w:r>
        <w:rPr>
          <w:rFonts w:hint="default" w:ascii="Times New Roman" w:hAnsi="Times New Roman" w:cs="Times New Roman"/>
          <w:b/>
          <w:bCs/>
          <w:sz w:val="24"/>
          <w:szCs w:val="24"/>
        </w:rPr>
        <w:t>Fig. S1</w:t>
      </w:r>
      <w:r>
        <w:rPr>
          <w:rFonts w:hint="default" w:ascii="Times New Roman" w:hAnsi="Times New Roman" w:cs="Times New Roman"/>
          <w:sz w:val="24"/>
          <w:szCs w:val="24"/>
        </w:rPr>
        <w:t>) and the control fingerprints (R) were obtained by using the average method with S6 as the reference fingerprint. The generated reference fingerprints were used as the fusion fingerprints of each batch and as the control map (R), and it indicated that the quality of the samples used in the experiment was stable and controllable. The similarity data were shown in Table S14. The calculated similarity was between 0.991 and 0.999 which indicated the consistency of the samples used in this experiment and was conducive to subsequent data analysis.</w:t>
      </w:r>
      <w:bookmarkEnd w:id="4"/>
      <w:r>
        <w:rPr>
          <w:rFonts w:hint="default" w:ascii="Times New Roman" w:hAnsi="Times New Roman" w:cs="Times New Roman"/>
          <w:sz w:val="24"/>
          <w:szCs w:val="24"/>
        </w:rPr>
        <w:t xml:space="preserve"> </w:t>
      </w:r>
    </w:p>
    <w:p w14:paraId="5DAD3FFE">
      <w:pPr>
        <w:pStyle w:val="10"/>
        <w:spacing w:line="360" w:lineRule="auto"/>
        <w:ind w:left="0"/>
        <w:jc w:val="center"/>
        <w:rPr>
          <w:rFonts w:hint="default" w:ascii="Times New Roman" w:hAnsi="Times New Roman" w:cs="Times New Roman"/>
          <w:sz w:val="24"/>
          <w:szCs w:val="24"/>
          <w:lang w:eastAsia="zh-CN"/>
        </w:rPr>
      </w:pPr>
      <w:r>
        <w:rPr>
          <w:rFonts w:hint="default" w:ascii="Times New Roman" w:hAnsi="Times New Roman" w:cs="Times New Roman"/>
          <w:b/>
          <w:bCs/>
          <w:sz w:val="24"/>
          <w:szCs w:val="24"/>
        </w:rPr>
        <w:t>Table S</w:t>
      </w:r>
      <w:r>
        <w:rPr>
          <w:rFonts w:hint="default" w:ascii="Times New Roman" w:hAnsi="Times New Roman" w:cs="Times New Roman"/>
          <w:b/>
          <w:bCs/>
          <w:sz w:val="24"/>
          <w:szCs w:val="24"/>
          <w:lang w:val="en-US" w:eastAsia="zh-CN"/>
        </w:rPr>
        <w:t>14</w:t>
      </w:r>
      <w:r>
        <w:rPr>
          <w:rFonts w:hint="default" w:ascii="Times New Roman" w:hAnsi="Times New Roman" w:cs="Times New Roman"/>
          <w:sz w:val="24"/>
          <w:szCs w:val="24"/>
        </w:rPr>
        <w:t xml:space="preserve"> Calculation results of fingerprint similarity of 10 batches of </w:t>
      </w:r>
      <w:r>
        <w:rPr>
          <w:rFonts w:hint="default" w:ascii="Times New Roman" w:hAnsi="Times New Roman" w:cs="Times New Roman"/>
          <w:sz w:val="24"/>
          <w:szCs w:val="24"/>
          <w:lang w:eastAsia="zh-CN"/>
        </w:rPr>
        <w:t>FA</w:t>
      </w:r>
    </w:p>
    <w:p w14:paraId="71435D34">
      <w:pPr>
        <w:pStyle w:val="10"/>
        <w:spacing w:line="360" w:lineRule="auto"/>
        <w:ind w:left="0"/>
        <w:jc w:val="center"/>
        <w:rPr>
          <w:rFonts w:hint="default" w:ascii="Times New Roman" w:hAnsi="Times New Roman" w:cs="Times New Roman"/>
          <w:sz w:val="24"/>
          <w:szCs w:val="24"/>
          <w:lang w:eastAsia="zh-CN"/>
        </w:rPr>
      </w:pPr>
    </w:p>
    <w:tbl>
      <w:tblPr>
        <w:tblStyle w:val="5"/>
        <w:tblpPr w:leftFromText="180" w:rightFromText="180" w:vertAnchor="text" w:horzAnchor="page" w:tblpX="731" w:tblpY="-5431"/>
        <w:tblOverlap w:val="never"/>
        <w:tblW w:w="9469" w:type="dxa"/>
        <w:jc w:val="center"/>
        <w:tblLayout w:type="autofit"/>
        <w:tblCellMar>
          <w:top w:w="0" w:type="dxa"/>
          <w:left w:w="108" w:type="dxa"/>
          <w:bottom w:w="0" w:type="dxa"/>
          <w:right w:w="108" w:type="dxa"/>
        </w:tblCellMar>
      </w:tblPr>
      <w:tblGrid>
        <w:gridCol w:w="896"/>
        <w:gridCol w:w="815"/>
        <w:gridCol w:w="759"/>
        <w:gridCol w:w="759"/>
        <w:gridCol w:w="759"/>
        <w:gridCol w:w="759"/>
        <w:gridCol w:w="759"/>
        <w:gridCol w:w="759"/>
        <w:gridCol w:w="788"/>
        <w:gridCol w:w="759"/>
        <w:gridCol w:w="760"/>
        <w:gridCol w:w="897"/>
      </w:tblGrid>
      <w:tr w14:paraId="26AD9A49">
        <w:tblPrEx>
          <w:tblCellMar>
            <w:top w:w="0" w:type="dxa"/>
            <w:left w:w="108" w:type="dxa"/>
            <w:bottom w:w="0" w:type="dxa"/>
            <w:right w:w="108" w:type="dxa"/>
          </w:tblCellMar>
        </w:tblPrEx>
        <w:trPr>
          <w:trHeight w:val="946" w:hRule="atLeast"/>
          <w:jc w:val="center"/>
        </w:trPr>
        <w:tc>
          <w:tcPr>
            <w:tcW w:w="892" w:type="dxa"/>
            <w:tcBorders>
              <w:top w:val="single" w:color="auto" w:sz="12" w:space="0"/>
              <w:left w:val="nil"/>
              <w:bottom w:val="single" w:color="auto" w:sz="8" w:space="0"/>
              <w:right w:val="nil"/>
            </w:tcBorders>
            <w:shd w:val="clear" w:color="auto" w:fill="auto"/>
            <w:vAlign w:val="center"/>
          </w:tcPr>
          <w:p w14:paraId="1CAA1F7A">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sample</w:t>
            </w:r>
          </w:p>
        </w:tc>
        <w:tc>
          <w:tcPr>
            <w:tcW w:w="849" w:type="dxa"/>
            <w:tcBorders>
              <w:top w:val="single" w:color="auto" w:sz="12" w:space="0"/>
              <w:left w:val="nil"/>
              <w:bottom w:val="single" w:color="auto" w:sz="8" w:space="0"/>
              <w:right w:val="nil"/>
            </w:tcBorders>
            <w:shd w:val="clear" w:color="auto" w:fill="auto"/>
            <w:vAlign w:val="center"/>
          </w:tcPr>
          <w:p w14:paraId="2CC1C6CC">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S1</w:t>
            </w:r>
          </w:p>
        </w:tc>
        <w:tc>
          <w:tcPr>
            <w:tcW w:w="761" w:type="dxa"/>
            <w:tcBorders>
              <w:top w:val="single" w:color="auto" w:sz="12" w:space="0"/>
              <w:left w:val="nil"/>
              <w:bottom w:val="single" w:color="auto" w:sz="8" w:space="0"/>
              <w:right w:val="nil"/>
            </w:tcBorders>
            <w:shd w:val="clear" w:color="auto" w:fill="auto"/>
            <w:vAlign w:val="center"/>
          </w:tcPr>
          <w:p w14:paraId="0D4498E6">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S2</w:t>
            </w:r>
          </w:p>
        </w:tc>
        <w:tc>
          <w:tcPr>
            <w:tcW w:w="761" w:type="dxa"/>
            <w:tcBorders>
              <w:top w:val="single" w:color="auto" w:sz="12" w:space="0"/>
              <w:left w:val="nil"/>
              <w:bottom w:val="single" w:color="auto" w:sz="8" w:space="0"/>
              <w:right w:val="nil"/>
            </w:tcBorders>
            <w:shd w:val="clear" w:color="auto" w:fill="auto"/>
            <w:vAlign w:val="center"/>
          </w:tcPr>
          <w:p w14:paraId="505B9D87">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S3</w:t>
            </w:r>
          </w:p>
        </w:tc>
        <w:tc>
          <w:tcPr>
            <w:tcW w:w="761" w:type="dxa"/>
            <w:tcBorders>
              <w:top w:val="single" w:color="auto" w:sz="12" w:space="0"/>
              <w:left w:val="nil"/>
              <w:bottom w:val="single" w:color="auto" w:sz="8" w:space="0"/>
              <w:right w:val="nil"/>
            </w:tcBorders>
            <w:shd w:val="clear" w:color="auto" w:fill="auto"/>
            <w:vAlign w:val="center"/>
          </w:tcPr>
          <w:p w14:paraId="27839746">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S4</w:t>
            </w:r>
          </w:p>
        </w:tc>
        <w:tc>
          <w:tcPr>
            <w:tcW w:w="761" w:type="dxa"/>
            <w:tcBorders>
              <w:top w:val="single" w:color="auto" w:sz="12" w:space="0"/>
              <w:left w:val="nil"/>
              <w:bottom w:val="single" w:color="auto" w:sz="8" w:space="0"/>
              <w:right w:val="nil"/>
            </w:tcBorders>
            <w:shd w:val="clear" w:color="auto" w:fill="auto"/>
            <w:vAlign w:val="center"/>
          </w:tcPr>
          <w:p w14:paraId="7CE1020D">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S5</w:t>
            </w:r>
          </w:p>
        </w:tc>
        <w:tc>
          <w:tcPr>
            <w:tcW w:w="761" w:type="dxa"/>
            <w:tcBorders>
              <w:top w:val="single" w:color="auto" w:sz="12" w:space="0"/>
              <w:left w:val="nil"/>
              <w:bottom w:val="single" w:color="auto" w:sz="8" w:space="0"/>
              <w:right w:val="nil"/>
            </w:tcBorders>
            <w:shd w:val="clear" w:color="auto" w:fill="auto"/>
            <w:vAlign w:val="center"/>
          </w:tcPr>
          <w:p w14:paraId="3B4B90B1">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S6</w:t>
            </w:r>
          </w:p>
        </w:tc>
        <w:tc>
          <w:tcPr>
            <w:tcW w:w="761" w:type="dxa"/>
            <w:tcBorders>
              <w:top w:val="single" w:color="auto" w:sz="12" w:space="0"/>
              <w:left w:val="nil"/>
              <w:bottom w:val="single" w:color="auto" w:sz="8" w:space="0"/>
              <w:right w:val="nil"/>
            </w:tcBorders>
            <w:shd w:val="clear" w:color="auto" w:fill="auto"/>
            <w:vAlign w:val="center"/>
          </w:tcPr>
          <w:p w14:paraId="67BF5107">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S7</w:t>
            </w:r>
          </w:p>
        </w:tc>
        <w:tc>
          <w:tcPr>
            <w:tcW w:w="807" w:type="dxa"/>
            <w:tcBorders>
              <w:top w:val="single" w:color="auto" w:sz="12" w:space="0"/>
              <w:left w:val="nil"/>
              <w:bottom w:val="single" w:color="auto" w:sz="8" w:space="0"/>
              <w:right w:val="nil"/>
            </w:tcBorders>
            <w:shd w:val="clear" w:color="auto" w:fill="auto"/>
            <w:vAlign w:val="center"/>
          </w:tcPr>
          <w:p w14:paraId="6426379E">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S8</w:t>
            </w:r>
          </w:p>
        </w:tc>
        <w:tc>
          <w:tcPr>
            <w:tcW w:w="761" w:type="dxa"/>
            <w:tcBorders>
              <w:top w:val="single" w:color="auto" w:sz="12" w:space="0"/>
              <w:left w:val="nil"/>
              <w:bottom w:val="single" w:color="auto" w:sz="8" w:space="0"/>
              <w:right w:val="nil"/>
            </w:tcBorders>
            <w:shd w:val="clear" w:color="auto" w:fill="auto"/>
            <w:vAlign w:val="center"/>
          </w:tcPr>
          <w:p w14:paraId="79653B5F">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S9</w:t>
            </w:r>
          </w:p>
        </w:tc>
        <w:tc>
          <w:tcPr>
            <w:tcW w:w="761" w:type="dxa"/>
            <w:tcBorders>
              <w:top w:val="single" w:color="auto" w:sz="12" w:space="0"/>
              <w:left w:val="nil"/>
              <w:bottom w:val="single" w:color="auto" w:sz="8" w:space="0"/>
              <w:right w:val="nil"/>
            </w:tcBorders>
            <w:shd w:val="clear" w:color="auto" w:fill="auto"/>
            <w:vAlign w:val="center"/>
          </w:tcPr>
          <w:p w14:paraId="14D5E4E0">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S10</w:t>
            </w:r>
          </w:p>
        </w:tc>
        <w:tc>
          <w:tcPr>
            <w:tcW w:w="833" w:type="dxa"/>
            <w:tcBorders>
              <w:top w:val="single" w:color="auto" w:sz="12" w:space="0"/>
              <w:left w:val="nil"/>
              <w:bottom w:val="single" w:color="auto" w:sz="8" w:space="0"/>
              <w:right w:val="nil"/>
            </w:tcBorders>
            <w:shd w:val="clear" w:color="auto" w:fill="auto"/>
            <w:vAlign w:val="center"/>
          </w:tcPr>
          <w:p w14:paraId="44198121">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control map</w:t>
            </w:r>
          </w:p>
        </w:tc>
      </w:tr>
      <w:tr w14:paraId="164D91F8">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7C5A9B6E">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S1</w:t>
            </w:r>
          </w:p>
        </w:tc>
        <w:tc>
          <w:tcPr>
            <w:tcW w:w="849" w:type="dxa"/>
            <w:tcBorders>
              <w:top w:val="nil"/>
              <w:left w:val="nil"/>
              <w:bottom w:val="nil"/>
              <w:right w:val="nil"/>
            </w:tcBorders>
            <w:shd w:val="clear" w:color="auto" w:fill="auto"/>
            <w:vAlign w:val="center"/>
          </w:tcPr>
          <w:p w14:paraId="20D8B18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14C52D1F">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37FB30E4">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27519D59">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6DF62C70">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45574CFD">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173F6CD7">
            <w:pPr>
              <w:spacing w:line="360" w:lineRule="auto"/>
              <w:jc w:val="right"/>
              <w:rPr>
                <w:rFonts w:hint="default" w:ascii="Times New Roman" w:hAnsi="Times New Roman" w:eastAsia="Times New Roman" w:cs="Times New Roman"/>
                <w:sz w:val="24"/>
                <w:szCs w:val="24"/>
              </w:rPr>
            </w:pPr>
          </w:p>
        </w:tc>
        <w:tc>
          <w:tcPr>
            <w:tcW w:w="807" w:type="dxa"/>
            <w:tcBorders>
              <w:top w:val="nil"/>
              <w:left w:val="nil"/>
              <w:bottom w:val="nil"/>
              <w:right w:val="nil"/>
            </w:tcBorders>
            <w:shd w:val="clear" w:color="auto" w:fill="auto"/>
            <w:vAlign w:val="center"/>
          </w:tcPr>
          <w:p w14:paraId="0EC28F98">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308839C3">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14502A20">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24BCBF00">
            <w:pPr>
              <w:spacing w:line="360" w:lineRule="auto"/>
              <w:jc w:val="center"/>
              <w:rPr>
                <w:rFonts w:hint="default" w:ascii="Times New Roman" w:hAnsi="Times New Roman" w:eastAsia="Times New Roman" w:cs="Times New Roman"/>
                <w:sz w:val="24"/>
                <w:szCs w:val="24"/>
              </w:rPr>
            </w:pPr>
          </w:p>
        </w:tc>
      </w:tr>
      <w:tr w14:paraId="79BD4AA5">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18DAEF8C">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S2</w:t>
            </w:r>
          </w:p>
        </w:tc>
        <w:tc>
          <w:tcPr>
            <w:tcW w:w="849" w:type="dxa"/>
            <w:tcBorders>
              <w:top w:val="nil"/>
              <w:left w:val="nil"/>
              <w:bottom w:val="nil"/>
              <w:right w:val="nil"/>
            </w:tcBorders>
            <w:shd w:val="clear" w:color="auto" w:fill="auto"/>
            <w:vAlign w:val="center"/>
          </w:tcPr>
          <w:p w14:paraId="7F2C328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0.982</w:t>
            </w:r>
          </w:p>
        </w:tc>
        <w:tc>
          <w:tcPr>
            <w:tcW w:w="761" w:type="dxa"/>
            <w:tcBorders>
              <w:top w:val="nil"/>
              <w:left w:val="nil"/>
              <w:bottom w:val="nil"/>
              <w:right w:val="nil"/>
            </w:tcBorders>
            <w:shd w:val="clear" w:color="auto" w:fill="auto"/>
            <w:vAlign w:val="center"/>
          </w:tcPr>
          <w:p w14:paraId="6C8F62C5">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7D88EDBF">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2E22D27F">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795E0C93">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28E30405">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65756FD5">
            <w:pPr>
              <w:spacing w:line="360" w:lineRule="auto"/>
              <w:jc w:val="right"/>
              <w:rPr>
                <w:rFonts w:hint="default" w:ascii="Times New Roman" w:hAnsi="Times New Roman" w:eastAsia="Times New Roman" w:cs="Times New Roman"/>
                <w:sz w:val="24"/>
                <w:szCs w:val="24"/>
              </w:rPr>
            </w:pPr>
          </w:p>
        </w:tc>
        <w:tc>
          <w:tcPr>
            <w:tcW w:w="807" w:type="dxa"/>
            <w:tcBorders>
              <w:top w:val="nil"/>
              <w:left w:val="nil"/>
              <w:bottom w:val="nil"/>
              <w:right w:val="nil"/>
            </w:tcBorders>
            <w:shd w:val="clear" w:color="auto" w:fill="auto"/>
            <w:vAlign w:val="center"/>
          </w:tcPr>
          <w:p w14:paraId="0CAFC5F1">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25318A4A">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6F1997F5">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32B47509">
            <w:pPr>
              <w:spacing w:line="360" w:lineRule="auto"/>
              <w:jc w:val="center"/>
              <w:rPr>
                <w:rFonts w:hint="default" w:ascii="Times New Roman" w:hAnsi="Times New Roman" w:eastAsia="Times New Roman" w:cs="Times New Roman"/>
                <w:sz w:val="24"/>
                <w:szCs w:val="24"/>
              </w:rPr>
            </w:pPr>
          </w:p>
        </w:tc>
      </w:tr>
      <w:tr w14:paraId="300DE4DE">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0419C712">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S3</w:t>
            </w:r>
          </w:p>
        </w:tc>
        <w:tc>
          <w:tcPr>
            <w:tcW w:w="849" w:type="dxa"/>
            <w:tcBorders>
              <w:top w:val="nil"/>
              <w:left w:val="nil"/>
              <w:bottom w:val="nil"/>
              <w:right w:val="nil"/>
            </w:tcBorders>
            <w:shd w:val="clear" w:color="auto" w:fill="auto"/>
            <w:vAlign w:val="center"/>
          </w:tcPr>
          <w:p w14:paraId="301F244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0.989</w:t>
            </w:r>
          </w:p>
        </w:tc>
        <w:tc>
          <w:tcPr>
            <w:tcW w:w="761" w:type="dxa"/>
            <w:tcBorders>
              <w:top w:val="nil"/>
              <w:left w:val="nil"/>
              <w:bottom w:val="nil"/>
              <w:right w:val="nil"/>
            </w:tcBorders>
            <w:shd w:val="clear" w:color="auto" w:fill="auto"/>
            <w:vAlign w:val="center"/>
          </w:tcPr>
          <w:p w14:paraId="04D44BD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0.993</w:t>
            </w:r>
          </w:p>
        </w:tc>
        <w:tc>
          <w:tcPr>
            <w:tcW w:w="761" w:type="dxa"/>
            <w:tcBorders>
              <w:top w:val="nil"/>
              <w:left w:val="nil"/>
              <w:bottom w:val="nil"/>
              <w:right w:val="nil"/>
            </w:tcBorders>
            <w:shd w:val="clear" w:color="auto" w:fill="auto"/>
            <w:vAlign w:val="center"/>
          </w:tcPr>
          <w:p w14:paraId="584E7AF0">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14C3AE49">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4AE303D6">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5C069535">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121F8C07">
            <w:pPr>
              <w:spacing w:line="360" w:lineRule="auto"/>
              <w:jc w:val="right"/>
              <w:rPr>
                <w:rFonts w:hint="default" w:ascii="Times New Roman" w:hAnsi="Times New Roman" w:eastAsia="Times New Roman" w:cs="Times New Roman"/>
                <w:sz w:val="24"/>
                <w:szCs w:val="24"/>
              </w:rPr>
            </w:pPr>
          </w:p>
        </w:tc>
        <w:tc>
          <w:tcPr>
            <w:tcW w:w="807" w:type="dxa"/>
            <w:tcBorders>
              <w:top w:val="nil"/>
              <w:left w:val="nil"/>
              <w:bottom w:val="nil"/>
              <w:right w:val="nil"/>
            </w:tcBorders>
            <w:shd w:val="clear" w:color="auto" w:fill="auto"/>
            <w:vAlign w:val="center"/>
          </w:tcPr>
          <w:p w14:paraId="3488EB0F">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300F887A">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3D45A285">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FBC28F9">
            <w:pPr>
              <w:spacing w:line="360" w:lineRule="auto"/>
              <w:jc w:val="center"/>
              <w:rPr>
                <w:rFonts w:hint="default" w:ascii="Times New Roman" w:hAnsi="Times New Roman" w:eastAsia="Times New Roman" w:cs="Times New Roman"/>
                <w:sz w:val="24"/>
                <w:szCs w:val="24"/>
              </w:rPr>
            </w:pPr>
          </w:p>
        </w:tc>
      </w:tr>
      <w:tr w14:paraId="4F219944">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346F297F">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S4</w:t>
            </w:r>
          </w:p>
        </w:tc>
        <w:tc>
          <w:tcPr>
            <w:tcW w:w="849" w:type="dxa"/>
            <w:tcBorders>
              <w:top w:val="nil"/>
              <w:left w:val="nil"/>
              <w:bottom w:val="nil"/>
              <w:right w:val="nil"/>
            </w:tcBorders>
            <w:shd w:val="clear" w:color="auto" w:fill="auto"/>
            <w:vAlign w:val="center"/>
          </w:tcPr>
          <w:p w14:paraId="697395DF">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0.971</w:t>
            </w:r>
          </w:p>
        </w:tc>
        <w:tc>
          <w:tcPr>
            <w:tcW w:w="761" w:type="dxa"/>
            <w:tcBorders>
              <w:top w:val="nil"/>
              <w:left w:val="nil"/>
              <w:bottom w:val="nil"/>
              <w:right w:val="nil"/>
            </w:tcBorders>
            <w:shd w:val="clear" w:color="auto" w:fill="auto"/>
            <w:vAlign w:val="center"/>
          </w:tcPr>
          <w:p w14:paraId="3738C41C">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0.993</w:t>
            </w:r>
          </w:p>
        </w:tc>
        <w:tc>
          <w:tcPr>
            <w:tcW w:w="761" w:type="dxa"/>
            <w:tcBorders>
              <w:top w:val="nil"/>
              <w:left w:val="nil"/>
              <w:bottom w:val="nil"/>
              <w:right w:val="nil"/>
            </w:tcBorders>
            <w:shd w:val="clear" w:color="auto" w:fill="auto"/>
            <w:vAlign w:val="center"/>
          </w:tcPr>
          <w:p w14:paraId="50EB81C4">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0.994</w:t>
            </w:r>
          </w:p>
        </w:tc>
        <w:tc>
          <w:tcPr>
            <w:tcW w:w="761" w:type="dxa"/>
            <w:tcBorders>
              <w:top w:val="nil"/>
              <w:left w:val="nil"/>
              <w:bottom w:val="nil"/>
              <w:right w:val="nil"/>
            </w:tcBorders>
            <w:shd w:val="clear" w:color="auto" w:fill="auto"/>
            <w:vAlign w:val="center"/>
          </w:tcPr>
          <w:p w14:paraId="63C7D704">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248908DF">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2B89B072">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0A8D80EE">
            <w:pPr>
              <w:spacing w:line="360" w:lineRule="auto"/>
              <w:jc w:val="right"/>
              <w:rPr>
                <w:rFonts w:hint="default" w:ascii="Times New Roman" w:hAnsi="Times New Roman" w:eastAsia="Times New Roman" w:cs="Times New Roman"/>
                <w:sz w:val="24"/>
                <w:szCs w:val="24"/>
              </w:rPr>
            </w:pPr>
          </w:p>
        </w:tc>
        <w:tc>
          <w:tcPr>
            <w:tcW w:w="807" w:type="dxa"/>
            <w:tcBorders>
              <w:top w:val="nil"/>
              <w:left w:val="nil"/>
              <w:bottom w:val="nil"/>
              <w:right w:val="nil"/>
            </w:tcBorders>
            <w:shd w:val="clear" w:color="auto" w:fill="auto"/>
            <w:vAlign w:val="center"/>
          </w:tcPr>
          <w:p w14:paraId="7D39DFA1">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29C6206E">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0AEE98F6">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C49AB0A">
            <w:pPr>
              <w:spacing w:line="360" w:lineRule="auto"/>
              <w:jc w:val="center"/>
              <w:rPr>
                <w:rFonts w:hint="default" w:ascii="Times New Roman" w:hAnsi="Times New Roman" w:eastAsia="Times New Roman" w:cs="Times New Roman"/>
                <w:sz w:val="24"/>
                <w:szCs w:val="24"/>
              </w:rPr>
            </w:pPr>
          </w:p>
        </w:tc>
      </w:tr>
      <w:tr w14:paraId="374C337D">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50C3C740">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S5</w:t>
            </w:r>
          </w:p>
        </w:tc>
        <w:tc>
          <w:tcPr>
            <w:tcW w:w="849" w:type="dxa"/>
            <w:tcBorders>
              <w:top w:val="nil"/>
              <w:left w:val="nil"/>
              <w:bottom w:val="nil"/>
              <w:right w:val="nil"/>
            </w:tcBorders>
            <w:shd w:val="clear" w:color="auto" w:fill="auto"/>
            <w:vAlign w:val="center"/>
          </w:tcPr>
          <w:p w14:paraId="01E8DAA3">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0.984</w:t>
            </w:r>
          </w:p>
        </w:tc>
        <w:tc>
          <w:tcPr>
            <w:tcW w:w="761" w:type="dxa"/>
            <w:tcBorders>
              <w:top w:val="nil"/>
              <w:left w:val="nil"/>
              <w:bottom w:val="nil"/>
              <w:right w:val="nil"/>
            </w:tcBorders>
            <w:shd w:val="clear" w:color="auto" w:fill="auto"/>
            <w:vAlign w:val="center"/>
          </w:tcPr>
          <w:p w14:paraId="7B3C825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54E6B1E3">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417EB153">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29D8CC2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11962D26">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4DEB9190">
            <w:pPr>
              <w:spacing w:line="360" w:lineRule="auto"/>
              <w:jc w:val="right"/>
              <w:rPr>
                <w:rFonts w:hint="default" w:ascii="Times New Roman" w:hAnsi="Times New Roman" w:eastAsia="Times New Roman" w:cs="Times New Roman"/>
                <w:sz w:val="24"/>
                <w:szCs w:val="24"/>
              </w:rPr>
            </w:pPr>
          </w:p>
        </w:tc>
        <w:tc>
          <w:tcPr>
            <w:tcW w:w="807" w:type="dxa"/>
            <w:tcBorders>
              <w:top w:val="nil"/>
              <w:left w:val="nil"/>
              <w:bottom w:val="nil"/>
              <w:right w:val="nil"/>
            </w:tcBorders>
            <w:shd w:val="clear" w:color="auto" w:fill="auto"/>
            <w:vAlign w:val="center"/>
          </w:tcPr>
          <w:p w14:paraId="4D634309">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6F50FA86">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00CD3A79">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7F6F1E2">
            <w:pPr>
              <w:spacing w:line="360" w:lineRule="auto"/>
              <w:jc w:val="center"/>
              <w:rPr>
                <w:rFonts w:hint="default" w:ascii="Times New Roman" w:hAnsi="Times New Roman" w:eastAsia="Times New Roman" w:cs="Times New Roman"/>
                <w:sz w:val="24"/>
                <w:szCs w:val="24"/>
              </w:rPr>
            </w:pPr>
          </w:p>
        </w:tc>
      </w:tr>
      <w:tr w14:paraId="3AE9A08A">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1AA5581B">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S6</w:t>
            </w:r>
          </w:p>
        </w:tc>
        <w:tc>
          <w:tcPr>
            <w:tcW w:w="849" w:type="dxa"/>
            <w:tcBorders>
              <w:top w:val="nil"/>
              <w:left w:val="nil"/>
              <w:bottom w:val="nil"/>
              <w:right w:val="nil"/>
            </w:tcBorders>
            <w:shd w:val="clear" w:color="auto" w:fill="auto"/>
            <w:vAlign w:val="center"/>
          </w:tcPr>
          <w:p w14:paraId="01BB525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0.986</w:t>
            </w:r>
          </w:p>
        </w:tc>
        <w:tc>
          <w:tcPr>
            <w:tcW w:w="761" w:type="dxa"/>
            <w:tcBorders>
              <w:top w:val="nil"/>
              <w:left w:val="nil"/>
              <w:bottom w:val="nil"/>
              <w:right w:val="nil"/>
            </w:tcBorders>
            <w:shd w:val="clear" w:color="auto" w:fill="auto"/>
            <w:vAlign w:val="center"/>
          </w:tcPr>
          <w:p w14:paraId="0F9CE987">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4AEC7CA5">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1C4EC79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0.994</w:t>
            </w:r>
          </w:p>
        </w:tc>
        <w:tc>
          <w:tcPr>
            <w:tcW w:w="761" w:type="dxa"/>
            <w:tcBorders>
              <w:top w:val="nil"/>
              <w:left w:val="nil"/>
              <w:bottom w:val="nil"/>
              <w:right w:val="nil"/>
            </w:tcBorders>
            <w:shd w:val="clear" w:color="auto" w:fill="auto"/>
            <w:vAlign w:val="center"/>
          </w:tcPr>
          <w:p w14:paraId="767D742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49271B0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0FC81B41">
            <w:pPr>
              <w:spacing w:line="360" w:lineRule="auto"/>
              <w:jc w:val="right"/>
              <w:rPr>
                <w:rFonts w:hint="default" w:ascii="Times New Roman" w:hAnsi="Times New Roman" w:cs="Times New Roman"/>
                <w:color w:val="000000"/>
                <w:sz w:val="24"/>
                <w:szCs w:val="24"/>
              </w:rPr>
            </w:pPr>
          </w:p>
        </w:tc>
        <w:tc>
          <w:tcPr>
            <w:tcW w:w="807" w:type="dxa"/>
            <w:tcBorders>
              <w:top w:val="nil"/>
              <w:left w:val="nil"/>
              <w:bottom w:val="nil"/>
              <w:right w:val="nil"/>
            </w:tcBorders>
            <w:shd w:val="clear" w:color="auto" w:fill="auto"/>
            <w:vAlign w:val="center"/>
          </w:tcPr>
          <w:p w14:paraId="0F09E354">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17D28EFD">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5AB3A1B2">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307699B">
            <w:pPr>
              <w:spacing w:line="360" w:lineRule="auto"/>
              <w:jc w:val="center"/>
              <w:rPr>
                <w:rFonts w:hint="default" w:ascii="Times New Roman" w:hAnsi="Times New Roman" w:eastAsia="Times New Roman" w:cs="Times New Roman"/>
                <w:sz w:val="24"/>
                <w:szCs w:val="24"/>
              </w:rPr>
            </w:pPr>
          </w:p>
        </w:tc>
      </w:tr>
      <w:tr w14:paraId="1F1E53F1">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2B2F65F0">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S7</w:t>
            </w:r>
          </w:p>
        </w:tc>
        <w:tc>
          <w:tcPr>
            <w:tcW w:w="849" w:type="dxa"/>
            <w:tcBorders>
              <w:top w:val="nil"/>
              <w:left w:val="nil"/>
              <w:bottom w:val="nil"/>
              <w:right w:val="nil"/>
            </w:tcBorders>
            <w:shd w:val="clear" w:color="auto" w:fill="auto"/>
            <w:vAlign w:val="center"/>
          </w:tcPr>
          <w:p w14:paraId="4BC229E6">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0.985</w:t>
            </w:r>
          </w:p>
        </w:tc>
        <w:tc>
          <w:tcPr>
            <w:tcW w:w="761" w:type="dxa"/>
            <w:tcBorders>
              <w:top w:val="nil"/>
              <w:left w:val="nil"/>
              <w:bottom w:val="nil"/>
              <w:right w:val="nil"/>
            </w:tcBorders>
            <w:shd w:val="clear" w:color="auto" w:fill="auto"/>
            <w:vAlign w:val="center"/>
          </w:tcPr>
          <w:p w14:paraId="1D72D56D">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2B5FD00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761" w:type="dxa"/>
            <w:tcBorders>
              <w:top w:val="nil"/>
              <w:left w:val="nil"/>
              <w:bottom w:val="nil"/>
              <w:right w:val="nil"/>
            </w:tcBorders>
            <w:shd w:val="clear" w:color="auto" w:fill="auto"/>
            <w:vAlign w:val="center"/>
          </w:tcPr>
          <w:p w14:paraId="67426CE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0.993</w:t>
            </w:r>
          </w:p>
        </w:tc>
        <w:tc>
          <w:tcPr>
            <w:tcW w:w="761" w:type="dxa"/>
            <w:tcBorders>
              <w:top w:val="nil"/>
              <w:left w:val="nil"/>
              <w:bottom w:val="nil"/>
              <w:right w:val="nil"/>
            </w:tcBorders>
            <w:shd w:val="clear" w:color="auto" w:fill="auto"/>
            <w:vAlign w:val="center"/>
          </w:tcPr>
          <w:p w14:paraId="21036D70">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5D40806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28346FE4">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807" w:type="dxa"/>
            <w:tcBorders>
              <w:top w:val="nil"/>
              <w:left w:val="nil"/>
              <w:bottom w:val="nil"/>
              <w:right w:val="nil"/>
            </w:tcBorders>
            <w:shd w:val="clear" w:color="auto" w:fill="auto"/>
            <w:vAlign w:val="center"/>
          </w:tcPr>
          <w:p w14:paraId="61C1CCA2">
            <w:pPr>
              <w:spacing w:line="360" w:lineRule="auto"/>
              <w:jc w:val="center"/>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09457586">
            <w:pPr>
              <w:spacing w:line="360" w:lineRule="auto"/>
              <w:jc w:val="right"/>
              <w:rPr>
                <w:rFonts w:hint="default" w:ascii="Times New Roman" w:hAnsi="Times New Roman" w:eastAsia="Times New Roman" w:cs="Times New Roman"/>
                <w:sz w:val="24"/>
                <w:szCs w:val="24"/>
              </w:rPr>
            </w:pPr>
          </w:p>
        </w:tc>
        <w:tc>
          <w:tcPr>
            <w:tcW w:w="761" w:type="dxa"/>
            <w:tcBorders>
              <w:top w:val="nil"/>
              <w:left w:val="nil"/>
              <w:bottom w:val="nil"/>
              <w:right w:val="nil"/>
            </w:tcBorders>
            <w:shd w:val="clear" w:color="auto" w:fill="auto"/>
            <w:vAlign w:val="center"/>
          </w:tcPr>
          <w:p w14:paraId="33BD8EBD">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A406FEC">
            <w:pPr>
              <w:spacing w:line="360" w:lineRule="auto"/>
              <w:jc w:val="center"/>
              <w:rPr>
                <w:rFonts w:hint="default" w:ascii="Times New Roman" w:hAnsi="Times New Roman" w:eastAsia="Times New Roman" w:cs="Times New Roman"/>
                <w:sz w:val="24"/>
                <w:szCs w:val="24"/>
              </w:rPr>
            </w:pPr>
          </w:p>
        </w:tc>
      </w:tr>
      <w:tr w14:paraId="0CE7F85D">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442C4C77">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S8</w:t>
            </w:r>
          </w:p>
        </w:tc>
        <w:tc>
          <w:tcPr>
            <w:tcW w:w="849" w:type="dxa"/>
            <w:tcBorders>
              <w:top w:val="nil"/>
              <w:left w:val="nil"/>
              <w:bottom w:val="nil"/>
              <w:right w:val="nil"/>
            </w:tcBorders>
            <w:shd w:val="clear" w:color="auto" w:fill="auto"/>
            <w:vAlign w:val="center"/>
          </w:tcPr>
          <w:p w14:paraId="76C6567B">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73FF7CDB">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6897FD21">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3CFF1B4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0.991</w:t>
            </w:r>
          </w:p>
        </w:tc>
        <w:tc>
          <w:tcPr>
            <w:tcW w:w="761" w:type="dxa"/>
            <w:tcBorders>
              <w:top w:val="nil"/>
              <w:left w:val="nil"/>
              <w:bottom w:val="nil"/>
              <w:right w:val="nil"/>
            </w:tcBorders>
            <w:shd w:val="clear" w:color="auto" w:fill="auto"/>
            <w:vAlign w:val="center"/>
          </w:tcPr>
          <w:p w14:paraId="0062CF30">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30EE5B6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77453D6D">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807" w:type="dxa"/>
            <w:tcBorders>
              <w:top w:val="nil"/>
              <w:left w:val="nil"/>
              <w:bottom w:val="nil"/>
              <w:right w:val="nil"/>
            </w:tcBorders>
            <w:shd w:val="clear" w:color="auto" w:fill="auto"/>
            <w:vAlign w:val="center"/>
          </w:tcPr>
          <w:p w14:paraId="4D7D8A3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29420783">
            <w:pPr>
              <w:spacing w:line="360" w:lineRule="auto"/>
              <w:jc w:val="right"/>
              <w:rPr>
                <w:rFonts w:hint="default" w:ascii="Times New Roman" w:hAnsi="Times New Roman" w:cs="Times New Roman"/>
                <w:color w:val="000000"/>
                <w:sz w:val="24"/>
                <w:szCs w:val="24"/>
              </w:rPr>
            </w:pPr>
          </w:p>
        </w:tc>
        <w:tc>
          <w:tcPr>
            <w:tcW w:w="761" w:type="dxa"/>
            <w:tcBorders>
              <w:top w:val="nil"/>
              <w:left w:val="nil"/>
              <w:bottom w:val="nil"/>
              <w:right w:val="nil"/>
            </w:tcBorders>
            <w:shd w:val="clear" w:color="auto" w:fill="auto"/>
            <w:vAlign w:val="center"/>
          </w:tcPr>
          <w:p w14:paraId="63A894F9">
            <w:pPr>
              <w:spacing w:line="360" w:lineRule="auto"/>
              <w:jc w:val="right"/>
              <w:rPr>
                <w:rFonts w:hint="default" w:ascii="Times New Roman" w:hAnsi="Times New Roman" w:eastAsia="Times New Roman" w:cs="Times New Roman"/>
                <w:sz w:val="24"/>
                <w:szCs w:val="24"/>
              </w:rPr>
            </w:pPr>
          </w:p>
        </w:tc>
        <w:tc>
          <w:tcPr>
            <w:tcW w:w="833" w:type="dxa"/>
            <w:tcBorders>
              <w:top w:val="nil"/>
              <w:left w:val="nil"/>
              <w:bottom w:val="nil"/>
              <w:right w:val="nil"/>
            </w:tcBorders>
            <w:shd w:val="clear" w:color="auto" w:fill="auto"/>
            <w:vAlign w:val="center"/>
          </w:tcPr>
          <w:p w14:paraId="4A9A2EC9">
            <w:pPr>
              <w:spacing w:line="360" w:lineRule="auto"/>
              <w:jc w:val="center"/>
              <w:rPr>
                <w:rFonts w:hint="default" w:ascii="Times New Roman" w:hAnsi="Times New Roman" w:eastAsia="Times New Roman" w:cs="Times New Roman"/>
                <w:sz w:val="24"/>
                <w:szCs w:val="24"/>
              </w:rPr>
            </w:pPr>
          </w:p>
        </w:tc>
      </w:tr>
      <w:tr w14:paraId="13CE2195">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29EB0B4B">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S9</w:t>
            </w:r>
          </w:p>
        </w:tc>
        <w:tc>
          <w:tcPr>
            <w:tcW w:w="849" w:type="dxa"/>
            <w:tcBorders>
              <w:top w:val="nil"/>
              <w:left w:val="nil"/>
              <w:bottom w:val="nil"/>
              <w:right w:val="nil"/>
            </w:tcBorders>
            <w:shd w:val="clear" w:color="auto" w:fill="auto"/>
            <w:vAlign w:val="center"/>
          </w:tcPr>
          <w:p w14:paraId="52A55864">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0.983</w:t>
            </w:r>
          </w:p>
        </w:tc>
        <w:tc>
          <w:tcPr>
            <w:tcW w:w="761" w:type="dxa"/>
            <w:tcBorders>
              <w:top w:val="nil"/>
              <w:left w:val="nil"/>
              <w:bottom w:val="nil"/>
              <w:right w:val="nil"/>
            </w:tcBorders>
            <w:shd w:val="clear" w:color="auto" w:fill="auto"/>
            <w:vAlign w:val="center"/>
          </w:tcPr>
          <w:p w14:paraId="79494C46">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0.994</w:t>
            </w:r>
          </w:p>
        </w:tc>
        <w:tc>
          <w:tcPr>
            <w:tcW w:w="761" w:type="dxa"/>
            <w:tcBorders>
              <w:top w:val="nil"/>
              <w:left w:val="nil"/>
              <w:bottom w:val="nil"/>
              <w:right w:val="nil"/>
            </w:tcBorders>
            <w:shd w:val="clear" w:color="auto" w:fill="auto"/>
            <w:vAlign w:val="center"/>
          </w:tcPr>
          <w:p w14:paraId="7B2D89F3">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56BE7C1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1E94C60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nil"/>
              <w:right w:val="nil"/>
            </w:tcBorders>
            <w:shd w:val="clear" w:color="auto" w:fill="auto"/>
            <w:vAlign w:val="center"/>
          </w:tcPr>
          <w:p w14:paraId="61EFE607">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64E8ECF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807" w:type="dxa"/>
            <w:tcBorders>
              <w:top w:val="nil"/>
              <w:left w:val="nil"/>
              <w:bottom w:val="nil"/>
              <w:right w:val="nil"/>
            </w:tcBorders>
            <w:shd w:val="clear" w:color="auto" w:fill="auto"/>
            <w:vAlign w:val="center"/>
          </w:tcPr>
          <w:p w14:paraId="15E7566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761" w:type="dxa"/>
            <w:tcBorders>
              <w:top w:val="nil"/>
              <w:left w:val="nil"/>
              <w:bottom w:val="nil"/>
              <w:right w:val="nil"/>
            </w:tcBorders>
            <w:shd w:val="clear" w:color="auto" w:fill="auto"/>
            <w:vAlign w:val="center"/>
          </w:tcPr>
          <w:p w14:paraId="7A0CA0E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761" w:type="dxa"/>
            <w:tcBorders>
              <w:top w:val="nil"/>
              <w:left w:val="nil"/>
              <w:bottom w:val="nil"/>
              <w:right w:val="nil"/>
            </w:tcBorders>
            <w:shd w:val="clear" w:color="auto" w:fill="auto"/>
            <w:vAlign w:val="center"/>
          </w:tcPr>
          <w:p w14:paraId="6CDE078E">
            <w:pPr>
              <w:spacing w:line="360" w:lineRule="auto"/>
              <w:jc w:val="right"/>
              <w:rPr>
                <w:rFonts w:hint="default" w:ascii="Times New Roman" w:hAnsi="Times New Roman" w:cs="Times New Roman"/>
                <w:color w:val="000000"/>
                <w:sz w:val="24"/>
                <w:szCs w:val="24"/>
              </w:rPr>
            </w:pPr>
          </w:p>
        </w:tc>
        <w:tc>
          <w:tcPr>
            <w:tcW w:w="833" w:type="dxa"/>
            <w:tcBorders>
              <w:top w:val="nil"/>
              <w:left w:val="nil"/>
              <w:bottom w:val="nil"/>
              <w:right w:val="nil"/>
            </w:tcBorders>
            <w:shd w:val="clear" w:color="auto" w:fill="auto"/>
            <w:vAlign w:val="center"/>
          </w:tcPr>
          <w:p w14:paraId="55518CE1">
            <w:pPr>
              <w:spacing w:line="360" w:lineRule="auto"/>
              <w:jc w:val="center"/>
              <w:rPr>
                <w:rFonts w:hint="default" w:ascii="Times New Roman" w:hAnsi="Times New Roman" w:eastAsia="Times New Roman" w:cs="Times New Roman"/>
                <w:sz w:val="24"/>
                <w:szCs w:val="24"/>
              </w:rPr>
            </w:pPr>
          </w:p>
        </w:tc>
      </w:tr>
      <w:tr w14:paraId="3FEAEFFC">
        <w:tblPrEx>
          <w:tblCellMar>
            <w:top w:w="0" w:type="dxa"/>
            <w:left w:w="108" w:type="dxa"/>
            <w:bottom w:w="0" w:type="dxa"/>
            <w:right w:w="108" w:type="dxa"/>
          </w:tblCellMar>
        </w:tblPrEx>
        <w:trPr>
          <w:trHeight w:val="249" w:hRule="atLeast"/>
          <w:jc w:val="center"/>
        </w:trPr>
        <w:tc>
          <w:tcPr>
            <w:tcW w:w="892" w:type="dxa"/>
            <w:tcBorders>
              <w:top w:val="nil"/>
              <w:left w:val="nil"/>
              <w:bottom w:val="nil"/>
              <w:right w:val="nil"/>
            </w:tcBorders>
            <w:shd w:val="clear" w:color="auto" w:fill="auto"/>
            <w:vAlign w:val="center"/>
          </w:tcPr>
          <w:p w14:paraId="2E5A60DD">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S10</w:t>
            </w:r>
          </w:p>
        </w:tc>
        <w:tc>
          <w:tcPr>
            <w:tcW w:w="849" w:type="dxa"/>
            <w:tcBorders>
              <w:top w:val="nil"/>
              <w:left w:val="nil"/>
              <w:bottom w:val="nil"/>
              <w:right w:val="nil"/>
            </w:tcBorders>
            <w:shd w:val="clear" w:color="auto" w:fill="auto"/>
            <w:vAlign w:val="center"/>
          </w:tcPr>
          <w:p w14:paraId="13DA1DD0">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0.992</w:t>
            </w:r>
          </w:p>
        </w:tc>
        <w:tc>
          <w:tcPr>
            <w:tcW w:w="761" w:type="dxa"/>
            <w:tcBorders>
              <w:top w:val="nil"/>
              <w:left w:val="nil"/>
              <w:bottom w:val="nil"/>
              <w:right w:val="nil"/>
            </w:tcBorders>
            <w:shd w:val="clear" w:color="auto" w:fill="auto"/>
            <w:vAlign w:val="center"/>
          </w:tcPr>
          <w:p w14:paraId="1A1AFF46">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0.992</w:t>
            </w:r>
          </w:p>
        </w:tc>
        <w:tc>
          <w:tcPr>
            <w:tcW w:w="761" w:type="dxa"/>
            <w:tcBorders>
              <w:top w:val="nil"/>
              <w:left w:val="nil"/>
              <w:bottom w:val="nil"/>
              <w:right w:val="nil"/>
            </w:tcBorders>
            <w:shd w:val="clear" w:color="auto" w:fill="auto"/>
            <w:vAlign w:val="center"/>
          </w:tcPr>
          <w:p w14:paraId="48DFC3DA">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nil"/>
              <w:right w:val="nil"/>
            </w:tcBorders>
            <w:shd w:val="clear" w:color="auto" w:fill="auto"/>
            <w:vAlign w:val="center"/>
          </w:tcPr>
          <w:p w14:paraId="27A101E1">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0.992</w:t>
            </w:r>
          </w:p>
        </w:tc>
        <w:tc>
          <w:tcPr>
            <w:tcW w:w="761" w:type="dxa"/>
            <w:tcBorders>
              <w:top w:val="nil"/>
              <w:left w:val="nil"/>
              <w:bottom w:val="nil"/>
              <w:right w:val="nil"/>
            </w:tcBorders>
            <w:shd w:val="clear" w:color="auto" w:fill="auto"/>
            <w:vAlign w:val="center"/>
          </w:tcPr>
          <w:p w14:paraId="16557AC6">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761" w:type="dxa"/>
            <w:tcBorders>
              <w:top w:val="nil"/>
              <w:left w:val="nil"/>
              <w:bottom w:val="nil"/>
              <w:right w:val="nil"/>
            </w:tcBorders>
            <w:shd w:val="clear" w:color="auto" w:fill="auto"/>
            <w:vAlign w:val="center"/>
          </w:tcPr>
          <w:p w14:paraId="00FC352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761" w:type="dxa"/>
            <w:tcBorders>
              <w:top w:val="nil"/>
              <w:left w:val="nil"/>
              <w:bottom w:val="nil"/>
              <w:right w:val="nil"/>
            </w:tcBorders>
            <w:shd w:val="clear" w:color="auto" w:fill="auto"/>
            <w:vAlign w:val="center"/>
          </w:tcPr>
          <w:p w14:paraId="00F79AA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0.996</w:t>
            </w:r>
          </w:p>
        </w:tc>
        <w:tc>
          <w:tcPr>
            <w:tcW w:w="807" w:type="dxa"/>
            <w:tcBorders>
              <w:top w:val="nil"/>
              <w:left w:val="nil"/>
              <w:bottom w:val="nil"/>
              <w:right w:val="nil"/>
            </w:tcBorders>
            <w:shd w:val="clear" w:color="auto" w:fill="auto"/>
            <w:vAlign w:val="center"/>
          </w:tcPr>
          <w:p w14:paraId="516E8BF7">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3671D9A3">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nil"/>
              <w:right w:val="nil"/>
            </w:tcBorders>
            <w:shd w:val="clear" w:color="auto" w:fill="auto"/>
            <w:vAlign w:val="center"/>
          </w:tcPr>
          <w:p w14:paraId="243EAB0F">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833" w:type="dxa"/>
            <w:tcBorders>
              <w:top w:val="nil"/>
              <w:left w:val="nil"/>
              <w:bottom w:val="nil"/>
              <w:right w:val="nil"/>
            </w:tcBorders>
            <w:shd w:val="clear" w:color="auto" w:fill="auto"/>
            <w:vAlign w:val="center"/>
          </w:tcPr>
          <w:p w14:paraId="695C66F3">
            <w:pPr>
              <w:spacing w:line="360" w:lineRule="auto"/>
              <w:jc w:val="center"/>
              <w:rPr>
                <w:rFonts w:hint="default" w:ascii="Times New Roman" w:hAnsi="Times New Roman" w:cs="Times New Roman"/>
                <w:color w:val="000000"/>
                <w:sz w:val="24"/>
                <w:szCs w:val="24"/>
              </w:rPr>
            </w:pPr>
          </w:p>
        </w:tc>
      </w:tr>
      <w:tr w14:paraId="648D68CF">
        <w:tblPrEx>
          <w:tblCellMar>
            <w:top w:w="0" w:type="dxa"/>
            <w:left w:w="108" w:type="dxa"/>
            <w:bottom w:w="0" w:type="dxa"/>
            <w:right w:w="108" w:type="dxa"/>
          </w:tblCellMar>
        </w:tblPrEx>
        <w:trPr>
          <w:trHeight w:val="1068" w:hRule="atLeast"/>
          <w:jc w:val="center"/>
        </w:trPr>
        <w:tc>
          <w:tcPr>
            <w:tcW w:w="892" w:type="dxa"/>
            <w:tcBorders>
              <w:top w:val="nil"/>
              <w:left w:val="nil"/>
              <w:bottom w:val="single" w:color="auto" w:sz="12" w:space="0"/>
              <w:right w:val="nil"/>
            </w:tcBorders>
            <w:shd w:val="clear" w:color="auto" w:fill="auto"/>
            <w:vAlign w:val="center"/>
          </w:tcPr>
          <w:p w14:paraId="1714425B">
            <w:pPr>
              <w:spacing w:line="360" w:lineRule="auto"/>
              <w:rPr>
                <w:rFonts w:hint="default" w:ascii="Times New Roman" w:hAnsi="Times New Roman" w:cs="Times New Roman"/>
                <w:color w:val="000000"/>
                <w:sz w:val="24"/>
                <w:szCs w:val="24"/>
              </w:rPr>
            </w:pPr>
          </w:p>
          <w:p w14:paraId="51C4FECD">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control map</w:t>
            </w:r>
          </w:p>
          <w:p w14:paraId="0EDEB0D6">
            <w:pPr>
              <w:spacing w:line="360" w:lineRule="auto"/>
              <w:rPr>
                <w:rFonts w:hint="default" w:ascii="Times New Roman" w:hAnsi="Times New Roman" w:cs="Times New Roman"/>
                <w:color w:val="000000"/>
                <w:sz w:val="24"/>
                <w:szCs w:val="24"/>
              </w:rPr>
            </w:pPr>
          </w:p>
        </w:tc>
        <w:tc>
          <w:tcPr>
            <w:tcW w:w="849" w:type="dxa"/>
            <w:tcBorders>
              <w:top w:val="nil"/>
              <w:left w:val="nil"/>
              <w:bottom w:val="single" w:color="auto" w:sz="12" w:space="0"/>
              <w:right w:val="nil"/>
            </w:tcBorders>
            <w:shd w:val="clear" w:color="auto" w:fill="auto"/>
            <w:vAlign w:val="center"/>
          </w:tcPr>
          <w:p w14:paraId="2E251F9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single" w:color="auto" w:sz="12" w:space="0"/>
              <w:right w:val="nil"/>
            </w:tcBorders>
            <w:shd w:val="clear" w:color="auto" w:fill="auto"/>
            <w:vAlign w:val="center"/>
          </w:tcPr>
          <w:p w14:paraId="61B11A68">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0.997</w:t>
            </w:r>
          </w:p>
        </w:tc>
        <w:tc>
          <w:tcPr>
            <w:tcW w:w="761" w:type="dxa"/>
            <w:tcBorders>
              <w:top w:val="nil"/>
              <w:left w:val="nil"/>
              <w:bottom w:val="single" w:color="auto" w:sz="12" w:space="0"/>
              <w:right w:val="nil"/>
            </w:tcBorders>
            <w:shd w:val="clear" w:color="auto" w:fill="auto"/>
            <w:vAlign w:val="center"/>
          </w:tcPr>
          <w:p w14:paraId="7A20F4F9">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single" w:color="auto" w:sz="12" w:space="0"/>
              <w:right w:val="nil"/>
            </w:tcBorders>
            <w:shd w:val="clear" w:color="auto" w:fill="auto"/>
            <w:vAlign w:val="center"/>
          </w:tcPr>
          <w:p w14:paraId="448E6E02">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0.994</w:t>
            </w:r>
          </w:p>
        </w:tc>
        <w:tc>
          <w:tcPr>
            <w:tcW w:w="761" w:type="dxa"/>
            <w:tcBorders>
              <w:top w:val="nil"/>
              <w:left w:val="nil"/>
              <w:bottom w:val="single" w:color="auto" w:sz="12" w:space="0"/>
              <w:right w:val="nil"/>
            </w:tcBorders>
            <w:shd w:val="clear" w:color="auto" w:fill="auto"/>
            <w:vAlign w:val="center"/>
          </w:tcPr>
          <w:p w14:paraId="66DA8D46">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single" w:color="auto" w:sz="12" w:space="0"/>
              <w:right w:val="nil"/>
            </w:tcBorders>
            <w:shd w:val="clear" w:color="auto" w:fill="auto"/>
            <w:vAlign w:val="center"/>
          </w:tcPr>
          <w:p w14:paraId="72752611">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single" w:color="auto" w:sz="12" w:space="0"/>
              <w:right w:val="nil"/>
            </w:tcBorders>
            <w:shd w:val="clear" w:color="auto" w:fill="auto"/>
            <w:vAlign w:val="center"/>
          </w:tcPr>
          <w:p w14:paraId="755C0A9E">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807" w:type="dxa"/>
            <w:tcBorders>
              <w:top w:val="nil"/>
              <w:left w:val="nil"/>
              <w:bottom w:val="single" w:color="auto" w:sz="12" w:space="0"/>
              <w:right w:val="nil"/>
            </w:tcBorders>
            <w:shd w:val="clear" w:color="auto" w:fill="auto"/>
            <w:vAlign w:val="center"/>
          </w:tcPr>
          <w:p w14:paraId="7B8FACBA">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761" w:type="dxa"/>
            <w:tcBorders>
              <w:top w:val="nil"/>
              <w:left w:val="nil"/>
              <w:bottom w:val="single" w:color="auto" w:sz="12" w:space="0"/>
              <w:right w:val="nil"/>
            </w:tcBorders>
            <w:shd w:val="clear" w:color="auto" w:fill="auto"/>
            <w:vAlign w:val="center"/>
          </w:tcPr>
          <w:p w14:paraId="74BA3F9A">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0.998</w:t>
            </w:r>
          </w:p>
        </w:tc>
        <w:tc>
          <w:tcPr>
            <w:tcW w:w="761" w:type="dxa"/>
            <w:tcBorders>
              <w:top w:val="nil"/>
              <w:left w:val="nil"/>
              <w:bottom w:val="single" w:color="auto" w:sz="12" w:space="0"/>
              <w:right w:val="nil"/>
            </w:tcBorders>
            <w:shd w:val="clear" w:color="auto" w:fill="auto"/>
            <w:vAlign w:val="center"/>
          </w:tcPr>
          <w:p w14:paraId="57248EF1">
            <w:pPr>
              <w:spacing w:line="360" w:lineRule="auto"/>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0.999</w:t>
            </w:r>
          </w:p>
        </w:tc>
        <w:tc>
          <w:tcPr>
            <w:tcW w:w="833" w:type="dxa"/>
            <w:tcBorders>
              <w:top w:val="nil"/>
              <w:left w:val="nil"/>
              <w:bottom w:val="single" w:color="auto" w:sz="12" w:space="0"/>
              <w:right w:val="nil"/>
            </w:tcBorders>
            <w:shd w:val="clear" w:color="auto" w:fill="auto"/>
            <w:vAlign w:val="center"/>
          </w:tcPr>
          <w:p w14:paraId="0E343596">
            <w:pPr>
              <w:spacing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r>
    </w:tbl>
    <w:p w14:paraId="0DBC6493">
      <w:pPr>
        <w:pStyle w:val="10"/>
        <w:spacing w:line="360" w:lineRule="auto"/>
        <w:ind w:left="0"/>
        <w:jc w:val="both"/>
        <w:rPr>
          <w:rFonts w:hint="default" w:ascii="Times New Roman" w:hAnsi="Times New Roman" w:eastAsia="黑体" w:cs="Times New Roman"/>
          <w:color w:val="000000" w:themeColor="text1"/>
          <w:sz w:val="24"/>
          <w:szCs w:val="24"/>
          <w14:textFill>
            <w14:solidFill>
              <w14:schemeClr w14:val="tx1"/>
            </w14:solidFill>
          </w14:textFill>
        </w:rPr>
      </w:pPr>
    </w:p>
    <w:p w14:paraId="1D02F053">
      <w:pPr>
        <w:pStyle w:val="11"/>
        <w:tabs>
          <w:tab w:val="left" w:pos="2552"/>
          <w:tab w:val="left" w:pos="2694"/>
          <w:tab w:val="left" w:pos="7088"/>
        </w:tabs>
        <w:spacing w:line="360" w:lineRule="auto"/>
        <w:ind w:firstLine="0" w:firstLineChars="0"/>
        <w:jc w:val="center"/>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sz w:val="24"/>
          <w:szCs w:val="24"/>
        </w:rPr>
        <w:drawing>
          <wp:inline distT="0" distB="0" distL="0" distR="0">
            <wp:extent cx="5461000" cy="2983230"/>
            <wp:effectExtent l="0" t="0" r="6350" b="7620"/>
            <wp:docPr id="2" name="图片 2" descr="F:\钟佩云\2019.7.15指纹图谱处理\2019.7.15指纹图谱叠加图\生品有对照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钟佩云\2019.7.15指纹图谱处理\2019.7.15指纹图谱叠加图\生品有对照25.b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474727" cy="2990731"/>
                    </a:xfrm>
                    <a:prstGeom prst="rect">
                      <a:avLst/>
                    </a:prstGeom>
                    <a:noFill/>
                    <a:ln>
                      <a:noFill/>
                    </a:ln>
                  </pic:spPr>
                </pic:pic>
              </a:graphicData>
            </a:graphic>
          </wp:inline>
        </w:drawing>
      </w:r>
    </w:p>
    <w:p w14:paraId="61EAA43F">
      <w:pPr>
        <w:pStyle w:val="11"/>
        <w:spacing w:line="360" w:lineRule="auto"/>
        <w:ind w:firstLine="200" w:firstLineChars="83"/>
        <w:jc w:val="center"/>
        <w:rPr>
          <w:rFonts w:hint="default" w:ascii="Times New Roman" w:hAnsi="Times New Roman" w:cs="Times New Roman"/>
          <w:sz w:val="24"/>
          <w:szCs w:val="24"/>
        </w:rPr>
      </w:pPr>
      <w:bookmarkStart w:id="5" w:name="_Hlk43222371"/>
      <w:r>
        <w:rPr>
          <w:rFonts w:hint="default" w:ascii="Times New Roman" w:hAnsi="Times New Roman" w:cs="Times New Roman"/>
          <w:b/>
          <w:bCs/>
          <w:color w:val="000000" w:themeColor="text1"/>
          <w:sz w:val="24"/>
          <w:szCs w:val="24"/>
          <w14:textFill>
            <w14:solidFill>
              <w14:schemeClr w14:val="tx1"/>
            </w14:solidFill>
          </w14:textFill>
        </w:rPr>
        <w:t>Fig</w:t>
      </w:r>
      <w:r>
        <w:rPr>
          <w:rFonts w:hint="eastAsia"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S1</w:t>
      </w:r>
      <w:r>
        <w:rPr>
          <w:rFonts w:hint="default" w:ascii="Times New Roman" w:hAnsi="Times New Roman" w:cs="Times New Roman"/>
          <w:color w:val="000000" w:themeColor="text1"/>
          <w:sz w:val="24"/>
          <w:szCs w:val="24"/>
          <w14:textFill>
            <w14:solidFill>
              <w14:schemeClr w14:val="tx1"/>
            </w14:solidFill>
          </w14:textFill>
        </w:rPr>
        <w:t xml:space="preserve"> Fingerprint and control map of </w:t>
      </w:r>
      <w:r>
        <w:rPr>
          <w:rFonts w:hint="default" w:ascii="Times New Roman" w:hAnsi="Times New Roman" w:cs="Times New Roman"/>
          <w:color w:val="000000" w:themeColor="text1"/>
          <w:sz w:val="24"/>
          <w:szCs w:val="24"/>
          <w:lang w:eastAsia="zh-CN"/>
          <w14:textFill>
            <w14:solidFill>
              <w14:schemeClr w14:val="tx1"/>
            </w14:solidFill>
          </w14:textFill>
        </w:rPr>
        <w:t>FA</w:t>
      </w:r>
      <w:r>
        <w:rPr>
          <w:rFonts w:hint="default" w:ascii="Times New Roman" w:hAnsi="Times New Roman" w:cs="Times New Roman"/>
          <w:color w:val="000000" w:themeColor="text1"/>
          <w:sz w:val="24"/>
          <w:szCs w:val="24"/>
          <w14:textFill>
            <w14:solidFill>
              <w14:schemeClr w14:val="tx1"/>
            </w14:solidFill>
          </w14:textFill>
        </w:rPr>
        <w:t xml:space="preserve"> (R)</w:t>
      </w:r>
      <w:bookmarkEnd w:id="5"/>
    </w:p>
    <w:p w14:paraId="45222272">
      <w:pPr>
        <w:spacing w:line="360" w:lineRule="auto"/>
        <w:rPr>
          <w:rFonts w:hint="default" w:ascii="Times New Roman" w:hAnsi="Times New Roman" w:cs="Times New Roman"/>
          <w:b/>
          <w:bCs/>
          <w:color w:val="auto"/>
          <w:sz w:val="24"/>
          <w:szCs w:val="24"/>
          <w:lang w:val="en-US" w:eastAsia="zh-CN"/>
        </w:rPr>
      </w:pPr>
      <w:r>
        <w:rPr>
          <w:rFonts w:hint="default" w:ascii="Times New Roman" w:hAnsi="Times New Roman" w:cs="Times New Roman"/>
          <w:sz w:val="24"/>
          <w:szCs w:val="24"/>
        </w:rPr>
        <w:drawing>
          <wp:inline distT="0" distB="0" distL="114300" distR="114300">
            <wp:extent cx="5126990" cy="3923665"/>
            <wp:effectExtent l="0" t="0" r="165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26990" cy="3923665"/>
                    </a:xfrm>
                    <a:prstGeom prst="rect">
                      <a:avLst/>
                    </a:prstGeom>
                    <a:noFill/>
                    <a:ln>
                      <a:noFill/>
                    </a:ln>
                  </pic:spPr>
                </pic:pic>
              </a:graphicData>
            </a:graphic>
          </wp:inline>
        </w:drawing>
      </w:r>
    </w:p>
    <w:p w14:paraId="3B8365A9">
      <w:pPr>
        <w:spacing w:line="360" w:lineRule="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bookmarkStart w:id="6" w:name="_GoBack"/>
      <w:bookmarkEnd w:id="6"/>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 xml:space="preserve">S2. </w:t>
      </w:r>
      <w:r>
        <w:rPr>
          <w:rFonts w:hint="default" w:ascii="Times New Roman" w:hAnsi="Times New Roman" w:cs="Times New Roman"/>
          <w:b w:val="0"/>
          <w:bCs w:val="0"/>
          <w:color w:val="auto"/>
          <w:sz w:val="24"/>
          <w:szCs w:val="24"/>
          <w:lang w:val="en-US" w:eastAsia="zh-CN"/>
        </w:rPr>
        <w:t xml:space="preserve">Single-cell dataset analysis of major depressive disorder (MDD). (A). The distribution of nFeature_RNA and nCount_RNA across different samples, indicating good data quality within reasonable ranges. (B). Scatter plot showing high variable genes. The top 2,000 genes with the highest variation in gene expression were marked in red. (C). Batch effect was eliminated after standardization in the MDD and control groups. There were no significant differences between the samples. (D). Jackstraw permutation test plot. (E). Scree plot of the top 30 principal components (PCs). (F). Expression levels of marker genes in different cell clusters. (G). Violin plot showing the expression trends of ALOX5, PIK3CG, and CHUK across six cell types. </w:t>
      </w:r>
      <w:r>
        <w:rPr>
          <w:rFonts w:hint="default" w:ascii="Times New Roman" w:hAnsi="Times New Roman" w:cs="Times New Roman"/>
          <w:color w:val="auto"/>
          <w:sz w:val="24"/>
          <w:szCs w:val="24"/>
          <w:lang w:val="en-US" w:eastAsia="zh-CN"/>
        </w:rPr>
        <w:t>“ns” indicates p ≥ 0.05. *p &lt; 0.05.</w:t>
      </w:r>
    </w:p>
    <w:p w14:paraId="1F552EE2">
      <w:pPr>
        <w:spacing w:line="360" w:lineRule="auto"/>
        <w:rPr>
          <w:rFonts w:hint="default" w:ascii="Times New Roman" w:hAnsi="Times New Roman" w:cs="Times New Roman"/>
          <w:sz w:val="24"/>
          <w:szCs w:val="24"/>
        </w:rPr>
      </w:pPr>
    </w:p>
    <w:p w14:paraId="08176FCB">
      <w:pPr>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t>References</w:t>
      </w:r>
    </w:p>
    <w:p w14:paraId="4CAD454A">
      <w:pPr>
        <w:pStyle w:val="14"/>
        <w:bidi w:val="0"/>
        <w:ind w:left="0" w:firstLine="0"/>
        <w:rPr>
          <w:rFonts w:hint="default" w:ascii="Times New Roman" w:hAnsi="Times New Roman" w:eastAsia="等线" w:cs="Times New Roman"/>
          <w:kern w:val="2"/>
          <w:sz w:val="20"/>
          <w:szCs w:val="22"/>
          <w:lang w:val="en-US" w:eastAsia="zh-CN" w:bidi="ar-SA"/>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ADDIN EN.REFLIST </w:instrText>
      </w:r>
      <w:r>
        <w:rPr>
          <w:rFonts w:hint="default" w:ascii="Times New Roman" w:hAnsi="Times New Roman" w:cs="Times New Roman"/>
          <w:sz w:val="24"/>
          <w:szCs w:val="24"/>
        </w:rPr>
        <w:fldChar w:fldCharType="separate"/>
      </w:r>
      <w:r>
        <w:rPr>
          <w:rFonts w:hint="default" w:ascii="Times New Roman" w:hAnsi="Times New Roman" w:eastAsia="等线" w:cs="Times New Roman"/>
          <w:kern w:val="2"/>
          <w:sz w:val="20"/>
          <w:szCs w:val="22"/>
          <w:lang w:val="en-US" w:eastAsia="zh-CN" w:bidi="ar-SA"/>
        </w:rPr>
        <w:t>[1] H. Wang, P. Zhong, J. Liang, M. Zhou, K. Chen, Q. Xia, Correlation analysis between HPLC fingerprint and small intestinal propelling of processed Fructus aurantii, Chinese Traditional  Patent Medicine. 43(3) (2021) 5.</w:t>
      </w:r>
    </w:p>
    <w:p w14:paraId="36C7913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B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D6EDD"/>
    <w:rsid w:val="000225F1"/>
    <w:rsid w:val="00133C83"/>
    <w:rsid w:val="00180D32"/>
    <w:rsid w:val="002204FB"/>
    <w:rsid w:val="002A1993"/>
    <w:rsid w:val="002D189D"/>
    <w:rsid w:val="002E1A48"/>
    <w:rsid w:val="00305607"/>
    <w:rsid w:val="003340A2"/>
    <w:rsid w:val="003F544A"/>
    <w:rsid w:val="004E133A"/>
    <w:rsid w:val="00530AB7"/>
    <w:rsid w:val="00557867"/>
    <w:rsid w:val="00567831"/>
    <w:rsid w:val="005B0D3E"/>
    <w:rsid w:val="005D6EDD"/>
    <w:rsid w:val="006328AD"/>
    <w:rsid w:val="006501CF"/>
    <w:rsid w:val="00735A4C"/>
    <w:rsid w:val="007754DA"/>
    <w:rsid w:val="007B2C7B"/>
    <w:rsid w:val="008031FD"/>
    <w:rsid w:val="008213B8"/>
    <w:rsid w:val="008E0F00"/>
    <w:rsid w:val="00900BFB"/>
    <w:rsid w:val="00912BC5"/>
    <w:rsid w:val="00951049"/>
    <w:rsid w:val="00976FA7"/>
    <w:rsid w:val="009E0803"/>
    <w:rsid w:val="00A40353"/>
    <w:rsid w:val="00B63A1F"/>
    <w:rsid w:val="00B85CDF"/>
    <w:rsid w:val="00C272E5"/>
    <w:rsid w:val="00C458C5"/>
    <w:rsid w:val="00CB5A09"/>
    <w:rsid w:val="00CF4190"/>
    <w:rsid w:val="00D3625A"/>
    <w:rsid w:val="00D50F9E"/>
    <w:rsid w:val="00DB4F5D"/>
    <w:rsid w:val="00E159C4"/>
    <w:rsid w:val="00E615E0"/>
    <w:rsid w:val="00E85F06"/>
    <w:rsid w:val="00EB16E5"/>
    <w:rsid w:val="00F93C67"/>
    <w:rsid w:val="00FD27A3"/>
    <w:rsid w:val="07665395"/>
    <w:rsid w:val="08DF199B"/>
    <w:rsid w:val="11992D4A"/>
    <w:rsid w:val="17A8528C"/>
    <w:rsid w:val="19BC1D54"/>
    <w:rsid w:val="1EE3323C"/>
    <w:rsid w:val="1FFB5506"/>
    <w:rsid w:val="2ADF6ED0"/>
    <w:rsid w:val="53DC5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b/>
      <w:kern w:val="44"/>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qFormat/>
    <w:uiPriority w:val="99"/>
    <w:pPr>
      <w:ind w:left="720"/>
      <w:contextualSpacing/>
    </w:pPr>
  </w:style>
  <w:style w:type="paragraph" w:customStyle="1" w:styleId="11">
    <w:name w:val="正文q"/>
    <w:qFormat/>
    <w:uiPriority w:val="0"/>
    <w:pPr>
      <w:snapToGrid w:val="0"/>
      <w:spacing w:line="300" w:lineRule="auto"/>
      <w:ind w:firstLine="200" w:firstLineChars="200"/>
      <w:jc w:val="both"/>
    </w:pPr>
    <w:rPr>
      <w:rFonts w:ascii="Times New Roman" w:hAnsi="Times New Roman" w:eastAsia="宋体" w:cs="Times New Roman"/>
      <w:kern w:val="0"/>
      <w:sz w:val="24"/>
      <w:szCs w:val="24"/>
      <w:lang w:val="en-US" w:eastAsia="zh-CN" w:bidi="ar-SA"/>
    </w:rPr>
  </w:style>
  <w:style w:type="paragraph" w:customStyle="1" w:styleId="12">
    <w:name w:val="EndNote Bibliography Title"/>
    <w:basedOn w:val="1"/>
    <w:link w:val="13"/>
    <w:qFormat/>
    <w:uiPriority w:val="0"/>
    <w:pPr>
      <w:jc w:val="center"/>
    </w:pPr>
    <w:rPr>
      <w:rFonts w:hint="eastAsia" w:ascii="等线" w:hAnsi="等线" w:eastAsia="等线" w:cs="等线"/>
      <w:sz w:val="20"/>
    </w:rPr>
  </w:style>
  <w:style w:type="character" w:customStyle="1" w:styleId="13">
    <w:name w:val="EndNote Bibliography Title 字符"/>
    <w:basedOn w:val="6"/>
    <w:link w:val="12"/>
    <w:qFormat/>
    <w:uiPriority w:val="0"/>
    <w:rPr>
      <w:rFonts w:hint="eastAsia" w:ascii="等线" w:hAnsi="等线" w:eastAsia="等线" w:cs="等线"/>
      <w:sz w:val="20"/>
    </w:rPr>
  </w:style>
  <w:style w:type="paragraph" w:customStyle="1" w:styleId="14">
    <w:name w:val="EndNote Bibliography"/>
    <w:basedOn w:val="1"/>
    <w:link w:val="15"/>
    <w:qFormat/>
    <w:uiPriority w:val="0"/>
    <w:rPr>
      <w:rFonts w:hint="eastAsia" w:ascii="等线" w:hAnsi="等线" w:eastAsia="等线" w:cs="等线"/>
      <w:sz w:val="20"/>
    </w:rPr>
  </w:style>
  <w:style w:type="character" w:customStyle="1" w:styleId="15">
    <w:name w:val="EndNote Bibliography 字符"/>
    <w:basedOn w:val="6"/>
    <w:link w:val="14"/>
    <w:qFormat/>
    <w:uiPriority w:val="0"/>
    <w:rPr>
      <w:rFonts w:hint="eastAsia" w:ascii="等线" w:hAnsi="等线" w:eastAsia="等线" w:cs="等线"/>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688</Words>
  <Characters>3597</Characters>
  <Lines>59</Lines>
  <Paragraphs>16</Paragraphs>
  <TotalTime>6</TotalTime>
  <ScaleCrop>false</ScaleCrop>
  <LinksUpToDate>false</LinksUpToDate>
  <CharactersWithSpaces>4472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2022-05-23T07:23:00Z</dcterms:created>
  <dc:creator>heng</dc:creator>
  <cp:lastModifiedBy>Author2</cp:lastModifiedBy>
  <dcterms:modified xsi:type="dcterms:W3CDTF">2026-02-12T11:32:29Z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eyJoZGlkIjoiNzI5OThjNzU0MGZmYzBhZTQxMTY0YjY1YjkzZDdmMTQiLCJ1c2VySWQiOiIxNzgwNDA1ODU2In0=</vt:lpwstr>
  </property>
  <property fmtid="{D5CDD505-2E9C-101B-9397-08002B2CF9AE}" pid="3" name="KSOProductBuildVer">
    <vt:lpwstr>2052-12.1.0.25225</vt:lpwstr>
  </property>
  <property fmtid="{D5CDD505-2E9C-101B-9397-08002B2CF9AE}" pid="4" name="ICV">
    <vt:lpwstr>483F3C34BC2940B6B51AEB134FC43E22_13</vt:lpwstr>
  </property>
</Properties>
</file>