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AE69A9" w14:textId="77777777" w:rsidR="00DB3B9F" w:rsidRPr="00177203" w:rsidRDefault="00DB3B9F" w:rsidP="005438CC">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Table of Contents</w:t>
      </w:r>
    </w:p>
    <w:p w14:paraId="38184592" w14:textId="77777777" w:rsidR="00DB3B9F" w:rsidRPr="00177203" w:rsidRDefault="00DB3B9F" w:rsidP="005438CC">
      <w:pPr>
        <w:spacing w:afterLines="50" w:after="156"/>
        <w:ind w:firstLine="420"/>
        <w:rPr>
          <w:rFonts w:eastAsia="宋体" w:cs="Times New Roman"/>
          <w:b/>
          <w:bCs/>
          <w:color w:val="000000" w:themeColor="text1"/>
          <w:sz w:val="24"/>
          <w:szCs w:val="24"/>
        </w:rPr>
      </w:pPr>
      <w:r w:rsidRPr="00177203">
        <w:rPr>
          <w:rFonts w:eastAsia="宋体" w:cs="Times New Roman"/>
          <w:b/>
          <w:bCs/>
          <w:color w:val="000000" w:themeColor="text1"/>
          <w:sz w:val="24"/>
          <w:szCs w:val="24"/>
        </w:rPr>
        <w:t>Section 1. Reagents and instruments</w:t>
      </w:r>
    </w:p>
    <w:p w14:paraId="4A2484B8" w14:textId="485D93FB" w:rsidR="00357EB4" w:rsidRPr="00177203" w:rsidRDefault="00357EB4" w:rsidP="00357EB4">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1.1. Reagents</w:t>
      </w:r>
    </w:p>
    <w:p w14:paraId="76045AFC" w14:textId="30F9EB72" w:rsidR="00357EB4" w:rsidRPr="00177203" w:rsidRDefault="00357EB4" w:rsidP="00357EB4">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1.2. Instruments</w:t>
      </w:r>
    </w:p>
    <w:p w14:paraId="1631CF54" w14:textId="77777777" w:rsidR="00DB3B9F" w:rsidRPr="00177203" w:rsidRDefault="00DB3B9F" w:rsidP="005438CC">
      <w:pPr>
        <w:spacing w:afterLines="50" w:after="156"/>
        <w:ind w:firstLine="420"/>
        <w:rPr>
          <w:rFonts w:eastAsia="宋体" w:cs="Times New Roman"/>
          <w:b/>
          <w:bCs/>
          <w:color w:val="000000" w:themeColor="text1"/>
          <w:sz w:val="24"/>
          <w:szCs w:val="24"/>
        </w:rPr>
      </w:pPr>
      <w:r w:rsidRPr="00177203">
        <w:rPr>
          <w:rFonts w:eastAsia="宋体" w:cs="Times New Roman"/>
          <w:b/>
          <w:bCs/>
          <w:color w:val="000000" w:themeColor="text1"/>
          <w:sz w:val="24"/>
          <w:szCs w:val="24"/>
        </w:rPr>
        <w:t>Section 2. Synthesis and characterization</w:t>
      </w:r>
    </w:p>
    <w:p w14:paraId="07BDD9A5" w14:textId="3239EF73" w:rsidR="008E04C2"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Section 2.1. Synthesis </w:t>
      </w:r>
      <w:r w:rsidR="00357EB4" w:rsidRPr="00177203">
        <w:rPr>
          <w:rFonts w:eastAsia="宋体" w:cs="Times New Roman"/>
          <w:color w:val="000000" w:themeColor="text1"/>
          <w:sz w:val="24"/>
          <w:szCs w:val="24"/>
        </w:rPr>
        <w:t xml:space="preserve">and characterization </w:t>
      </w:r>
      <w:r w:rsidRPr="00177203">
        <w:rPr>
          <w:rFonts w:eastAsia="宋体" w:cs="Times New Roman"/>
          <w:color w:val="000000" w:themeColor="text1"/>
          <w:sz w:val="24"/>
          <w:szCs w:val="24"/>
        </w:rPr>
        <w:t>of ZIF-Cu</w:t>
      </w:r>
    </w:p>
    <w:p w14:paraId="58F8C481" w14:textId="0EEA9C6F" w:rsidR="00DB3B9F"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Section 2.2. Synthesis and characterization of </w:t>
      </w:r>
      <w:r w:rsidR="00261DAE" w:rsidRPr="00177203">
        <w:rPr>
          <w:rFonts w:eastAsia="宋体" w:cs="Times New Roman"/>
          <w:color w:val="000000" w:themeColor="text1"/>
          <w:sz w:val="24"/>
          <w:szCs w:val="24"/>
        </w:rPr>
        <w:t>tZIF-Cu</w:t>
      </w:r>
      <w:r w:rsidR="00D100BB" w:rsidRPr="00177203">
        <w:rPr>
          <w:rFonts w:eastAsia="宋体" w:cs="Times New Roman"/>
          <w:color w:val="000000" w:themeColor="text1"/>
          <w:sz w:val="24"/>
          <w:szCs w:val="24"/>
        </w:rPr>
        <w:t>s</w:t>
      </w:r>
    </w:p>
    <w:p w14:paraId="317CF601" w14:textId="77777777" w:rsidR="00DB3B9F" w:rsidRPr="00177203" w:rsidRDefault="00DB3B9F" w:rsidP="005438CC">
      <w:pPr>
        <w:spacing w:afterLines="50" w:after="156"/>
        <w:ind w:firstLine="420"/>
        <w:rPr>
          <w:rFonts w:eastAsia="宋体" w:cs="Times New Roman"/>
          <w:b/>
          <w:bCs/>
          <w:color w:val="000000" w:themeColor="text1"/>
          <w:sz w:val="24"/>
          <w:szCs w:val="24"/>
        </w:rPr>
      </w:pPr>
      <w:r w:rsidRPr="00177203">
        <w:rPr>
          <w:rFonts w:eastAsia="宋体" w:cs="Times New Roman"/>
          <w:b/>
          <w:bCs/>
          <w:color w:val="000000" w:themeColor="text1"/>
          <w:sz w:val="24"/>
          <w:szCs w:val="24"/>
        </w:rPr>
        <w:t>Section 3. Electrocatalytic performance and characterization</w:t>
      </w:r>
    </w:p>
    <w:p w14:paraId="00416854" w14:textId="47A79D2A" w:rsidR="00DB3B9F"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3.</w:t>
      </w:r>
      <w:r w:rsidR="00357EB4" w:rsidRPr="00177203">
        <w:rPr>
          <w:rFonts w:eastAsia="宋体" w:cs="Times New Roman"/>
          <w:color w:val="000000" w:themeColor="text1"/>
          <w:sz w:val="24"/>
          <w:szCs w:val="24"/>
        </w:rPr>
        <w:t>1</w:t>
      </w:r>
      <w:r w:rsidRPr="00177203">
        <w:rPr>
          <w:rFonts w:eastAsia="宋体" w:cs="Times New Roman"/>
          <w:color w:val="000000" w:themeColor="text1"/>
          <w:sz w:val="24"/>
          <w:szCs w:val="24"/>
        </w:rPr>
        <w:t>. Electro</w:t>
      </w:r>
      <w:r w:rsidR="00533BD9" w:rsidRPr="00177203">
        <w:rPr>
          <w:rFonts w:eastAsia="宋体" w:cs="Times New Roman"/>
          <w:color w:val="000000" w:themeColor="text1"/>
          <w:sz w:val="24"/>
          <w:szCs w:val="24"/>
        </w:rPr>
        <w:t>chemical test</w:t>
      </w:r>
    </w:p>
    <w:p w14:paraId="26732D97" w14:textId="66F51447" w:rsidR="00357EB4" w:rsidRPr="00177203" w:rsidRDefault="00357EB4"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3.2. Reactors and electrosynthesis methods</w:t>
      </w:r>
    </w:p>
    <w:p w14:paraId="684C1FA0" w14:textId="67B7B0D1" w:rsidR="00DB3B9F"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Section 3.3. </w:t>
      </w:r>
      <w:r w:rsidR="00533BD9" w:rsidRPr="00177203">
        <w:rPr>
          <w:rFonts w:eastAsia="宋体" w:cs="Times New Roman"/>
          <w:color w:val="000000" w:themeColor="text1"/>
          <w:sz w:val="24"/>
          <w:szCs w:val="24"/>
        </w:rPr>
        <w:t>Quantitative methods</w:t>
      </w:r>
    </w:p>
    <w:p w14:paraId="0BBA1484" w14:textId="79EFD212" w:rsidR="00533BD9"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Section 3.4. </w:t>
      </w:r>
      <w:r w:rsidR="00533BD9" w:rsidRPr="00177203">
        <w:rPr>
          <w:rFonts w:eastAsia="宋体" w:cs="Times New Roman"/>
          <w:color w:val="000000" w:themeColor="text1"/>
          <w:sz w:val="24"/>
          <w:szCs w:val="24"/>
        </w:rPr>
        <w:t>Electrocatalytic performance</w:t>
      </w:r>
    </w:p>
    <w:p w14:paraId="2B6889CB" w14:textId="77777777" w:rsidR="00DB3B9F" w:rsidRPr="00177203" w:rsidRDefault="00DB3B9F" w:rsidP="005438CC">
      <w:pPr>
        <w:spacing w:afterLines="50" w:after="156"/>
        <w:ind w:firstLine="420"/>
        <w:rPr>
          <w:rFonts w:eastAsia="宋体" w:cs="Times New Roman"/>
          <w:b/>
          <w:bCs/>
          <w:color w:val="000000" w:themeColor="text1"/>
          <w:sz w:val="24"/>
          <w:szCs w:val="24"/>
        </w:rPr>
      </w:pPr>
      <w:r w:rsidRPr="00177203">
        <w:rPr>
          <w:rFonts w:eastAsia="宋体" w:cs="Times New Roman"/>
          <w:b/>
          <w:bCs/>
          <w:color w:val="000000" w:themeColor="text1"/>
          <w:sz w:val="24"/>
          <w:szCs w:val="24"/>
        </w:rPr>
        <w:t>Section 4. Uncovering catalytic mechanisms</w:t>
      </w:r>
    </w:p>
    <w:p w14:paraId="5126A3C5" w14:textId="7376CD2F" w:rsidR="00357EB4"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Section 4.1. </w:t>
      </w:r>
      <w:r w:rsidR="00357EB4" w:rsidRPr="00177203">
        <w:rPr>
          <w:rFonts w:eastAsia="宋体" w:cs="Times New Roman"/>
          <w:color w:val="000000" w:themeColor="text1"/>
          <w:sz w:val="24"/>
          <w:szCs w:val="24"/>
        </w:rPr>
        <w:t>Geometrical confined effect calculation</w:t>
      </w:r>
    </w:p>
    <w:p w14:paraId="52758211" w14:textId="66B54F25" w:rsidR="00357EB4" w:rsidRPr="00177203" w:rsidRDefault="00357EB4"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4.2. Electronic confined effect calculation</w:t>
      </w:r>
    </w:p>
    <w:p w14:paraId="647AF1A2" w14:textId="3A3F9473" w:rsidR="00DB3B9F" w:rsidRPr="00177203" w:rsidRDefault="00357EB4"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4.3. Temperature programmed desorption and i</w:t>
      </w:r>
      <w:r w:rsidR="00DB3B9F" w:rsidRPr="00177203">
        <w:rPr>
          <w:rFonts w:eastAsia="宋体" w:cs="Times New Roman"/>
          <w:color w:val="000000" w:themeColor="text1"/>
          <w:sz w:val="24"/>
          <w:szCs w:val="24"/>
        </w:rPr>
        <w:t>n</w:t>
      </w:r>
      <w:r w:rsidRPr="00177203">
        <w:rPr>
          <w:rFonts w:eastAsia="宋体" w:cs="Times New Roman"/>
          <w:color w:val="000000" w:themeColor="text1"/>
          <w:sz w:val="24"/>
          <w:szCs w:val="24"/>
        </w:rPr>
        <w:t>-</w:t>
      </w:r>
      <w:r w:rsidR="00DB3B9F" w:rsidRPr="00177203">
        <w:rPr>
          <w:rFonts w:eastAsia="宋体" w:cs="Times New Roman"/>
          <w:color w:val="000000" w:themeColor="text1"/>
          <w:sz w:val="24"/>
          <w:szCs w:val="24"/>
        </w:rPr>
        <w:t>situ spectroscopy</w:t>
      </w:r>
    </w:p>
    <w:p w14:paraId="5B94B93A" w14:textId="3D2236C3" w:rsidR="00DB3B9F" w:rsidRPr="00177203" w:rsidRDefault="00DB3B9F" w:rsidP="005438CC">
      <w:pPr>
        <w:spacing w:afterLines="50" w:after="156"/>
        <w:ind w:left="420" w:firstLine="420"/>
        <w:rPr>
          <w:rFonts w:eastAsia="宋体" w:cs="Times New Roman"/>
          <w:color w:val="000000" w:themeColor="text1"/>
          <w:sz w:val="24"/>
          <w:szCs w:val="24"/>
        </w:rPr>
      </w:pPr>
      <w:r w:rsidRPr="00177203">
        <w:rPr>
          <w:rFonts w:eastAsia="宋体" w:cs="Times New Roman"/>
          <w:color w:val="000000" w:themeColor="text1"/>
          <w:sz w:val="24"/>
          <w:szCs w:val="24"/>
        </w:rPr>
        <w:t>Section 4.</w:t>
      </w:r>
      <w:r w:rsidR="00357EB4" w:rsidRPr="00177203">
        <w:rPr>
          <w:rFonts w:eastAsia="宋体" w:cs="Times New Roman"/>
          <w:color w:val="000000" w:themeColor="text1"/>
          <w:sz w:val="24"/>
          <w:szCs w:val="24"/>
        </w:rPr>
        <w:t>4</w:t>
      </w:r>
      <w:r w:rsidRPr="00177203">
        <w:rPr>
          <w:rFonts w:eastAsia="宋体" w:cs="Times New Roman"/>
          <w:color w:val="000000" w:themeColor="text1"/>
          <w:sz w:val="24"/>
          <w:szCs w:val="24"/>
        </w:rPr>
        <w:t xml:space="preserve">. </w:t>
      </w:r>
      <w:r w:rsidR="00DD1DDF" w:rsidRPr="00177203">
        <w:rPr>
          <w:rFonts w:eastAsia="宋体" w:cs="Times New Roman"/>
          <w:color w:val="000000" w:themeColor="text1"/>
          <w:sz w:val="24"/>
          <w:szCs w:val="24"/>
        </w:rPr>
        <w:t>Calculation of reaction energy barriers</w:t>
      </w:r>
    </w:p>
    <w:p w14:paraId="7392DD0E" w14:textId="0299616C" w:rsidR="00DB3B9F" w:rsidRPr="00177203" w:rsidRDefault="00DB3B9F" w:rsidP="005438CC">
      <w:pPr>
        <w:spacing w:afterLines="50" w:after="156"/>
        <w:ind w:firstLine="420"/>
        <w:rPr>
          <w:rFonts w:eastAsia="宋体" w:cs="Times New Roman"/>
          <w:b/>
          <w:bCs/>
          <w:color w:val="000000" w:themeColor="text1"/>
          <w:sz w:val="24"/>
          <w:szCs w:val="24"/>
        </w:rPr>
      </w:pPr>
      <w:r w:rsidRPr="00177203">
        <w:rPr>
          <w:rFonts w:eastAsia="宋体" w:cs="Times New Roman"/>
          <w:b/>
          <w:bCs/>
          <w:color w:val="000000" w:themeColor="text1"/>
          <w:sz w:val="24"/>
          <w:szCs w:val="24"/>
        </w:rPr>
        <w:t>Section 5. Pilot test setup</w:t>
      </w:r>
    </w:p>
    <w:p w14:paraId="49EF57E6" w14:textId="3BF389DF" w:rsidR="00DB3B9F" w:rsidRPr="00177203" w:rsidRDefault="00DB3B9F" w:rsidP="005438CC">
      <w:pPr>
        <w:spacing w:afterLines="50" w:after="156"/>
        <w:ind w:firstLine="420"/>
        <w:rPr>
          <w:rFonts w:eastAsia="宋体" w:cs="Times New Roman"/>
          <w:color w:val="000000" w:themeColor="text1"/>
          <w:sz w:val="24"/>
          <w:szCs w:val="24"/>
        </w:rPr>
      </w:pPr>
      <w:r w:rsidRPr="00177203">
        <w:rPr>
          <w:rFonts w:eastAsia="宋体" w:cs="Times New Roman"/>
          <w:b/>
          <w:bCs/>
          <w:color w:val="000000" w:themeColor="text1"/>
          <w:sz w:val="24"/>
          <w:szCs w:val="24"/>
        </w:rPr>
        <w:t>References</w:t>
      </w:r>
      <w:r w:rsidRPr="00177203">
        <w:rPr>
          <w:rFonts w:eastAsia="宋体" w:cs="Times New Roman"/>
          <w:color w:val="000000" w:themeColor="text1"/>
          <w:sz w:val="24"/>
          <w:szCs w:val="24"/>
        </w:rPr>
        <w:br w:type="page"/>
      </w:r>
    </w:p>
    <w:p w14:paraId="605107BF" w14:textId="77777777" w:rsidR="004D2F2F" w:rsidRPr="00177203" w:rsidRDefault="004D2F2F" w:rsidP="005438CC">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lastRenderedPageBreak/>
        <w:t>Section 1. Reagents and instruments</w:t>
      </w:r>
    </w:p>
    <w:p w14:paraId="55B7CEE8" w14:textId="77777777" w:rsidR="004D2F2F" w:rsidRPr="00177203" w:rsidRDefault="004D2F2F"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1.1. Reagents</w:t>
      </w:r>
    </w:p>
    <w:p w14:paraId="36F9D003" w14:textId="3D330EBF" w:rsidR="006025E2" w:rsidRPr="00177203" w:rsidRDefault="006025E2" w:rsidP="00003A97">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All reagents were of analytical grade and used as received without further purification. 2-Methylimidazole (</w:t>
      </w:r>
      <w:proofErr w:type="spellStart"/>
      <w:r w:rsidRPr="00177203">
        <w:rPr>
          <w:rFonts w:eastAsia="宋体" w:cs="Times New Roman"/>
          <w:color w:val="000000" w:themeColor="text1"/>
          <w:sz w:val="24"/>
          <w:szCs w:val="24"/>
        </w:rPr>
        <w:t>MeIM</w:t>
      </w:r>
      <w:proofErr w:type="spellEnd"/>
      <w:r w:rsidRPr="00177203">
        <w:rPr>
          <w:rFonts w:eastAsia="宋体" w:cs="Times New Roman"/>
          <w:color w:val="000000" w:themeColor="text1"/>
          <w:sz w:val="24"/>
          <w:szCs w:val="24"/>
        </w:rPr>
        <w:t>), methanol, ethanol, metal nitrates (Cu/Zn/Fe/Co), potassium salts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K</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KOH), and other inorganic reagents were purchased from Thermo Fisher (Shanghai, China). Nafion solution (5 wt.%), deuterated reagents, radical trapping agent (5,5-dimethyl-1-pyrroline N-oxide, DMPO), and colorimetric reagents were purchased from Sinopharm (Shanghai, China). All aqueous solutions were prepared with deionized water (18.25 MΩ</w:t>
      </w:r>
      <w:r w:rsidR="00E63B12"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cm at 25 °C).</w:t>
      </w:r>
    </w:p>
    <w:p w14:paraId="3CD51D2B" w14:textId="44A53EDD" w:rsidR="008E04C2" w:rsidRPr="00177203" w:rsidRDefault="008E04C2" w:rsidP="00003A97">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1.2. Instruments</w:t>
      </w:r>
    </w:p>
    <w:p w14:paraId="50F08DC0" w14:textId="1302D921" w:rsidR="00F037D2" w:rsidRPr="00177203" w:rsidRDefault="00F037D2" w:rsidP="00F037D2">
      <w:pPr>
        <w:widowControl/>
        <w:spacing w:afterLines="50" w:after="156"/>
        <w:outlineLvl w:val="2"/>
        <w:rPr>
          <w:rFonts w:eastAsia="宋体" w:cs="Times New Roman"/>
          <w:b/>
          <w:bCs/>
          <w:sz w:val="24"/>
          <w:szCs w:val="24"/>
        </w:rPr>
      </w:pPr>
      <w:r w:rsidRPr="00177203">
        <w:rPr>
          <w:rFonts w:eastAsia="宋体" w:cs="Times New Roman"/>
          <w:b/>
          <w:bCs/>
          <w:sz w:val="24"/>
          <w:szCs w:val="24"/>
        </w:rPr>
        <w:t xml:space="preserve">Fourier transform infrared (FT-IR) spectroscopy: </w:t>
      </w:r>
      <w:r w:rsidRPr="00177203">
        <w:rPr>
          <w:rFonts w:eastAsia="宋体" w:cs="Times New Roman"/>
          <w:sz w:val="24"/>
          <w:szCs w:val="24"/>
        </w:rPr>
        <w:t>FT-IR spectra were recorded on a Bruker Tensor II spectrometer</w:t>
      </w:r>
      <w:r w:rsidR="00523DF0" w:rsidRPr="00177203">
        <w:rPr>
          <w:rFonts w:eastAsia="宋体" w:cs="Times New Roman"/>
          <w:sz w:val="24"/>
          <w:szCs w:val="24"/>
        </w:rPr>
        <w:t xml:space="preserve"> (Germany)</w:t>
      </w:r>
      <w:r w:rsidRPr="00177203">
        <w:rPr>
          <w:rFonts w:eastAsia="宋体" w:cs="Times New Roman"/>
          <w:sz w:val="24"/>
          <w:szCs w:val="24"/>
        </w:rPr>
        <w:t xml:space="preserve"> in the range of 400–4000 cm</w:t>
      </w:r>
      <w:r w:rsidR="00E63B12" w:rsidRPr="00177203">
        <w:rPr>
          <w:rFonts w:eastAsia="宋体" w:cs="Times New Roman"/>
          <w:sz w:val="24"/>
          <w:szCs w:val="24"/>
          <w:vertAlign w:val="superscript"/>
        </w:rPr>
        <w:t>–1</w:t>
      </w:r>
      <w:r w:rsidRPr="00177203">
        <w:rPr>
          <w:rFonts w:eastAsia="宋体" w:cs="Times New Roman"/>
          <w:sz w:val="24"/>
          <w:szCs w:val="24"/>
        </w:rPr>
        <w:t xml:space="preserve"> using the KBr pellet method, with 32 scans accumulated at a resolution of 4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sz w:val="24"/>
          <w:szCs w:val="24"/>
        </w:rPr>
        <w:t>.</w:t>
      </w:r>
    </w:p>
    <w:p w14:paraId="3E4D7618" w14:textId="7DFF71B9"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 xml:space="preserve">X-ray diffraction (XRD): </w:t>
      </w:r>
      <w:r w:rsidRPr="00177203">
        <w:rPr>
          <w:rFonts w:eastAsia="宋体" w:cs="Times New Roman"/>
          <w:sz w:val="24"/>
          <w:szCs w:val="24"/>
        </w:rPr>
        <w:t xml:space="preserve">Phase structure and crystal phase analysis of the catalysts were performed on an X-ray diffractometer (D8 Advance, Bruker, Germany) with Cu Kα radiation source (λ=0.15406 nm). The test was conducted at a tube voltage of 40 kV and a tube current of 40 mA, with a 2θ scanning range of 10°–80°, a scanning rate of 2°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xml:space="preserve"> and a step size of 0.02°.</w:t>
      </w:r>
    </w:p>
    <w:p w14:paraId="49622250" w14:textId="65A4FA17"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N</w:t>
      </w:r>
      <w:r w:rsidRPr="00177203">
        <w:rPr>
          <w:rFonts w:eastAsia="宋体" w:cs="Times New Roman"/>
          <w:b/>
          <w:bCs/>
          <w:sz w:val="24"/>
          <w:szCs w:val="24"/>
          <w:vertAlign w:val="subscript"/>
        </w:rPr>
        <w:t>2</w:t>
      </w:r>
      <w:r w:rsidRPr="00177203">
        <w:rPr>
          <w:rFonts w:eastAsia="宋体" w:cs="Times New Roman"/>
          <w:b/>
          <w:bCs/>
          <w:sz w:val="24"/>
          <w:szCs w:val="24"/>
        </w:rPr>
        <w:t xml:space="preserve"> adsorption-desorption isotherm test:</w:t>
      </w:r>
      <w:r w:rsidRPr="00177203">
        <w:rPr>
          <w:rFonts w:eastAsia="宋体" w:cs="Times New Roman"/>
          <w:sz w:val="24"/>
          <w:szCs w:val="24"/>
        </w:rPr>
        <w:t xml:space="preserve"> Specific surface area and pore structure of the catalysts were characterized on an automatic specific surface and porosity analyzer (ASAP 2020, Micromeritics, USA). Before the test, the samples were degassed under vacuum at 200 °C for 12 h, and the N</w:t>
      </w:r>
      <w:r w:rsidR="00523DF0" w:rsidRPr="00177203">
        <w:rPr>
          <w:rFonts w:eastAsia="宋体" w:cs="Times New Roman"/>
          <w:sz w:val="24"/>
          <w:szCs w:val="24"/>
          <w:vertAlign w:val="subscript"/>
        </w:rPr>
        <w:t>2</w:t>
      </w:r>
      <w:r w:rsidRPr="00177203">
        <w:rPr>
          <w:rFonts w:eastAsia="宋体" w:cs="Times New Roman"/>
          <w:sz w:val="24"/>
          <w:szCs w:val="24"/>
        </w:rPr>
        <w:t xml:space="preserve"> adsorption-desorption isotherms were collected at 77 K liquid nitrogen temperature. The specific surface area was calculated by the Brunauer-Emmett-Teller (BET) model, and the pore size distribution was obtained from the desorption branch using </w:t>
      </w:r>
      <w:r w:rsidR="00BF2C24" w:rsidRPr="00177203">
        <w:rPr>
          <w:rFonts w:eastAsia="宋体" w:cs="Times New Roman"/>
          <w:sz w:val="24"/>
          <w:szCs w:val="24"/>
        </w:rPr>
        <w:t>non-local density functional theory (NLDFT) model</w:t>
      </w:r>
      <w:r w:rsidR="00081081" w:rsidRPr="00177203">
        <w:rPr>
          <w:rFonts w:eastAsia="宋体" w:cs="Times New Roman"/>
          <w:sz w:val="24"/>
          <w:szCs w:val="24"/>
        </w:rPr>
        <w:t xml:space="preserve"> based on spherical cavity model</w:t>
      </w:r>
      <w:r w:rsidR="00050AB7" w:rsidRPr="00177203">
        <w:rPr>
          <w:rFonts w:eastAsia="宋体" w:cs="Times New Roman"/>
          <w:noProof/>
          <w:color w:val="0070C0"/>
          <w:sz w:val="24"/>
          <w:szCs w:val="24"/>
          <w:vertAlign w:val="superscript"/>
        </w:rPr>
        <w:t>1</w:t>
      </w:r>
      <w:r w:rsidRPr="00177203">
        <w:rPr>
          <w:rFonts w:eastAsia="宋体" w:cs="Times New Roman"/>
          <w:sz w:val="24"/>
          <w:szCs w:val="24"/>
        </w:rPr>
        <w:t>.</w:t>
      </w:r>
    </w:p>
    <w:p w14:paraId="7948D41E" w14:textId="77777777"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Scanning electron microscopy (SEM)</w:t>
      </w:r>
      <w:r w:rsidRPr="00177203">
        <w:rPr>
          <w:rFonts w:eastAsia="宋体" w:cs="Times New Roman"/>
          <w:sz w:val="24"/>
          <w:szCs w:val="24"/>
        </w:rPr>
        <w:t>: Surface morphology and elemental semi-quantitative analysis of the as-prepared catalysts were performed on a field emission scanning electron microscope (Hitachi SU8010, Hitachi, Japan). The test was carried out at an accelerating voltage of 5.0 kV with a working distance of 8–10 mm.</w:t>
      </w:r>
    </w:p>
    <w:p w14:paraId="395CB58B" w14:textId="77777777"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Transmission Electron Microscopy (TEM)</w:t>
      </w:r>
      <w:r w:rsidRPr="00177203">
        <w:rPr>
          <w:rFonts w:eastAsia="宋体" w:cs="Times New Roman"/>
          <w:sz w:val="24"/>
          <w:szCs w:val="24"/>
        </w:rPr>
        <w:t>: Microstructure, crystal phase and elemental distribution of the catalysts were characterized on a field emission transmission electron microscope (JEOL JEM-F200, JEOL, Japan) at an accelerating voltage of 200 kV. Elemental mapping was collected with an equipped energy dispersive X-ray spectrometer (EDS).</w:t>
      </w:r>
    </w:p>
    <w:p w14:paraId="678892A5" w14:textId="4E3E98DC"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Thermogravimetric analysis-differential scanning calorimetry (TGA-DSC)</w:t>
      </w:r>
      <w:r w:rsidRPr="00177203">
        <w:rPr>
          <w:rFonts w:eastAsia="宋体" w:cs="Times New Roman"/>
          <w:sz w:val="24"/>
          <w:szCs w:val="24"/>
        </w:rPr>
        <w:t xml:space="preserve">: Thermal stability and phase transition behavior of the catalysts were tested on a simultaneous thermal analyzer (Mettler Toledo, Switzerland). The test was performed under </w:t>
      </w:r>
      <w:proofErr w:type="spellStart"/>
      <w:r w:rsidR="007C3F98" w:rsidRPr="00177203">
        <w:rPr>
          <w:rFonts w:eastAsia="宋体" w:cs="Times New Roman"/>
          <w:sz w:val="24"/>
          <w:szCs w:val="24"/>
        </w:rPr>
        <w:t>Ar</w:t>
      </w:r>
      <w:proofErr w:type="spellEnd"/>
      <w:r w:rsidRPr="00177203">
        <w:rPr>
          <w:rFonts w:eastAsia="宋体" w:cs="Times New Roman"/>
          <w:sz w:val="24"/>
          <w:szCs w:val="24"/>
        </w:rPr>
        <w:t xml:space="preserve"> atmosphere with a gas flow rate of 50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xml:space="preserve">, the heating rate was 10 °C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and the test temperature range was from room temperature to 1000 °C.</w:t>
      </w:r>
    </w:p>
    <w:p w14:paraId="2F9551E3" w14:textId="38914ED2"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Raman spectroscopy</w:t>
      </w:r>
      <w:r w:rsidRPr="00177203">
        <w:rPr>
          <w:rFonts w:eastAsia="宋体" w:cs="Times New Roman"/>
          <w:sz w:val="24"/>
          <w:szCs w:val="24"/>
        </w:rPr>
        <w:t>: Raman spectra of the electrocatalysts were recorded on a laser confocal Raman spectrometer (</w:t>
      </w:r>
      <w:proofErr w:type="spellStart"/>
      <w:r w:rsidRPr="00177203">
        <w:rPr>
          <w:rFonts w:eastAsia="宋体" w:cs="Times New Roman"/>
          <w:sz w:val="24"/>
          <w:szCs w:val="24"/>
        </w:rPr>
        <w:t>LabRAM</w:t>
      </w:r>
      <w:proofErr w:type="spellEnd"/>
      <w:r w:rsidRPr="00177203">
        <w:rPr>
          <w:rFonts w:eastAsia="宋体" w:cs="Times New Roman"/>
          <w:sz w:val="24"/>
          <w:szCs w:val="24"/>
        </w:rPr>
        <w:t xml:space="preserve"> HR Evolution, Horiba, Japan) with a 532 nm excitation laser. The laser power was controlled below 5 </w:t>
      </w:r>
      <w:proofErr w:type="spellStart"/>
      <w:r w:rsidRPr="00177203">
        <w:rPr>
          <w:rFonts w:eastAsia="宋体" w:cs="Times New Roman"/>
          <w:sz w:val="24"/>
          <w:szCs w:val="24"/>
        </w:rPr>
        <w:t>mW</w:t>
      </w:r>
      <w:proofErr w:type="spellEnd"/>
      <w:r w:rsidRPr="00177203">
        <w:rPr>
          <w:rFonts w:eastAsia="宋体" w:cs="Times New Roman"/>
          <w:sz w:val="24"/>
          <w:szCs w:val="24"/>
        </w:rPr>
        <w:t xml:space="preserve"> to avoid sample damage, the spectral collection range was 100–3000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sz w:val="24"/>
          <w:szCs w:val="24"/>
        </w:rPr>
        <w:t>, the integration time was 10 s, and 3 scans were accumulated for each spectrum.</w:t>
      </w:r>
    </w:p>
    <w:p w14:paraId="21626557" w14:textId="7F1B789E"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Inductively coupled plasma optical emission spectrometry (ICP-OES)</w:t>
      </w:r>
      <w:r w:rsidRPr="00177203">
        <w:rPr>
          <w:rFonts w:eastAsia="宋体" w:cs="Times New Roman"/>
          <w:sz w:val="24"/>
          <w:szCs w:val="24"/>
        </w:rPr>
        <w:t xml:space="preserve">: </w:t>
      </w:r>
      <w:r w:rsidR="009B7EEF" w:rsidRPr="00177203">
        <w:rPr>
          <w:rFonts w:eastAsia="宋体" w:cs="Times New Roman"/>
          <w:sz w:val="24"/>
          <w:szCs w:val="24"/>
        </w:rPr>
        <w:t xml:space="preserve">The </w:t>
      </w:r>
      <w:r w:rsidRPr="00177203">
        <w:rPr>
          <w:rFonts w:eastAsia="宋体" w:cs="Times New Roman"/>
          <w:sz w:val="24"/>
          <w:szCs w:val="24"/>
        </w:rPr>
        <w:t>elemental composition and content of the catalysts were quantitatively analyzed on an inductively coupled plasma optical emission spectrometer (Agilent 720ES, Agilent, USA). Before the test, the samples were completely digested by aqua regia via microwave digestion, diluted to the linear range, and tested on the machine. The element quantification was completed by the external standard method.</w:t>
      </w:r>
    </w:p>
    <w:p w14:paraId="364D80ED" w14:textId="7EA76322" w:rsidR="00F632E7" w:rsidRPr="00177203" w:rsidRDefault="00F632E7" w:rsidP="00384737">
      <w:pPr>
        <w:widowControl/>
        <w:spacing w:afterLines="50" w:after="156"/>
        <w:outlineLvl w:val="2"/>
        <w:rPr>
          <w:rFonts w:eastAsia="宋体" w:cs="Times New Roman"/>
          <w:sz w:val="24"/>
          <w:szCs w:val="24"/>
        </w:rPr>
      </w:pPr>
      <w:r w:rsidRPr="00177203">
        <w:rPr>
          <w:rFonts w:eastAsia="宋体" w:cs="Times New Roman"/>
          <w:b/>
          <w:bCs/>
          <w:sz w:val="24"/>
          <w:szCs w:val="24"/>
        </w:rPr>
        <w:t xml:space="preserve">Aberration-corrected high-angle annular dark-field scanning transmission electron microscopy (AC HAADF-STEM): </w:t>
      </w:r>
      <w:r w:rsidRPr="00177203">
        <w:rPr>
          <w:rFonts w:eastAsia="宋体" w:cs="Times New Roman"/>
          <w:sz w:val="24"/>
          <w:szCs w:val="24"/>
        </w:rPr>
        <w:t xml:space="preserve">Atomic-level dispersion of copper species and </w:t>
      </w:r>
      <w:r w:rsidR="00523DF0" w:rsidRPr="00177203">
        <w:rPr>
          <w:rFonts w:eastAsia="宋体" w:cs="Times New Roman"/>
          <w:sz w:val="24"/>
          <w:szCs w:val="24"/>
        </w:rPr>
        <w:t>nanocavity's</w:t>
      </w:r>
      <w:r w:rsidRPr="00177203">
        <w:rPr>
          <w:rFonts w:eastAsia="宋体" w:cs="Times New Roman"/>
          <w:sz w:val="24"/>
          <w:szCs w:val="24"/>
        </w:rPr>
        <w:t xml:space="preserve"> structure of the catalysts were characterized on an aberration-corrected transmission electron microscope (JEOL JEM-ARM200F, JEOL, Japan) operated at an accelerating voltage of 200 kV. The samples were prepared by drop-casting ethanol-dispersed catalyst powder onto ultrathin holey carbon-coated copper grids, followed by vacuum drying at 60 °C for 12 h prior to testing. HAADF images were collected with a collection semi-angle of 68–280 </w:t>
      </w:r>
      <w:proofErr w:type="spellStart"/>
      <w:r w:rsidRPr="00177203">
        <w:rPr>
          <w:rFonts w:eastAsia="宋体" w:cs="Times New Roman"/>
          <w:sz w:val="24"/>
          <w:szCs w:val="24"/>
        </w:rPr>
        <w:t>mrad</w:t>
      </w:r>
      <w:proofErr w:type="spellEnd"/>
      <w:r w:rsidRPr="00177203">
        <w:rPr>
          <w:rFonts w:eastAsia="宋体" w:cs="Times New Roman"/>
          <w:sz w:val="24"/>
          <w:szCs w:val="24"/>
        </w:rPr>
        <w:t xml:space="preserve"> to ensure Z-contrast imaging of single copper atoms, with a spatial resolution of 0.08 nm. </w:t>
      </w:r>
    </w:p>
    <w:p w14:paraId="0CD47680" w14:textId="676D2D15" w:rsidR="00BC75DC" w:rsidRPr="00177203" w:rsidRDefault="00BC75DC" w:rsidP="00384737">
      <w:pPr>
        <w:widowControl/>
        <w:spacing w:afterLines="50" w:after="156"/>
        <w:outlineLvl w:val="2"/>
        <w:rPr>
          <w:rFonts w:eastAsia="宋体" w:cs="Times New Roman"/>
          <w:sz w:val="24"/>
          <w:szCs w:val="24"/>
        </w:rPr>
      </w:pPr>
      <w:r w:rsidRPr="00177203">
        <w:rPr>
          <w:rFonts w:eastAsia="宋体" w:cs="Times New Roman"/>
          <w:b/>
          <w:bCs/>
          <w:sz w:val="24"/>
          <w:szCs w:val="24"/>
        </w:rPr>
        <w:t xml:space="preserve">X-ray </w:t>
      </w:r>
      <w:r w:rsidR="00003A97" w:rsidRPr="00177203">
        <w:rPr>
          <w:rFonts w:eastAsia="宋体" w:cs="Times New Roman"/>
          <w:b/>
          <w:bCs/>
          <w:sz w:val="24"/>
          <w:szCs w:val="24"/>
        </w:rPr>
        <w:t>photoelectron spe</w:t>
      </w:r>
      <w:r w:rsidRPr="00177203">
        <w:rPr>
          <w:rFonts w:eastAsia="宋体" w:cs="Times New Roman"/>
          <w:b/>
          <w:bCs/>
          <w:sz w:val="24"/>
          <w:szCs w:val="24"/>
        </w:rPr>
        <w:t>ctroscopy (XPS)</w:t>
      </w:r>
      <w:r w:rsidRPr="00177203">
        <w:rPr>
          <w:rFonts w:eastAsia="宋体" w:cs="Times New Roman"/>
          <w:sz w:val="24"/>
          <w:szCs w:val="24"/>
        </w:rPr>
        <w:t xml:space="preserve">: Surface elemental composition, chemical valence state and electronic structure of the catalysts were characterized on an X-ray photoelectron spectrometer (Thermo Scientific K-Alpha, Thermo Fisher, USA) with a monochromatic Al Kα radiation source (photon energy of 1486.6 eV). </w:t>
      </w:r>
      <w:r w:rsidR="00E63B12" w:rsidRPr="00177203">
        <w:rPr>
          <w:rFonts w:eastAsia="宋体" w:cs="Times New Roman"/>
          <w:sz w:val="24"/>
          <w:szCs w:val="24"/>
        </w:rPr>
        <w:t>A</w:t>
      </w:r>
      <w:r w:rsidRPr="00177203">
        <w:rPr>
          <w:rFonts w:eastAsia="宋体" w:cs="Times New Roman"/>
          <w:sz w:val="24"/>
          <w:szCs w:val="24"/>
        </w:rPr>
        <w:t>ll binding energies were calibrated with the adventitious carbon C 1s peak at 284.8 eV, and the spectral data were processed by peak fitting with Avantage software.</w:t>
      </w:r>
    </w:p>
    <w:p w14:paraId="4DD2C6F2" w14:textId="074753DC" w:rsidR="00BC75DC" w:rsidRPr="00177203" w:rsidRDefault="00BC75DC" w:rsidP="00384737">
      <w:pPr>
        <w:widowControl/>
        <w:spacing w:afterLines="50" w:after="156"/>
        <w:outlineLvl w:val="2"/>
        <w:rPr>
          <w:rFonts w:eastAsia="宋体" w:cs="Times New Roman"/>
          <w:sz w:val="24"/>
          <w:szCs w:val="24"/>
        </w:rPr>
      </w:pPr>
      <w:r w:rsidRPr="00177203">
        <w:rPr>
          <w:rFonts w:eastAsia="宋体" w:cs="Times New Roman"/>
          <w:b/>
          <w:bCs/>
          <w:sz w:val="24"/>
          <w:szCs w:val="24"/>
        </w:rPr>
        <w:t xml:space="preserve">X-ray </w:t>
      </w:r>
      <w:r w:rsidR="00003A97" w:rsidRPr="00177203">
        <w:rPr>
          <w:rFonts w:eastAsia="宋体" w:cs="Times New Roman"/>
          <w:b/>
          <w:bCs/>
          <w:sz w:val="24"/>
          <w:szCs w:val="24"/>
        </w:rPr>
        <w:t>absorption fine structure spec</w:t>
      </w:r>
      <w:r w:rsidRPr="00177203">
        <w:rPr>
          <w:rFonts w:eastAsia="宋体" w:cs="Times New Roman"/>
          <w:b/>
          <w:bCs/>
          <w:sz w:val="24"/>
          <w:szCs w:val="24"/>
        </w:rPr>
        <w:t>troscopy (XAFS):</w:t>
      </w:r>
      <w:r w:rsidRPr="00177203">
        <w:rPr>
          <w:rFonts w:eastAsia="宋体" w:cs="Times New Roman"/>
          <w:sz w:val="24"/>
          <w:szCs w:val="24"/>
        </w:rPr>
        <w:t xml:space="preserve"> X-ray absorption near-edge structure (XANES) and extended X-ray absorption fine structure (EXAFS) spectra of the catalysts were collected at the Beamline 8-ID of the National Synchrotron Light Source II at Brookhaven National Laboratory. The spectra of Cu K-edge</w:t>
      </w:r>
      <w:r w:rsidR="00523DF0" w:rsidRPr="00177203">
        <w:rPr>
          <w:rFonts w:eastAsia="宋体" w:cs="Times New Roman"/>
          <w:sz w:val="24"/>
          <w:szCs w:val="24"/>
        </w:rPr>
        <w:t xml:space="preserve"> were</w:t>
      </w:r>
      <w:r w:rsidRPr="00177203">
        <w:rPr>
          <w:rFonts w:eastAsia="宋体" w:cs="Times New Roman"/>
          <w:sz w:val="24"/>
          <w:szCs w:val="24"/>
        </w:rPr>
        <w:t xml:space="preserve"> all acquired in fluorescence mode with a passivated implanted planar silicon (PIPS) detector. The raw data were background-subtracted, normalized and fitted using ATHENA and ARTEMIS software, with </w:t>
      </w:r>
      <w:r w:rsidR="00523DF0" w:rsidRPr="00177203">
        <w:rPr>
          <w:rFonts w:eastAsia="宋体" w:cs="Times New Roman"/>
          <w:sz w:val="24"/>
          <w:szCs w:val="24"/>
        </w:rPr>
        <w:t>Cu</w:t>
      </w:r>
      <w:r w:rsidRPr="00177203">
        <w:rPr>
          <w:rFonts w:eastAsia="宋体" w:cs="Times New Roman"/>
          <w:sz w:val="24"/>
          <w:szCs w:val="24"/>
        </w:rPr>
        <w:t xml:space="preserve"> foils and standard oxides as reference samples.</w:t>
      </w:r>
    </w:p>
    <w:p w14:paraId="28E76373" w14:textId="46AF93F0" w:rsidR="00F037D2" w:rsidRPr="00177203" w:rsidRDefault="00F037D2" w:rsidP="00F037D2">
      <w:pPr>
        <w:widowControl/>
        <w:spacing w:afterLines="50" w:after="156"/>
        <w:outlineLvl w:val="2"/>
        <w:rPr>
          <w:rFonts w:eastAsia="宋体" w:cs="Times New Roman"/>
          <w:color w:val="0070C0"/>
          <w:sz w:val="24"/>
          <w:szCs w:val="24"/>
        </w:rPr>
      </w:pPr>
      <w:r w:rsidRPr="00177203">
        <w:rPr>
          <w:rFonts w:eastAsia="宋体" w:cs="Times New Roman"/>
          <w:b/>
          <w:bCs/>
          <w:sz w:val="24"/>
          <w:szCs w:val="24"/>
        </w:rPr>
        <w:t>Ultraviolet-visible absorption spectroscopy (UV-vis):</w:t>
      </w:r>
      <w:r w:rsidRPr="00177203">
        <w:rPr>
          <w:rFonts w:eastAsia="宋体" w:cs="Times New Roman"/>
          <w:sz w:val="24"/>
          <w:szCs w:val="24"/>
        </w:rPr>
        <w:t xml:space="preserve"> Quantitative analysis of reaction by-products (including NH</w:t>
      </w:r>
      <w:r w:rsidR="00E63B12" w:rsidRPr="00177203">
        <w:rPr>
          <w:rFonts w:eastAsia="宋体" w:cs="Times New Roman"/>
          <w:sz w:val="24"/>
          <w:szCs w:val="24"/>
          <w:vertAlign w:val="subscript"/>
        </w:rPr>
        <w:t>2</w:t>
      </w:r>
      <w:r w:rsidRPr="00177203">
        <w:rPr>
          <w:rFonts w:eastAsia="宋体" w:cs="Times New Roman"/>
          <w:sz w:val="24"/>
          <w:szCs w:val="24"/>
        </w:rPr>
        <w:t>OH, NH</w:t>
      </w:r>
      <w:r w:rsidR="00E63B12" w:rsidRPr="00177203">
        <w:rPr>
          <w:rFonts w:eastAsia="宋体" w:cs="Times New Roman"/>
          <w:sz w:val="24"/>
          <w:szCs w:val="24"/>
          <w:vertAlign w:val="subscript"/>
        </w:rPr>
        <w:t>4</w:t>
      </w:r>
      <w:r w:rsidR="00E63B12" w:rsidRPr="00177203">
        <w:rPr>
          <w:rFonts w:eastAsia="宋体" w:cs="Times New Roman"/>
          <w:sz w:val="24"/>
          <w:szCs w:val="24"/>
          <w:vertAlign w:val="superscript"/>
        </w:rPr>
        <w:t>+</w:t>
      </w:r>
      <w:r w:rsidRPr="00177203">
        <w:rPr>
          <w:rFonts w:eastAsia="宋体" w:cs="Times New Roman"/>
          <w:sz w:val="24"/>
          <w:szCs w:val="24"/>
        </w:rPr>
        <w:t xml:space="preserve">, </w:t>
      </w:r>
      <w:r w:rsidR="009B7EEF" w:rsidRPr="00177203">
        <w:rPr>
          <w:rFonts w:eastAsia="宋体" w:cs="Times New Roman"/>
          <w:sz w:val="24"/>
          <w:szCs w:val="24"/>
        </w:rPr>
        <w:t>NO</w:t>
      </w:r>
      <w:r w:rsidR="009B7EEF" w:rsidRPr="00177203">
        <w:rPr>
          <w:rFonts w:eastAsia="宋体" w:cs="Times New Roman"/>
          <w:sz w:val="24"/>
          <w:szCs w:val="24"/>
          <w:vertAlign w:val="subscript"/>
        </w:rPr>
        <w:t>2</w:t>
      </w:r>
      <w:r w:rsidR="009B7EEF" w:rsidRPr="00177203">
        <w:rPr>
          <w:rFonts w:eastAsia="宋体" w:cs="Times New Roman"/>
          <w:sz w:val="24"/>
          <w:szCs w:val="24"/>
          <w:vertAlign w:val="superscript"/>
        </w:rPr>
        <w:t>–</w:t>
      </w:r>
      <w:r w:rsidR="009B7EEF" w:rsidRPr="00177203">
        <w:rPr>
          <w:rFonts w:eastAsia="宋体" w:cs="Times New Roman"/>
          <w:sz w:val="24"/>
          <w:szCs w:val="24"/>
        </w:rPr>
        <w:t xml:space="preserve">, </w:t>
      </w:r>
      <w:r w:rsidRPr="00177203">
        <w:rPr>
          <w:rFonts w:eastAsia="宋体" w:cs="Times New Roman"/>
          <w:sz w:val="24"/>
          <w:szCs w:val="24"/>
        </w:rPr>
        <w:t>etc.) was performed on an ultraviolet-visible spectrophotometer (UV-2600, Shimadzu, Japan). The test wave</w:t>
      </w:r>
      <w:r w:rsidR="00523DF0" w:rsidRPr="00177203">
        <w:rPr>
          <w:rFonts w:cs="Times New Roman"/>
        </w:rPr>
        <w:t xml:space="preserve"> </w:t>
      </w:r>
      <w:r w:rsidR="00523DF0" w:rsidRPr="00177203">
        <w:rPr>
          <w:rFonts w:eastAsia="宋体" w:cs="Times New Roman"/>
          <w:sz w:val="24"/>
          <w:szCs w:val="24"/>
        </w:rPr>
        <w:t xml:space="preserve">UV-vis </w:t>
      </w:r>
      <w:r w:rsidRPr="00177203">
        <w:rPr>
          <w:rFonts w:eastAsia="宋体" w:cs="Times New Roman"/>
          <w:sz w:val="24"/>
          <w:szCs w:val="24"/>
        </w:rPr>
        <w:t>length range was 200–800 nm with a spectral resolution of 1 nm, the absorbance data were collected in a 1 cm quartz cuvette at room temperature, and the quantitative analysis was completed via the standard curve method.</w:t>
      </w:r>
    </w:p>
    <w:p w14:paraId="2B4B1084" w14:textId="10C29E36"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Solution nuclear magnetic resonance (NMR):</w:t>
      </w:r>
      <w:r w:rsidRPr="00177203">
        <w:rPr>
          <w:rFonts w:eastAsia="宋体" w:cs="Times New Roman"/>
          <w:sz w:val="24"/>
          <w:szCs w:val="24"/>
        </w:rPr>
        <w:t xml:space="preserve"> Qualitative and quantitative analysis of urea, reaction intermediates, and isotope labeling experiments were performed on liquid-state and solid-state NMR spectrometers. Liquid-state </w:t>
      </w:r>
      <w:r w:rsidR="00E63B12" w:rsidRPr="00177203">
        <w:rPr>
          <w:rFonts w:eastAsia="宋体" w:cs="Times New Roman"/>
          <w:sz w:val="24"/>
          <w:szCs w:val="24"/>
          <w:vertAlign w:val="superscript"/>
        </w:rPr>
        <w:t>1</w:t>
      </w:r>
      <w:r w:rsidRPr="00177203">
        <w:rPr>
          <w:rFonts w:eastAsia="宋体" w:cs="Times New Roman"/>
          <w:sz w:val="24"/>
          <w:szCs w:val="24"/>
        </w:rPr>
        <w:t xml:space="preserve">H, </w:t>
      </w:r>
      <w:r w:rsidR="00E63B12" w:rsidRPr="00177203">
        <w:rPr>
          <w:rFonts w:eastAsia="宋体" w:cs="Times New Roman"/>
          <w:sz w:val="24"/>
          <w:szCs w:val="24"/>
          <w:vertAlign w:val="superscript"/>
        </w:rPr>
        <w:t>15</w:t>
      </w:r>
      <w:r w:rsidRPr="00177203">
        <w:rPr>
          <w:rFonts w:eastAsia="宋体" w:cs="Times New Roman"/>
          <w:sz w:val="24"/>
          <w:szCs w:val="24"/>
        </w:rPr>
        <w:t xml:space="preserve">N, and </w:t>
      </w:r>
      <w:r w:rsidR="00E63B12" w:rsidRPr="00177203">
        <w:rPr>
          <w:rFonts w:eastAsia="宋体" w:cs="Times New Roman"/>
          <w:sz w:val="24"/>
          <w:szCs w:val="24"/>
          <w:vertAlign w:val="superscript"/>
        </w:rPr>
        <w:t>13</w:t>
      </w:r>
      <w:r w:rsidRPr="00177203">
        <w:rPr>
          <w:rFonts w:eastAsia="宋体" w:cs="Times New Roman"/>
          <w:sz w:val="24"/>
          <w:szCs w:val="24"/>
        </w:rPr>
        <w:t xml:space="preserve">C NMR spectra were collected on a Bruker </w:t>
      </w:r>
      <w:proofErr w:type="spellStart"/>
      <w:r w:rsidRPr="00177203">
        <w:rPr>
          <w:rFonts w:eastAsia="宋体" w:cs="Times New Roman"/>
          <w:sz w:val="24"/>
          <w:szCs w:val="24"/>
        </w:rPr>
        <w:t>Ascen</w:t>
      </w:r>
      <w:proofErr w:type="spellEnd"/>
      <w:r w:rsidRPr="00177203">
        <w:rPr>
          <w:rFonts w:eastAsia="宋体" w:cs="Times New Roman"/>
          <w:sz w:val="24"/>
          <w:szCs w:val="24"/>
        </w:rPr>
        <w:t xml:space="preserve"> 400 MHz NMR spectrometer at 25 °C. For urea quantification, 50 μL of post-electrolysis electrolyte was mixed with 600 μL of DMSO-d6, with 0.1 μL dimethyl sulfoxide (DMSO) as the internal standard, and ¹H NMR spectra were acquired with water suppression via the excitation sculpting method. For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Pr="00177203">
        <w:rPr>
          <w:rFonts w:eastAsia="宋体" w:cs="Times New Roman"/>
          <w:sz w:val="24"/>
          <w:szCs w:val="24"/>
        </w:rPr>
        <w:t xml:space="preserve"> and </w:t>
      </w:r>
      <w:r w:rsidR="00E63B12" w:rsidRPr="00177203">
        <w:rPr>
          <w:rFonts w:eastAsia="宋体" w:cs="Times New Roman"/>
          <w:sz w:val="24"/>
          <w:szCs w:val="24"/>
          <w:vertAlign w:val="superscript"/>
        </w:rPr>
        <w:t>13</w:t>
      </w:r>
      <w:r w:rsidR="00E63B12" w:rsidRPr="00177203">
        <w:rPr>
          <w:rFonts w:eastAsia="宋体" w:cs="Times New Roman"/>
          <w:sz w:val="24"/>
          <w:szCs w:val="24"/>
        </w:rPr>
        <w:t>C</w:t>
      </w:r>
      <w:r w:rsidRPr="00177203">
        <w:rPr>
          <w:rFonts w:eastAsia="宋体" w:cs="Times New Roman"/>
          <w:sz w:val="24"/>
          <w:szCs w:val="24"/>
        </w:rPr>
        <w:t xml:space="preserve"> isotope labeling experiments to verify the </w:t>
      </w:r>
      <w:r w:rsidR="00E63B12" w:rsidRPr="00177203">
        <w:rPr>
          <w:rFonts w:eastAsia="宋体" w:cs="Times New Roman"/>
          <w:color w:val="000000" w:themeColor="text1"/>
          <w:sz w:val="24"/>
          <w:szCs w:val="24"/>
        </w:rPr>
        <w:t>C–N coupling</w:t>
      </w:r>
      <w:r w:rsidRPr="00177203">
        <w:rPr>
          <w:rFonts w:eastAsia="宋体" w:cs="Times New Roman"/>
          <w:sz w:val="24"/>
          <w:szCs w:val="24"/>
        </w:rPr>
        <w:t xml:space="preserve"> source, electrolysis was performed with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Pr="00177203">
        <w:rPr>
          <w:rFonts w:eastAsia="宋体" w:cs="Times New Roman"/>
          <w:sz w:val="24"/>
          <w:szCs w:val="24"/>
        </w:rPr>
        <w:t>-labeled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and </w:t>
      </w:r>
      <w:r w:rsidR="00E63B12" w:rsidRPr="00177203">
        <w:rPr>
          <w:rFonts w:eastAsia="宋体" w:cs="Times New Roman"/>
          <w:sz w:val="24"/>
          <w:szCs w:val="24"/>
          <w:vertAlign w:val="superscript"/>
        </w:rPr>
        <w:t>13</w:t>
      </w:r>
      <w:r w:rsidR="00E63B12" w:rsidRPr="00177203">
        <w:rPr>
          <w:rFonts w:eastAsia="宋体" w:cs="Times New Roman"/>
          <w:sz w:val="24"/>
          <w:szCs w:val="24"/>
        </w:rPr>
        <w:t>C</w:t>
      </w:r>
      <w:r w:rsidRPr="00177203">
        <w:rPr>
          <w:rFonts w:eastAsia="宋体" w:cs="Times New Roman"/>
          <w:sz w:val="24"/>
          <w:szCs w:val="24"/>
        </w:rPr>
        <w:t>-labeled NaHC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as the sole nitrogen and carbon sources, respectively; post-reaction electrolytes were subjected to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Pr="00177203">
        <w:rPr>
          <w:rFonts w:eastAsia="宋体" w:cs="Times New Roman"/>
          <w:sz w:val="24"/>
          <w:szCs w:val="24"/>
        </w:rPr>
        <w:t xml:space="preserve"> NMR and </w:t>
      </w:r>
      <w:r w:rsidR="00E63B12" w:rsidRPr="00177203">
        <w:rPr>
          <w:rFonts w:eastAsia="宋体" w:cs="Times New Roman"/>
          <w:sz w:val="24"/>
          <w:szCs w:val="24"/>
          <w:vertAlign w:val="superscript"/>
        </w:rPr>
        <w:t>13</w:t>
      </w:r>
      <w:r w:rsidR="00E63B12" w:rsidRPr="00177203">
        <w:rPr>
          <w:rFonts w:eastAsia="宋体" w:cs="Times New Roman"/>
          <w:sz w:val="24"/>
          <w:szCs w:val="24"/>
        </w:rPr>
        <w:t>C</w:t>
      </w:r>
      <w:r w:rsidRPr="00177203">
        <w:rPr>
          <w:rFonts w:eastAsia="宋体" w:cs="Times New Roman"/>
          <w:sz w:val="24"/>
          <w:szCs w:val="24"/>
        </w:rPr>
        <w:t xml:space="preserve"> NMR analysis to confirm the origin of nitrogen and carbon in the synthesized urea. Solid-state </w:t>
      </w:r>
      <w:r w:rsidR="00E63B12" w:rsidRPr="00177203">
        <w:rPr>
          <w:rFonts w:eastAsia="宋体" w:cs="Times New Roman"/>
          <w:sz w:val="24"/>
          <w:szCs w:val="24"/>
          <w:vertAlign w:val="superscript"/>
        </w:rPr>
        <w:t>13</w:t>
      </w:r>
      <w:r w:rsidR="00E63B12" w:rsidRPr="00177203">
        <w:rPr>
          <w:rFonts w:eastAsia="宋体" w:cs="Times New Roman"/>
          <w:sz w:val="24"/>
          <w:szCs w:val="24"/>
        </w:rPr>
        <w:t>C</w:t>
      </w:r>
      <w:r w:rsidRPr="00177203">
        <w:rPr>
          <w:rFonts w:eastAsia="宋体" w:cs="Times New Roman"/>
          <w:sz w:val="24"/>
          <w:szCs w:val="24"/>
        </w:rPr>
        <w:t xml:space="preserve"> and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Pr="00177203">
        <w:rPr>
          <w:rFonts w:eastAsia="宋体" w:cs="Times New Roman"/>
          <w:sz w:val="24"/>
          <w:szCs w:val="24"/>
        </w:rPr>
        <w:t xml:space="preserve"> cross-polarization magic angle spinning (CP/MAS) NMR spectra were recorded at a spinning rate of 12 kHz, to identify the purity of vacuum-evaporated solid urea product and rule out organic by-products.</w:t>
      </w:r>
    </w:p>
    <w:p w14:paraId="1936A880" w14:textId="553AEF1F" w:rsidR="00C601A2" w:rsidRPr="00177203" w:rsidRDefault="00BC75DC" w:rsidP="00384737">
      <w:pPr>
        <w:widowControl/>
        <w:spacing w:afterLines="50" w:after="156"/>
        <w:outlineLvl w:val="2"/>
        <w:rPr>
          <w:rFonts w:eastAsia="宋体" w:cs="Times New Roman"/>
          <w:sz w:val="24"/>
          <w:szCs w:val="24"/>
        </w:rPr>
      </w:pPr>
      <w:r w:rsidRPr="00177203">
        <w:rPr>
          <w:rFonts w:eastAsia="宋体" w:cs="Times New Roman"/>
          <w:b/>
          <w:bCs/>
          <w:sz w:val="24"/>
          <w:szCs w:val="24"/>
        </w:rPr>
        <w:t>Temperature</w:t>
      </w:r>
      <w:r w:rsidR="00003A97" w:rsidRPr="00177203">
        <w:rPr>
          <w:rFonts w:eastAsia="宋体" w:cs="Times New Roman"/>
          <w:b/>
          <w:bCs/>
          <w:sz w:val="24"/>
          <w:szCs w:val="24"/>
        </w:rPr>
        <w:t xml:space="preserve"> programmed </w:t>
      </w:r>
      <w:r w:rsidR="00C601A2" w:rsidRPr="00177203">
        <w:rPr>
          <w:rFonts w:eastAsia="宋体" w:cs="Times New Roman"/>
          <w:b/>
          <w:bCs/>
          <w:sz w:val="24"/>
          <w:szCs w:val="24"/>
        </w:rPr>
        <w:t>de</w:t>
      </w:r>
      <w:r w:rsidRPr="00177203">
        <w:rPr>
          <w:rFonts w:eastAsia="宋体" w:cs="Times New Roman"/>
          <w:b/>
          <w:bCs/>
          <w:sz w:val="24"/>
          <w:szCs w:val="24"/>
        </w:rPr>
        <w:t>sorption (TP</w:t>
      </w:r>
      <w:r w:rsidR="00C601A2" w:rsidRPr="00177203">
        <w:rPr>
          <w:rFonts w:eastAsia="宋体" w:cs="Times New Roman"/>
          <w:b/>
          <w:bCs/>
          <w:sz w:val="24"/>
          <w:szCs w:val="24"/>
        </w:rPr>
        <w:t>D</w:t>
      </w:r>
      <w:r w:rsidRPr="00177203">
        <w:rPr>
          <w:rFonts w:eastAsia="宋体" w:cs="Times New Roman"/>
          <w:b/>
          <w:bCs/>
          <w:sz w:val="24"/>
          <w:szCs w:val="24"/>
        </w:rPr>
        <w:t>)</w:t>
      </w:r>
      <w:r w:rsidRPr="00177203">
        <w:rPr>
          <w:rFonts w:eastAsia="宋体" w:cs="Times New Roman"/>
          <w:sz w:val="24"/>
          <w:szCs w:val="24"/>
        </w:rPr>
        <w:t xml:space="preserve">: </w:t>
      </w:r>
      <w:r w:rsidR="00F632E7" w:rsidRPr="00177203">
        <w:rPr>
          <w:rFonts w:eastAsia="宋体" w:cs="Times New Roman"/>
          <w:sz w:val="24"/>
          <w:szCs w:val="24"/>
        </w:rPr>
        <w:t>CO and NO adsorption-desorption properties of the catalysts were tested on an automatic chemisorption analyzer (</w:t>
      </w:r>
      <w:proofErr w:type="spellStart"/>
      <w:r w:rsidR="00F632E7" w:rsidRPr="00177203">
        <w:rPr>
          <w:rFonts w:eastAsia="宋体" w:cs="Times New Roman"/>
          <w:sz w:val="24"/>
          <w:szCs w:val="24"/>
        </w:rPr>
        <w:t>AutoChem</w:t>
      </w:r>
      <w:proofErr w:type="spellEnd"/>
      <w:r w:rsidR="00F632E7" w:rsidRPr="00177203">
        <w:rPr>
          <w:rFonts w:eastAsia="宋体" w:cs="Times New Roman"/>
          <w:sz w:val="24"/>
          <w:szCs w:val="24"/>
        </w:rPr>
        <w:t xml:space="preserve"> II 2920, Micromeritics, USA) equipped with a thermal conductivity detector (TCD) and a mass spectrometer (MS). Approximately 100 mg of catalyst sample was loaded into a U-shaped quartz tube, pretreated at 200 °C under high-purity He flow (50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F632E7" w:rsidRPr="00177203">
        <w:rPr>
          <w:rFonts w:eastAsia="宋体" w:cs="Times New Roman"/>
          <w:sz w:val="24"/>
          <w:szCs w:val="24"/>
        </w:rPr>
        <w:t xml:space="preserve">) for 2 h to remove surface-adsorbed impurities and water, then cooled to 50 °C under </w:t>
      </w:r>
      <w:proofErr w:type="spellStart"/>
      <w:r w:rsidR="00F632E7" w:rsidRPr="00177203">
        <w:rPr>
          <w:rFonts w:eastAsia="宋体" w:cs="Times New Roman"/>
          <w:sz w:val="24"/>
          <w:szCs w:val="24"/>
        </w:rPr>
        <w:t>He</w:t>
      </w:r>
      <w:proofErr w:type="spellEnd"/>
      <w:r w:rsidR="00F632E7" w:rsidRPr="00177203">
        <w:rPr>
          <w:rFonts w:eastAsia="宋体" w:cs="Times New Roman"/>
          <w:sz w:val="24"/>
          <w:szCs w:val="24"/>
        </w:rPr>
        <w:t xml:space="preserve"> atmosphere. Subsequently, the sample was exposed to a flow of 10 vol% CO/He or 10 vol% NO/He (50 mL min</w:t>
      </w:r>
      <w:r w:rsidR="00E63B12" w:rsidRPr="00177203">
        <w:rPr>
          <w:rFonts w:eastAsia="宋体" w:cs="Times New Roman"/>
          <w:sz w:val="24"/>
          <w:szCs w:val="24"/>
          <w:vertAlign w:val="superscript"/>
        </w:rPr>
        <w:t>–1</w:t>
      </w:r>
      <w:r w:rsidR="00F632E7" w:rsidRPr="00177203">
        <w:rPr>
          <w:rFonts w:eastAsia="宋体" w:cs="Times New Roman"/>
          <w:sz w:val="24"/>
          <w:szCs w:val="24"/>
        </w:rPr>
        <w:t xml:space="preserve">) for 2 h to achieve saturated adsorption, followed by purging with pure He (50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F632E7" w:rsidRPr="00177203">
        <w:rPr>
          <w:rFonts w:eastAsia="宋体" w:cs="Times New Roman"/>
          <w:sz w:val="24"/>
          <w:szCs w:val="24"/>
        </w:rPr>
        <w:t xml:space="preserve">) for 1 h to eliminate physically adsorbed gaseous species. Finally, TPD curves were recorded by heating the sample from 50 °C to 800 °C at a ramp rate of 10 °C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F632E7" w:rsidRPr="00177203">
        <w:rPr>
          <w:rFonts w:eastAsia="宋体" w:cs="Times New Roman"/>
          <w:sz w:val="24"/>
          <w:szCs w:val="24"/>
        </w:rPr>
        <w:t xml:space="preserve"> under continuous He flow (30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F632E7" w:rsidRPr="00177203">
        <w:rPr>
          <w:rFonts w:eastAsia="宋体" w:cs="Times New Roman"/>
          <w:sz w:val="24"/>
          <w:szCs w:val="24"/>
        </w:rPr>
        <w:t>), with the desorbed CO and NO signals monitored in real time by the mass spectrometer.</w:t>
      </w:r>
    </w:p>
    <w:p w14:paraId="29223F60" w14:textId="20D86B4B" w:rsidR="00F037D2" w:rsidRPr="00177203" w:rsidRDefault="00F037D2" w:rsidP="00F037D2">
      <w:pPr>
        <w:widowControl/>
        <w:spacing w:afterLines="50" w:after="156"/>
        <w:outlineLvl w:val="2"/>
        <w:rPr>
          <w:rFonts w:eastAsia="宋体" w:cs="Times New Roman"/>
          <w:sz w:val="24"/>
          <w:szCs w:val="24"/>
        </w:rPr>
      </w:pPr>
      <w:r w:rsidRPr="00177203">
        <w:rPr>
          <w:rFonts w:eastAsia="宋体" w:cs="Times New Roman"/>
          <w:b/>
          <w:bCs/>
          <w:sz w:val="24"/>
          <w:szCs w:val="24"/>
        </w:rPr>
        <w:t>Electron paramagnetic resonance spectroscopy (EPR)</w:t>
      </w:r>
      <w:r w:rsidRPr="00177203">
        <w:rPr>
          <w:rFonts w:eastAsia="宋体" w:cs="Times New Roman"/>
          <w:sz w:val="24"/>
          <w:szCs w:val="24"/>
        </w:rPr>
        <w:t>: Qualitative and quantitative characterization</w:t>
      </w:r>
      <w:r w:rsidR="009B7EEF" w:rsidRPr="00177203">
        <w:rPr>
          <w:rFonts w:eastAsia="宋体" w:cs="Times New Roman"/>
          <w:sz w:val="24"/>
          <w:szCs w:val="24"/>
        </w:rPr>
        <w:t>s</w:t>
      </w:r>
      <w:r w:rsidRPr="00177203">
        <w:rPr>
          <w:rFonts w:eastAsia="宋体" w:cs="Times New Roman"/>
          <w:sz w:val="24"/>
          <w:szCs w:val="24"/>
        </w:rPr>
        <w:t xml:space="preserve"> of free radicals during the reaction </w:t>
      </w:r>
      <w:r w:rsidR="009B7EEF" w:rsidRPr="00177203">
        <w:rPr>
          <w:rFonts w:eastAsia="宋体" w:cs="Times New Roman"/>
          <w:sz w:val="24"/>
          <w:szCs w:val="24"/>
        </w:rPr>
        <w:t>were</w:t>
      </w:r>
      <w:r w:rsidRPr="00177203">
        <w:rPr>
          <w:rFonts w:eastAsia="宋体" w:cs="Times New Roman"/>
          <w:sz w:val="24"/>
          <w:szCs w:val="24"/>
        </w:rPr>
        <w:t xml:space="preserve"> performed on an electron spin resonance spectrometer (JEOL FA-200, JEOL, Japan), with 5,5-dimethyl-1-pyrroline-N-oxide (DMPO) as the radical trapping agent. The in-situ radical signal during electrolysis was collected in real time with a capillary in-situ cell.</w:t>
      </w:r>
    </w:p>
    <w:p w14:paraId="53EC4503" w14:textId="68BFA3FA" w:rsidR="00F632E7" w:rsidRPr="00177203" w:rsidRDefault="00F632E7" w:rsidP="00384737">
      <w:pPr>
        <w:widowControl/>
        <w:spacing w:afterLines="50" w:after="156"/>
        <w:outlineLvl w:val="2"/>
        <w:rPr>
          <w:rFonts w:eastAsia="宋体" w:cs="Times New Roman"/>
          <w:sz w:val="24"/>
          <w:szCs w:val="24"/>
        </w:rPr>
      </w:pPr>
      <w:r w:rsidRPr="00177203">
        <w:rPr>
          <w:rFonts w:eastAsia="宋体" w:cs="Times New Roman"/>
          <w:b/>
          <w:bCs/>
          <w:sz w:val="24"/>
          <w:szCs w:val="24"/>
        </w:rPr>
        <w:t xml:space="preserve">In-situ Raman spectroscopy: </w:t>
      </w:r>
      <w:r w:rsidRPr="00177203">
        <w:rPr>
          <w:rFonts w:eastAsia="宋体" w:cs="Times New Roman"/>
          <w:sz w:val="24"/>
          <w:szCs w:val="24"/>
        </w:rPr>
        <w:t xml:space="preserve">Dynamic evolution of reaction intermediates on the catalyst surface during electrocatalytic </w:t>
      </w:r>
      <w:r w:rsidR="00E63B12" w:rsidRPr="00177203">
        <w:rPr>
          <w:rFonts w:eastAsia="宋体" w:cs="Times New Roman"/>
          <w:color w:val="000000" w:themeColor="text1"/>
          <w:sz w:val="24"/>
          <w:szCs w:val="24"/>
        </w:rPr>
        <w:t>C–N coupling</w:t>
      </w:r>
      <w:r w:rsidRPr="00177203">
        <w:rPr>
          <w:rFonts w:eastAsia="宋体" w:cs="Times New Roman"/>
          <w:sz w:val="24"/>
          <w:szCs w:val="24"/>
        </w:rPr>
        <w:t xml:space="preserve"> was monitored on a laser confocal Raman spectrometer (</w:t>
      </w:r>
      <w:proofErr w:type="spellStart"/>
      <w:r w:rsidRPr="00177203">
        <w:rPr>
          <w:rFonts w:eastAsia="宋体" w:cs="Times New Roman"/>
          <w:sz w:val="24"/>
          <w:szCs w:val="24"/>
        </w:rPr>
        <w:t>LabRAM</w:t>
      </w:r>
      <w:proofErr w:type="spellEnd"/>
      <w:r w:rsidRPr="00177203">
        <w:rPr>
          <w:rFonts w:eastAsia="宋体" w:cs="Times New Roman"/>
          <w:sz w:val="24"/>
          <w:szCs w:val="24"/>
        </w:rPr>
        <w:t xml:space="preserve"> HR Evolution, Horiba, Japan) coupled with a custom-built three-electrode in-situ electrochemical cell. The spectrometer was equipped with a 532 nm excitation laser, with the laser power controlled below 5 </w:t>
      </w:r>
      <w:proofErr w:type="spellStart"/>
      <w:r w:rsidRPr="00177203">
        <w:rPr>
          <w:rFonts w:eastAsia="宋体" w:cs="Times New Roman"/>
          <w:sz w:val="24"/>
          <w:szCs w:val="24"/>
        </w:rPr>
        <w:t>mW</w:t>
      </w:r>
      <w:proofErr w:type="spellEnd"/>
      <w:r w:rsidRPr="00177203">
        <w:rPr>
          <w:rFonts w:eastAsia="宋体" w:cs="Times New Roman"/>
          <w:sz w:val="24"/>
          <w:szCs w:val="24"/>
        </w:rPr>
        <w:t xml:space="preserve"> to avoid sample damage and photothermal interference. The in-situ cell featured a polytetrafluoroethylene (PTFE) body with a 1 mm-thick quartz optical window, a catalyst-loaded carbon paper working electrode (1 × 1 cm</w:t>
      </w:r>
      <w:r w:rsidR="00E63B12" w:rsidRPr="00177203">
        <w:rPr>
          <w:rFonts w:eastAsia="宋体" w:cs="Times New Roman"/>
          <w:sz w:val="24"/>
          <w:szCs w:val="24"/>
          <w:vertAlign w:val="superscript"/>
        </w:rPr>
        <w:t>2</w:t>
      </w:r>
      <w:r w:rsidRPr="00177203">
        <w:rPr>
          <w:rFonts w:eastAsia="宋体" w:cs="Times New Roman"/>
          <w:sz w:val="24"/>
          <w:szCs w:val="24"/>
        </w:rPr>
        <w:t>), a Pt wire counter electrode, and a</w:t>
      </w:r>
      <w:r w:rsidR="006025E2" w:rsidRPr="00177203">
        <w:rPr>
          <w:rFonts w:eastAsia="宋体" w:cs="Times New Roman"/>
          <w:sz w:val="24"/>
          <w:szCs w:val="24"/>
        </w:rPr>
        <w:t xml:space="preserve"> saturated calomel electrode (SCE)</w:t>
      </w:r>
      <w:r w:rsidRPr="00177203">
        <w:rPr>
          <w:rFonts w:eastAsia="宋体" w:cs="Times New Roman"/>
          <w:sz w:val="24"/>
          <w:szCs w:val="24"/>
        </w:rPr>
        <w:t>. The electrolyte was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continuously circulated through the cell at 5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xml:space="preserve">, with saturated CO2 fed at 20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xml:space="preserve"> throughout the test. Raman spectra were collected in the range of 100–3000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sz w:val="24"/>
          <w:szCs w:val="24"/>
        </w:rPr>
        <w:t xml:space="preserve"> at applied potentials from 0 V to –1.1 V vs. </w:t>
      </w:r>
      <w:r w:rsidR="00E44451" w:rsidRPr="00177203">
        <w:rPr>
          <w:rFonts w:eastAsia="宋体" w:cs="Times New Roman"/>
          <w:sz w:val="24"/>
          <w:szCs w:val="24"/>
        </w:rPr>
        <w:t>reversible hydrogen electrode (</w:t>
      </w:r>
      <w:r w:rsidRPr="00177203">
        <w:rPr>
          <w:rFonts w:eastAsia="宋体" w:cs="Times New Roman"/>
          <w:sz w:val="24"/>
          <w:szCs w:val="24"/>
        </w:rPr>
        <w:t>RHE</w:t>
      </w:r>
      <w:r w:rsidR="00E44451" w:rsidRPr="00177203">
        <w:rPr>
          <w:rFonts w:eastAsia="宋体" w:cs="Times New Roman"/>
          <w:sz w:val="24"/>
          <w:szCs w:val="24"/>
        </w:rPr>
        <w:t>)</w:t>
      </w:r>
      <w:r w:rsidRPr="00177203">
        <w:rPr>
          <w:rFonts w:eastAsia="宋体" w:cs="Times New Roman"/>
          <w:sz w:val="24"/>
          <w:szCs w:val="24"/>
        </w:rPr>
        <w:t>.</w:t>
      </w:r>
    </w:p>
    <w:p w14:paraId="1129E4EA" w14:textId="52E915FB" w:rsidR="00F037D2" w:rsidRPr="00177203" w:rsidRDefault="00BC75DC" w:rsidP="00384737">
      <w:pPr>
        <w:widowControl/>
        <w:spacing w:afterLines="50" w:after="156"/>
        <w:outlineLvl w:val="2"/>
        <w:rPr>
          <w:rFonts w:eastAsia="宋体" w:cs="Times New Roman"/>
          <w:sz w:val="24"/>
          <w:szCs w:val="24"/>
        </w:rPr>
      </w:pPr>
      <w:r w:rsidRPr="00177203">
        <w:rPr>
          <w:rFonts w:eastAsia="宋体" w:cs="Times New Roman"/>
          <w:b/>
          <w:bCs/>
          <w:sz w:val="24"/>
          <w:szCs w:val="24"/>
        </w:rPr>
        <w:t xml:space="preserve">In-situ </w:t>
      </w:r>
      <w:r w:rsidR="006C3033" w:rsidRPr="00177203">
        <w:rPr>
          <w:rFonts w:eastAsia="宋体" w:cs="Times New Roman"/>
          <w:b/>
          <w:bCs/>
          <w:sz w:val="24"/>
          <w:szCs w:val="24"/>
        </w:rPr>
        <w:t>attenuated total reflection surface-enhanced infrared absorption spectrosc</w:t>
      </w:r>
      <w:r w:rsidRPr="00177203">
        <w:rPr>
          <w:rFonts w:eastAsia="宋体" w:cs="Times New Roman"/>
          <w:b/>
          <w:bCs/>
          <w:sz w:val="24"/>
          <w:szCs w:val="24"/>
        </w:rPr>
        <w:t>opy (ATR-SEIRAS):</w:t>
      </w:r>
      <w:r w:rsidRPr="00177203">
        <w:rPr>
          <w:rFonts w:eastAsia="宋体" w:cs="Times New Roman"/>
          <w:sz w:val="24"/>
          <w:szCs w:val="24"/>
        </w:rPr>
        <w:t xml:space="preserve"> Dynamic evolution of reaction intermediates during the electrocatalytic process was monitored on an in-situ ATR-SEIRAS spectrometer (Bruker Vertex 70v, Bruker, Germany) equipped with a liquid nitrogen-cooled MCT detector. The spectra were collected in the range of 1000–</w:t>
      </w:r>
      <w:r w:rsidR="009B7EEF" w:rsidRPr="00177203">
        <w:rPr>
          <w:rFonts w:eastAsia="宋体" w:cs="Times New Roman"/>
          <w:sz w:val="24"/>
          <w:szCs w:val="24"/>
        </w:rPr>
        <w:t>40</w:t>
      </w:r>
      <w:r w:rsidRPr="00177203">
        <w:rPr>
          <w:rFonts w:eastAsia="宋体" w:cs="Times New Roman"/>
          <w:sz w:val="24"/>
          <w:szCs w:val="24"/>
        </w:rPr>
        <w:t xml:space="preserve">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sz w:val="24"/>
          <w:szCs w:val="24"/>
        </w:rPr>
        <w:t xml:space="preserve">. A three-electrode in-situ electrolytic cell with a Si prism as the working electrode substrate was adopted, and the infrared spectra were collected in real time at different applied potentials </w:t>
      </w:r>
      <w:r w:rsidR="00475AC8" w:rsidRPr="00177203">
        <w:rPr>
          <w:rFonts w:eastAsia="宋体" w:cs="Times New Roman"/>
          <w:sz w:val="24"/>
          <w:szCs w:val="24"/>
        </w:rPr>
        <w:t>from 0 V to –1.1 V vs. RHE.</w:t>
      </w:r>
    </w:p>
    <w:p w14:paraId="20B559A7" w14:textId="77777777" w:rsidR="00F037D2" w:rsidRPr="00177203" w:rsidRDefault="00F037D2">
      <w:pPr>
        <w:widowControl/>
        <w:spacing w:line="240" w:lineRule="auto"/>
        <w:jc w:val="left"/>
        <w:rPr>
          <w:rFonts w:eastAsia="宋体" w:cs="Times New Roman"/>
          <w:sz w:val="24"/>
          <w:szCs w:val="24"/>
        </w:rPr>
      </w:pPr>
      <w:r w:rsidRPr="00177203">
        <w:rPr>
          <w:rFonts w:eastAsia="宋体" w:cs="Times New Roman"/>
          <w:sz w:val="24"/>
          <w:szCs w:val="24"/>
        </w:rPr>
        <w:br w:type="page"/>
      </w:r>
    </w:p>
    <w:p w14:paraId="0DC5C2E3" w14:textId="77777777" w:rsidR="008E04C2" w:rsidRPr="00177203" w:rsidRDefault="008E04C2" w:rsidP="005438CC">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Section 2. Synthesis and characterization</w:t>
      </w:r>
    </w:p>
    <w:p w14:paraId="76D230E3" w14:textId="4BFFC088" w:rsidR="008E04C2" w:rsidRPr="00177203" w:rsidRDefault="008E04C2"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 xml:space="preserve">Section 2.1. Synthesis </w:t>
      </w:r>
      <w:r w:rsidR="0064267F" w:rsidRPr="00177203">
        <w:rPr>
          <w:rFonts w:eastAsia="宋体" w:cs="Times New Roman"/>
          <w:b/>
          <w:bCs/>
          <w:color w:val="000000" w:themeColor="text1"/>
          <w:sz w:val="24"/>
          <w:szCs w:val="24"/>
        </w:rPr>
        <w:t>and characterization of</w:t>
      </w:r>
      <w:r w:rsidRPr="00177203">
        <w:rPr>
          <w:rFonts w:eastAsia="宋体" w:cs="Times New Roman"/>
          <w:b/>
          <w:bCs/>
          <w:color w:val="000000" w:themeColor="text1"/>
          <w:sz w:val="24"/>
          <w:szCs w:val="24"/>
        </w:rPr>
        <w:t xml:space="preserve"> ZIF-Cu</w:t>
      </w:r>
    </w:p>
    <w:p w14:paraId="79DD3ADF" w14:textId="743648DE" w:rsidR="00F037D2" w:rsidRPr="00177203" w:rsidRDefault="00F037D2" w:rsidP="009B7EEF">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1.97 g of 2-methylimidazole </w:t>
      </w:r>
      <w:r w:rsidR="009B7EEF"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dissolved in a mixed solvent of 75 mL methanol and 5 mL deionized water, and the mixture </w:t>
      </w:r>
      <w:r w:rsidR="009B7EEF"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stirred at 300 rpm for 30 min at room temperature. The addition of deionized water moderately adjust</w:t>
      </w:r>
      <w:r w:rsidR="009B7EEF" w:rsidRPr="00177203">
        <w:rPr>
          <w:rFonts w:eastAsia="宋体" w:cs="Times New Roman"/>
          <w:color w:val="000000" w:themeColor="text1"/>
          <w:sz w:val="24"/>
          <w:szCs w:val="24"/>
        </w:rPr>
        <w:t xml:space="preserve">ed </w:t>
      </w:r>
      <w:r w:rsidRPr="00177203">
        <w:rPr>
          <w:rFonts w:eastAsia="宋体" w:cs="Times New Roman"/>
          <w:color w:val="000000" w:themeColor="text1"/>
          <w:sz w:val="24"/>
          <w:szCs w:val="24"/>
        </w:rPr>
        <w:t>the solvent polarity to favor uniform nucleation of ZIF crystals and suppress the formation of oversized aggregates. 1.695 g of zinc nitrate hexahydrate, 80 mg of copper nitrate trihydrate, and 50 mg of polyvinylpyrrolidone (</w:t>
      </w:r>
      <w:r w:rsidR="00481F0F" w:rsidRPr="00177203">
        <w:rPr>
          <w:rFonts w:eastAsia="宋体" w:cs="Times New Roman"/>
          <w:color w:val="000000" w:themeColor="text1"/>
          <w:sz w:val="24"/>
          <w:szCs w:val="24"/>
        </w:rPr>
        <w:t xml:space="preserve">PVP, </w:t>
      </w:r>
      <w:r w:rsidRPr="00177203">
        <w:rPr>
          <w:rFonts w:eastAsia="宋体" w:cs="Times New Roman"/>
          <w:color w:val="000000" w:themeColor="text1"/>
          <w:sz w:val="24"/>
          <w:szCs w:val="24"/>
        </w:rPr>
        <w:t xml:space="preserve">K30) as a dispersant </w:t>
      </w:r>
      <w:r w:rsidR="009B7EEF" w:rsidRPr="00177203">
        <w:rPr>
          <w:rFonts w:eastAsia="宋体" w:cs="Times New Roman"/>
          <w:color w:val="000000" w:themeColor="text1"/>
          <w:sz w:val="24"/>
          <w:szCs w:val="24"/>
        </w:rPr>
        <w:t>were</w:t>
      </w:r>
      <w:r w:rsidRPr="00177203">
        <w:rPr>
          <w:rFonts w:eastAsia="宋体" w:cs="Times New Roman"/>
          <w:color w:val="000000" w:themeColor="text1"/>
          <w:sz w:val="24"/>
          <w:szCs w:val="24"/>
        </w:rPr>
        <w:t xml:space="preserve"> dissolved in 80 mL of methanol, and the mixture </w:t>
      </w:r>
      <w:r w:rsidR="009B7EEF"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sonicated at 300 W and 40 kHz for 45 min to form a clear homogeneous solution. PVP K30 chelate</w:t>
      </w:r>
      <w:r w:rsidR="009B7EEF"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 with </w:t>
      </w:r>
      <w:r w:rsidR="00E63B12" w:rsidRPr="00177203">
        <w:rPr>
          <w:rFonts w:eastAsia="宋体" w:cs="Times New Roman"/>
          <w:color w:val="000000" w:themeColor="text1"/>
          <w:sz w:val="24"/>
          <w:szCs w:val="24"/>
        </w:rPr>
        <w:t>Cu</w:t>
      </w:r>
      <w:r w:rsidR="00E63B12"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ions to prevent their local aggregation during ZIF crystallization.</w:t>
      </w:r>
    </w:p>
    <w:p w14:paraId="37288203" w14:textId="3876F7A0" w:rsidR="00F037D2" w:rsidRPr="00177203" w:rsidRDefault="00F037D2" w:rsidP="00F037D2">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metal salt solution </w:t>
      </w:r>
      <w:r w:rsidR="009B7EEF"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added dropwise into the imidazole solution at 2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via a peristaltic pump to avoid sudden supersaturation of metal ions and irregular crystal growth. The resulting suspension </w:t>
      </w:r>
      <w:r w:rsidR="009B7EEF"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transferred to a sealed glass reactor, maintained statically at 60 °C for 12 h, and then stirred at 200 rpm for another 12 h to promote the growth of well-faceted ZIF crystals and enhance Cu incorporation into the ZIF lattice. The product </w:t>
      </w:r>
      <w:r w:rsidR="009B7EEF" w:rsidRPr="00177203">
        <w:rPr>
          <w:rFonts w:eastAsia="宋体" w:cs="Times New Roman"/>
          <w:color w:val="000000" w:themeColor="text1"/>
          <w:sz w:val="24"/>
          <w:szCs w:val="24"/>
        </w:rPr>
        <w:t xml:space="preserve">was </w:t>
      </w:r>
      <w:r w:rsidRPr="00177203">
        <w:rPr>
          <w:rFonts w:eastAsia="宋体" w:cs="Times New Roman"/>
          <w:color w:val="000000" w:themeColor="text1"/>
          <w:sz w:val="24"/>
          <w:szCs w:val="24"/>
        </w:rPr>
        <w:t>collected by centrifugation at 8000 rpm for 15 min, washed with 50 mL of methanol three times, and vacuum-dried at 60 °C and 2.67 Pa for 24 h to remove residual solvent and prevent pore blockage.</w:t>
      </w:r>
    </w:p>
    <w:p w14:paraId="4AF76F3D" w14:textId="52C20E3C" w:rsidR="00E634A9" w:rsidRPr="00177203" w:rsidRDefault="00F037D2" w:rsidP="00F037D2">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For comparison, ZIF-Fe and ZIF-Co </w:t>
      </w:r>
      <w:r w:rsidR="009B7EEF" w:rsidRPr="00177203">
        <w:rPr>
          <w:rFonts w:eastAsia="宋体" w:cs="Times New Roman"/>
          <w:color w:val="000000" w:themeColor="text1"/>
          <w:sz w:val="24"/>
          <w:szCs w:val="24"/>
        </w:rPr>
        <w:t>were</w:t>
      </w:r>
      <w:r w:rsidRPr="00177203">
        <w:rPr>
          <w:rFonts w:eastAsia="宋体" w:cs="Times New Roman"/>
          <w:color w:val="000000" w:themeColor="text1"/>
          <w:sz w:val="24"/>
          <w:szCs w:val="24"/>
        </w:rPr>
        <w:t xml:space="preserve"> synthesized via the same procedure, with copper nitrate trihydrate replaced by equimolar </w:t>
      </w:r>
      <w:r w:rsidR="00B4296B" w:rsidRPr="00177203">
        <w:rPr>
          <w:rFonts w:eastAsia="宋体" w:cs="Times New Roman"/>
          <w:color w:val="000000" w:themeColor="text1"/>
          <w:sz w:val="24"/>
          <w:szCs w:val="24"/>
        </w:rPr>
        <w:t xml:space="preserve">iron nitrate enneahydrate </w:t>
      </w:r>
      <w:r w:rsidRPr="00177203">
        <w:rPr>
          <w:rFonts w:eastAsia="宋体" w:cs="Times New Roman"/>
          <w:color w:val="000000" w:themeColor="text1"/>
          <w:sz w:val="24"/>
          <w:szCs w:val="24"/>
        </w:rPr>
        <w:t xml:space="preserve">(112 mg) and </w:t>
      </w:r>
      <w:r w:rsidR="00B4296B" w:rsidRPr="00177203">
        <w:rPr>
          <w:rFonts w:eastAsia="宋体" w:cs="Times New Roman"/>
          <w:color w:val="000000" w:themeColor="text1"/>
          <w:sz w:val="24"/>
          <w:szCs w:val="24"/>
        </w:rPr>
        <w:t>cobalt nitrate hexahydrate</w:t>
      </w:r>
      <w:r w:rsidRPr="00177203">
        <w:rPr>
          <w:rFonts w:eastAsia="宋体" w:cs="Times New Roman"/>
          <w:color w:val="000000" w:themeColor="text1"/>
          <w:sz w:val="24"/>
          <w:szCs w:val="24"/>
        </w:rPr>
        <w:t xml:space="preserve"> (72 mg), respectively, to maintain the same metal ion molar concentration.</w:t>
      </w:r>
    </w:p>
    <w:p w14:paraId="34CD6703" w14:textId="643CBC22" w:rsidR="001A61DD" w:rsidRPr="00177203" w:rsidRDefault="00173E02" w:rsidP="00B4296B">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0D1B87F7" wp14:editId="60FBEC37">
            <wp:extent cx="3600000" cy="2687440"/>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000" cy="2687440"/>
                    </a:xfrm>
                    <a:prstGeom prst="rect">
                      <a:avLst/>
                    </a:prstGeom>
                    <a:noFill/>
                    <a:ln>
                      <a:noFill/>
                    </a:ln>
                  </pic:spPr>
                </pic:pic>
              </a:graphicData>
            </a:graphic>
          </wp:inline>
        </w:drawing>
      </w:r>
    </w:p>
    <w:p w14:paraId="6064E8F0" w14:textId="563C1514" w:rsidR="00E634A9" w:rsidRPr="00177203" w:rsidRDefault="00306188" w:rsidP="00E634A9">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202AE" w:rsidRPr="00177203">
        <w:rPr>
          <w:rFonts w:eastAsia="宋体" w:cs="Times New Roman"/>
          <w:b/>
          <w:bCs/>
          <w:color w:val="000000" w:themeColor="text1"/>
          <w:sz w:val="24"/>
          <w:szCs w:val="24"/>
        </w:rPr>
        <w:t xml:space="preserve"> Fig. 1</w:t>
      </w:r>
      <w:r w:rsidR="00D202AE" w:rsidRPr="00177203">
        <w:rPr>
          <w:rFonts w:eastAsia="宋体" w:cs="Times New Roman"/>
          <w:color w:val="000000" w:themeColor="text1"/>
          <w:sz w:val="24"/>
          <w:szCs w:val="24"/>
        </w:rPr>
        <w:t>.</w:t>
      </w:r>
      <w:r w:rsidR="00D202AE" w:rsidRPr="00177203">
        <w:rPr>
          <w:rFonts w:eastAsia="宋体" w:cs="Times New Roman"/>
          <w:sz w:val="24"/>
          <w:szCs w:val="24"/>
        </w:rPr>
        <w:t xml:space="preserve"> </w:t>
      </w:r>
      <w:r w:rsidR="007C3F98" w:rsidRPr="00177203">
        <w:rPr>
          <w:rFonts w:eastAsia="宋体" w:cs="Times New Roman"/>
          <w:color w:val="000000" w:themeColor="text1"/>
          <w:sz w:val="24"/>
          <w:szCs w:val="24"/>
        </w:rPr>
        <w:t xml:space="preserve">Fourier transform infrared (FT-IR) spectrum of ZIF-Cu (KBr pellet method, 400–4000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007C3F98" w:rsidRPr="00177203">
        <w:rPr>
          <w:rFonts w:eastAsia="宋体" w:cs="Times New Roman"/>
          <w:color w:val="000000" w:themeColor="text1"/>
          <w:sz w:val="24"/>
          <w:szCs w:val="24"/>
        </w:rPr>
        <w:t>)</w:t>
      </w:r>
      <w:r w:rsidR="00D202AE" w:rsidRPr="00177203">
        <w:rPr>
          <w:rFonts w:eastAsia="宋体" w:cs="Times New Roman"/>
          <w:color w:val="000000" w:themeColor="text1"/>
          <w:sz w:val="24"/>
          <w:szCs w:val="24"/>
        </w:rPr>
        <w:t>.</w:t>
      </w:r>
    </w:p>
    <w:p w14:paraId="46A18175" w14:textId="3071F07F" w:rsidR="00DB008E" w:rsidRPr="00177203" w:rsidRDefault="00E634A9" w:rsidP="00E634A9">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FT-IR spectroscopy was </w:t>
      </w:r>
      <w:r w:rsidR="00B4296B" w:rsidRPr="00177203">
        <w:rPr>
          <w:rFonts w:eastAsia="宋体" w:cs="Times New Roman"/>
          <w:color w:val="000000" w:themeColor="text1"/>
          <w:sz w:val="24"/>
          <w:szCs w:val="24"/>
        </w:rPr>
        <w:t xml:space="preserve">used </w:t>
      </w:r>
      <w:r w:rsidRPr="00177203">
        <w:rPr>
          <w:rFonts w:eastAsia="宋体" w:cs="Times New Roman"/>
          <w:color w:val="000000" w:themeColor="text1"/>
          <w:sz w:val="24"/>
          <w:szCs w:val="24"/>
        </w:rPr>
        <w:t xml:space="preserve">to verify the successful construction of the Cu-doped zeolitic imidazolate framework (ZIF-Cu) precursor in the range of 400–4000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The broad absorption band at </w:t>
      </w:r>
      <w:r w:rsidR="00B4296B"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3000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is ascribed to O</w:t>
      </w:r>
      <w:r w:rsidR="00BB1477" w:rsidRPr="00177203">
        <w:rPr>
          <w:rFonts w:eastAsia="宋体" w:cs="Times New Roman"/>
          <w:color w:val="000000" w:themeColor="text1"/>
          <w:sz w:val="24"/>
          <w:szCs w:val="24"/>
        </w:rPr>
        <w:t>–</w:t>
      </w:r>
      <w:r w:rsidRPr="00177203">
        <w:rPr>
          <w:rFonts w:eastAsia="宋体" w:cs="Times New Roman"/>
          <w:color w:val="000000" w:themeColor="text1"/>
          <w:sz w:val="24"/>
          <w:szCs w:val="24"/>
        </w:rPr>
        <w:t>H stretching of physiosorbed water in the porous ZIF structure and N-H stretching of the 2-methylimidazole (</w:t>
      </w:r>
      <w:proofErr w:type="spellStart"/>
      <w:r w:rsidRPr="00177203">
        <w:rPr>
          <w:rFonts w:eastAsia="宋体" w:cs="Times New Roman"/>
          <w:color w:val="000000" w:themeColor="text1"/>
          <w:sz w:val="24"/>
          <w:szCs w:val="24"/>
        </w:rPr>
        <w:t>MeIM</w:t>
      </w:r>
      <w:proofErr w:type="spellEnd"/>
      <w:r w:rsidRPr="00177203">
        <w:rPr>
          <w:rFonts w:eastAsia="宋体" w:cs="Times New Roman"/>
          <w:color w:val="000000" w:themeColor="text1"/>
          <w:sz w:val="24"/>
          <w:szCs w:val="24"/>
        </w:rPr>
        <w:t xml:space="preserve">) linker. The intense, well-defined peak at 1500–1700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corresponds to the characteristic C=N stretching of the imidazole ring, a fingerprint marker for the formation of the ZIF topological framework</w:t>
      </w:r>
      <w:r w:rsidR="00050AB7" w:rsidRPr="00177203">
        <w:rPr>
          <w:rFonts w:eastAsia="宋体" w:cs="Times New Roman"/>
          <w:noProof/>
          <w:color w:val="0070C0"/>
          <w:sz w:val="24"/>
          <w:szCs w:val="24"/>
          <w:vertAlign w:val="superscript"/>
        </w:rPr>
        <w:t>2</w:t>
      </w:r>
      <w:r w:rsidRPr="00177203">
        <w:rPr>
          <w:rFonts w:eastAsia="宋体" w:cs="Times New Roman"/>
          <w:color w:val="000000" w:themeColor="text1"/>
          <w:sz w:val="24"/>
          <w:szCs w:val="24"/>
        </w:rPr>
        <w:t xml:space="preserve">. </w:t>
      </w:r>
      <w:r w:rsidR="00F814B2"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istinct medium-strong absorption peaks at 420–480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and 600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w:t>
      </w:r>
      <w:proofErr w:type="gramStart"/>
      <w:r w:rsidRPr="00177203">
        <w:rPr>
          <w:rFonts w:eastAsia="宋体" w:cs="Times New Roman"/>
          <w:color w:val="000000" w:themeColor="text1"/>
          <w:sz w:val="24"/>
          <w:szCs w:val="24"/>
        </w:rPr>
        <w:t>are</w:t>
      </w:r>
      <w:proofErr w:type="gramEnd"/>
      <w:r w:rsidRPr="00177203">
        <w:rPr>
          <w:rFonts w:eastAsia="宋体" w:cs="Times New Roman"/>
          <w:color w:val="000000" w:themeColor="text1"/>
          <w:sz w:val="24"/>
          <w:szCs w:val="24"/>
        </w:rPr>
        <w:t xml:space="preserve"> attributed to the symmetric and asymmetric stretching vibrations of Zn-N and </w:t>
      </w:r>
      <w:r w:rsidR="00E63B12" w:rsidRPr="00177203">
        <w:rPr>
          <w:rFonts w:eastAsia="宋体" w:cs="Times New Roman"/>
          <w:color w:val="000000" w:themeColor="text1"/>
          <w:sz w:val="24"/>
          <w:szCs w:val="24"/>
        </w:rPr>
        <w:t>Cu–N</w:t>
      </w:r>
      <w:r w:rsidRPr="00177203">
        <w:rPr>
          <w:rFonts w:eastAsia="宋体" w:cs="Times New Roman"/>
          <w:color w:val="000000" w:themeColor="text1"/>
          <w:sz w:val="24"/>
          <w:szCs w:val="24"/>
        </w:rPr>
        <w:t xml:space="preserve"> coordination bonds, respectively</w:t>
      </w:r>
      <w:r w:rsidR="00050AB7" w:rsidRPr="00177203">
        <w:rPr>
          <w:rFonts w:eastAsia="宋体" w:cs="Times New Roman"/>
          <w:noProof/>
          <w:color w:val="0070C0"/>
          <w:sz w:val="24"/>
          <w:szCs w:val="24"/>
          <w:vertAlign w:val="superscript"/>
        </w:rPr>
        <w:t>3</w:t>
      </w:r>
      <w:r w:rsidRPr="00177203">
        <w:rPr>
          <w:rFonts w:eastAsia="宋体" w:cs="Times New Roman"/>
          <w:color w:val="000000" w:themeColor="text1"/>
          <w:sz w:val="24"/>
          <w:szCs w:val="24"/>
        </w:rPr>
        <w:t xml:space="preserve">. These shifted peaks from the pristine Zn-N vibration of pure ZIF-8 directly confirm that </w:t>
      </w:r>
      <w:r w:rsidR="00E63B12" w:rsidRPr="00177203">
        <w:rPr>
          <w:rFonts w:eastAsia="宋体" w:cs="Times New Roman"/>
          <w:color w:val="000000" w:themeColor="text1"/>
          <w:sz w:val="24"/>
          <w:szCs w:val="24"/>
        </w:rPr>
        <w:t>Cu</w:t>
      </w:r>
      <w:r w:rsidR="00E63B12"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ions have been successfully incorporated into the ZIF lattice by substituting partial Zn nodes, forming stable </w:t>
      </w:r>
      <w:r w:rsidR="00E63B12" w:rsidRPr="00177203">
        <w:rPr>
          <w:rFonts w:eastAsia="宋体" w:cs="Times New Roman"/>
          <w:color w:val="000000" w:themeColor="text1"/>
          <w:sz w:val="24"/>
          <w:szCs w:val="24"/>
        </w:rPr>
        <w:t>Cu–N</w:t>
      </w:r>
      <w:r w:rsidRPr="00177203">
        <w:rPr>
          <w:rFonts w:eastAsia="宋体" w:cs="Times New Roman"/>
          <w:color w:val="000000" w:themeColor="text1"/>
          <w:sz w:val="24"/>
          <w:szCs w:val="24"/>
        </w:rPr>
        <w:t xml:space="preserve"> coordination bonds without phase-separated aggregates.</w:t>
      </w:r>
      <w:r w:rsidR="00DB008E" w:rsidRPr="00177203">
        <w:rPr>
          <w:rFonts w:eastAsia="宋体" w:cs="Times New Roman"/>
          <w:color w:val="000000" w:themeColor="text1"/>
          <w:sz w:val="24"/>
          <w:szCs w:val="24"/>
        </w:rPr>
        <w:br w:type="page"/>
      </w:r>
    </w:p>
    <w:p w14:paraId="091D25BE" w14:textId="1AD2CAC6" w:rsidR="001A61DD" w:rsidRPr="00177203" w:rsidRDefault="00173E02" w:rsidP="00B4296B">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65AAE649" wp14:editId="042C45C6">
            <wp:extent cx="3600000" cy="2450529"/>
            <wp:effectExtent l="0" t="0" r="63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0000" cy="2450529"/>
                    </a:xfrm>
                    <a:prstGeom prst="rect">
                      <a:avLst/>
                    </a:prstGeom>
                    <a:noFill/>
                    <a:ln>
                      <a:noFill/>
                    </a:ln>
                  </pic:spPr>
                </pic:pic>
              </a:graphicData>
            </a:graphic>
          </wp:inline>
        </w:drawing>
      </w:r>
    </w:p>
    <w:p w14:paraId="3E3DA032" w14:textId="06E6E1C7" w:rsidR="001A61DD"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1A61DD"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2</w:t>
      </w:r>
      <w:r w:rsidR="001A61DD"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Powder X-ray diffraction (XRD) patterns of ZIF-Cu precursor and thermally sculpted tZIF-Cu samples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color w:val="000000" w:themeColor="text1"/>
          <w:sz w:val="24"/>
          <w:szCs w:val="24"/>
        </w:rPr>
        <w:t>) (Cu Kα radiation, λ=0.15406 nm, 2θ=10°–80°). The standard pattern of ZIF-8 (PDF#04-0836) is shown as a reference.</w:t>
      </w:r>
    </w:p>
    <w:p w14:paraId="057DD944" w14:textId="52076A95" w:rsidR="001A61DD" w:rsidRPr="00177203" w:rsidRDefault="001A61DD" w:rsidP="001A61DD">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Powder X-ray diffraction (XRD) patterns elucidate the structural evolution of the ZIF-Cu precursor and its thermally sculpted derivatives (tZIF-Cu) across pyrolysis temperatures. The as-synthesized ZIF-Cu exhibits a series of well-resolved, sharp diffraction peaks at 2θ = 7.3°, 10.4°, 12.7°, and 18.0°, in perfect agreement with the standard sodalite (SOD) topology of ZIF-8 (PDF#04-0836)</w:t>
      </w:r>
      <w:r w:rsidR="00050AB7" w:rsidRPr="00177203">
        <w:rPr>
          <w:rFonts w:eastAsia="宋体" w:cs="Times New Roman"/>
          <w:noProof/>
          <w:color w:val="0070C0"/>
          <w:sz w:val="24"/>
          <w:szCs w:val="24"/>
          <w:vertAlign w:val="superscript"/>
        </w:rPr>
        <w:t>4,5</w:t>
      </w:r>
      <w:r w:rsidRPr="00177203">
        <w:rPr>
          <w:rFonts w:eastAsia="宋体" w:cs="Times New Roman"/>
          <w:color w:val="000000" w:themeColor="text1"/>
          <w:sz w:val="24"/>
          <w:szCs w:val="24"/>
        </w:rPr>
        <w:t>. This confirms the successful construction of a highly crystalline zeolitic imidazolate framework, where Cu doping introduces no impurity phases or disruption to the intrinsic ZIF lattice structure.</w:t>
      </w:r>
    </w:p>
    <w:p w14:paraId="4C08FD92" w14:textId="517F20B0" w:rsidR="00DB008E" w:rsidRPr="00177203" w:rsidRDefault="00E634A9" w:rsidP="00C279C2">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A</w:t>
      </w:r>
      <w:r w:rsidR="001A61DD" w:rsidRPr="00177203">
        <w:rPr>
          <w:rFonts w:eastAsia="宋体" w:cs="Times New Roman"/>
          <w:color w:val="000000" w:themeColor="text1"/>
          <w:sz w:val="24"/>
          <w:szCs w:val="24"/>
        </w:rPr>
        <w:t>ll thermally treated tZIF-Cu samples</w:t>
      </w:r>
      <w:r w:rsidRPr="00177203">
        <w:rPr>
          <w:rFonts w:eastAsia="宋体" w:cs="Times New Roman"/>
          <w:color w:val="000000" w:themeColor="text1"/>
          <w:sz w:val="24"/>
          <w:szCs w:val="24"/>
        </w:rPr>
        <w:t xml:space="preserve"> </w:t>
      </w:r>
      <w:r w:rsidR="001A61DD" w:rsidRPr="00177203">
        <w:rPr>
          <w:rFonts w:eastAsia="宋体" w:cs="Times New Roman"/>
          <w:color w:val="000000" w:themeColor="text1"/>
          <w:sz w:val="24"/>
          <w:szCs w:val="24"/>
        </w:rPr>
        <w:t xml:space="preserve">show complete disappearance of the characteristic ZIF diffraction peaks, with only a broad, weak hump centered at </w:t>
      </w:r>
      <w:r w:rsidR="00E63B12" w:rsidRPr="00177203">
        <w:rPr>
          <w:rFonts w:eastAsia="宋体" w:cs="Times New Roman"/>
          <w:color w:val="000000" w:themeColor="text1"/>
          <w:sz w:val="24"/>
          <w:szCs w:val="24"/>
        </w:rPr>
        <w:t>2θ</w:t>
      </w:r>
      <w:r w:rsidR="001A61DD" w:rsidRPr="00177203">
        <w:rPr>
          <w:rFonts w:eastAsia="宋体" w:cs="Times New Roman"/>
          <w:color w:val="000000" w:themeColor="text1"/>
          <w:sz w:val="24"/>
          <w:szCs w:val="24"/>
        </w:rPr>
        <w:t>~25°corresponding to the (002) plane of low-graphitization amorphous carbon</w:t>
      </w:r>
      <w:r w:rsidR="00050AB7" w:rsidRPr="00177203">
        <w:rPr>
          <w:rFonts w:eastAsia="宋体" w:cs="Times New Roman"/>
          <w:noProof/>
          <w:color w:val="0070C0"/>
          <w:sz w:val="24"/>
          <w:szCs w:val="24"/>
          <w:vertAlign w:val="superscript"/>
        </w:rPr>
        <w:t>6</w:t>
      </w:r>
      <w:r w:rsidR="001A61DD" w:rsidRPr="00177203">
        <w:rPr>
          <w:rFonts w:eastAsia="宋体" w:cs="Times New Roman"/>
          <w:color w:val="000000" w:themeColor="text1"/>
          <w:sz w:val="24"/>
          <w:szCs w:val="24"/>
        </w:rPr>
        <w:t>. This indicates the full collapse of the ZIF framework’s long-range periodic crystalline structure during high-temperature pyrolysis, concurrent with the formation of a nitrogen-doped carbon matrix. Notably, no sharp diffraction peaks assignable to crystalline Zn, ZnO, Cu, CuO, or Cu</w:t>
      </w:r>
      <w:r w:rsidR="00E63B12" w:rsidRPr="00177203">
        <w:rPr>
          <w:rFonts w:eastAsia="宋体" w:cs="Times New Roman"/>
          <w:color w:val="000000" w:themeColor="text1"/>
          <w:sz w:val="24"/>
          <w:szCs w:val="24"/>
          <w:vertAlign w:val="subscript"/>
        </w:rPr>
        <w:t>2</w:t>
      </w:r>
      <w:r w:rsidR="001A61DD" w:rsidRPr="00177203">
        <w:rPr>
          <w:rFonts w:eastAsia="宋体" w:cs="Times New Roman"/>
          <w:color w:val="000000" w:themeColor="text1"/>
          <w:sz w:val="24"/>
          <w:szCs w:val="24"/>
        </w:rPr>
        <w:t>O</w:t>
      </w:r>
      <w:r w:rsidR="00C279C2" w:rsidRPr="00177203">
        <w:rPr>
          <w:rFonts w:eastAsia="宋体" w:cs="Times New Roman"/>
          <w:color w:val="000000" w:themeColor="text1"/>
          <w:sz w:val="24"/>
          <w:szCs w:val="24"/>
        </w:rPr>
        <w:t xml:space="preserve"> were</w:t>
      </w:r>
      <w:r w:rsidR="001A61DD" w:rsidRPr="00177203">
        <w:rPr>
          <w:rFonts w:eastAsia="宋体" w:cs="Times New Roman"/>
          <w:color w:val="000000" w:themeColor="text1"/>
          <w:sz w:val="24"/>
          <w:szCs w:val="24"/>
        </w:rPr>
        <w:t xml:space="preserve"> detected across the entire 2θ range, verifying the absence of aggregated metal/metal oxide nanoclusters. This aligns with the atomically dispersed Cu sites observed via AC HAADF-STEM, confirming that Cu species remain stably anchored in the carbon scaffold without sintering during thermal sculpting.</w:t>
      </w:r>
      <w:r w:rsidR="00DB008E" w:rsidRPr="00177203">
        <w:rPr>
          <w:rFonts w:eastAsia="宋体" w:cs="Times New Roman"/>
          <w:color w:val="000000" w:themeColor="text1"/>
          <w:sz w:val="24"/>
          <w:szCs w:val="24"/>
        </w:rPr>
        <w:br w:type="page"/>
      </w:r>
    </w:p>
    <w:p w14:paraId="5CA83AA0" w14:textId="290C1529" w:rsidR="00110443" w:rsidRPr="00177203" w:rsidRDefault="00173E02" w:rsidP="00B4296B">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237D1AB6" wp14:editId="5942A737">
            <wp:extent cx="3600000" cy="2853754"/>
            <wp:effectExtent l="0" t="0" r="635"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000" cy="2853754"/>
                    </a:xfrm>
                    <a:prstGeom prst="rect">
                      <a:avLst/>
                    </a:prstGeom>
                    <a:noFill/>
                    <a:ln>
                      <a:noFill/>
                    </a:ln>
                  </pic:spPr>
                </pic:pic>
              </a:graphicData>
            </a:graphic>
          </wp:inline>
        </w:drawing>
      </w:r>
    </w:p>
    <w:p w14:paraId="6488B375" w14:textId="40AEB89A" w:rsidR="001A61DD"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110443"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3</w:t>
      </w:r>
      <w:r w:rsidR="00110443" w:rsidRPr="00177203">
        <w:rPr>
          <w:rFonts w:eastAsia="宋体" w:cs="Times New Roman"/>
          <w:color w:val="000000" w:themeColor="text1"/>
          <w:sz w:val="24"/>
          <w:szCs w:val="24"/>
        </w:rPr>
        <w:t xml:space="preserve">. </w:t>
      </w:r>
      <w:r w:rsidR="00523DF0" w:rsidRPr="00177203">
        <w:rPr>
          <w:rFonts w:eastAsia="宋体" w:cs="Times New Roman"/>
          <w:sz w:val="24"/>
          <w:szCs w:val="24"/>
        </w:rPr>
        <w:t>N</w:t>
      </w:r>
      <w:r w:rsidR="00523DF0" w:rsidRPr="00177203">
        <w:rPr>
          <w:rFonts w:eastAsia="宋体" w:cs="Times New Roman"/>
          <w:sz w:val="24"/>
          <w:szCs w:val="24"/>
          <w:vertAlign w:val="subscript"/>
        </w:rPr>
        <w:t>2</w:t>
      </w:r>
      <w:r w:rsidR="007C3F98" w:rsidRPr="00177203">
        <w:rPr>
          <w:rFonts w:eastAsia="宋体" w:cs="Times New Roman"/>
          <w:color w:val="000000" w:themeColor="text1"/>
          <w:sz w:val="24"/>
          <w:szCs w:val="24"/>
        </w:rPr>
        <w:t xml:space="preserve"> adsorption-desorption isotherms (77 K) and corresponding pore size distribution (</w:t>
      </w:r>
      <w:r w:rsidR="00BF2C24" w:rsidRPr="00177203">
        <w:rPr>
          <w:rFonts w:eastAsia="宋体" w:cs="Times New Roman"/>
          <w:color w:val="000000" w:themeColor="text1"/>
          <w:sz w:val="24"/>
          <w:szCs w:val="24"/>
        </w:rPr>
        <w:t>NL</w:t>
      </w:r>
      <w:r w:rsidR="007C3F98" w:rsidRPr="00177203">
        <w:rPr>
          <w:rFonts w:eastAsia="宋体" w:cs="Times New Roman"/>
          <w:color w:val="000000" w:themeColor="text1"/>
          <w:sz w:val="24"/>
          <w:szCs w:val="24"/>
        </w:rPr>
        <w:t>DFT model) of ZIF-Cu.</w:t>
      </w:r>
    </w:p>
    <w:p w14:paraId="47C084F0" w14:textId="4F78D322" w:rsidR="00B4296B" w:rsidRPr="00177203" w:rsidRDefault="00BE06D0" w:rsidP="00DB008E">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w:t>
      </w:r>
      <w:r w:rsidR="00523DF0" w:rsidRPr="00177203">
        <w:rPr>
          <w:rFonts w:eastAsia="宋体" w:cs="Times New Roman"/>
          <w:sz w:val="24"/>
          <w:szCs w:val="24"/>
        </w:rPr>
        <w:t>N</w:t>
      </w:r>
      <w:r w:rsidR="00523DF0"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adsorption-desorption isotherms and corresponding pore size distribution profile elucidate the textural properties of the as-synthesized ZIF-Cu precursor. The isotherm exhibits a typical Type I behavior per IUPAC classification, evidenced by a sharp, steep nitrogen uptake at relative pressure (p/p</w:t>
      </w:r>
      <w:r w:rsidR="00C279C2" w:rsidRPr="00177203">
        <w:rPr>
          <w:rFonts w:eastAsia="宋体" w:cs="Times New Roman"/>
          <w:color w:val="000000" w:themeColor="text1"/>
          <w:sz w:val="24"/>
          <w:szCs w:val="24"/>
          <w:vertAlign w:val="subscript"/>
        </w:rPr>
        <w:t>0</w:t>
      </w:r>
      <w:r w:rsidRPr="00177203">
        <w:rPr>
          <w:rFonts w:eastAsia="宋体" w:cs="Times New Roman"/>
          <w:color w:val="000000" w:themeColor="text1"/>
          <w:sz w:val="24"/>
          <w:szCs w:val="24"/>
        </w:rPr>
        <w:t>) &lt; 0.1, a signature of the well-developed microporous structure inherent to crystalline zeolitic imidazolate frameworks. A gradual rise in adsorption volume at p/p</w:t>
      </w:r>
      <w:r w:rsidR="00C279C2" w:rsidRPr="00177203">
        <w:rPr>
          <w:rFonts w:eastAsia="宋体" w:cs="Times New Roman"/>
          <w:color w:val="000000" w:themeColor="text1"/>
          <w:sz w:val="24"/>
          <w:szCs w:val="24"/>
          <w:vertAlign w:val="subscript"/>
        </w:rPr>
        <w:t>0</w:t>
      </w:r>
      <w:r w:rsidRPr="00177203">
        <w:rPr>
          <w:rFonts w:eastAsia="宋体" w:cs="Times New Roman"/>
          <w:color w:val="000000" w:themeColor="text1"/>
          <w:sz w:val="24"/>
          <w:szCs w:val="24"/>
          <w:vertAlign w:val="subscript"/>
        </w:rPr>
        <w:t xml:space="preserve"> </w:t>
      </w:r>
      <w:r w:rsidRPr="00177203">
        <w:rPr>
          <w:rFonts w:eastAsia="宋体" w:cs="Times New Roman"/>
          <w:color w:val="000000" w:themeColor="text1"/>
          <w:sz w:val="24"/>
          <w:szCs w:val="24"/>
        </w:rPr>
        <w:t xml:space="preserve">= 0.8–1.0, coupled with slight desorption hysteresis, indicates a minor fraction of </w:t>
      </w:r>
      <w:proofErr w:type="spellStart"/>
      <w:r w:rsidRPr="00177203">
        <w:rPr>
          <w:rFonts w:eastAsia="宋体" w:cs="Times New Roman"/>
          <w:color w:val="000000" w:themeColor="text1"/>
          <w:sz w:val="24"/>
          <w:szCs w:val="24"/>
        </w:rPr>
        <w:t>intercrystalline</w:t>
      </w:r>
      <w:proofErr w:type="spellEnd"/>
      <w:r w:rsidRPr="00177203">
        <w:rPr>
          <w:rFonts w:eastAsia="宋体" w:cs="Times New Roman"/>
          <w:color w:val="000000" w:themeColor="text1"/>
          <w:sz w:val="24"/>
          <w:szCs w:val="24"/>
        </w:rPr>
        <w:t xml:space="preserve"> mesopores from the stacking of ZIF-Cu microcrystals.</w:t>
      </w:r>
      <w:r w:rsidR="000E2657"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Brunauer</w:t>
      </w:r>
      <w:r w:rsidR="00C279C2" w:rsidRPr="00177203">
        <w:rPr>
          <w:rFonts w:eastAsia="宋体" w:cs="Times New Roman"/>
          <w:color w:val="000000" w:themeColor="text1"/>
          <w:sz w:val="24"/>
          <w:szCs w:val="24"/>
        </w:rPr>
        <w:t>-</w:t>
      </w:r>
      <w:r w:rsidRPr="00177203">
        <w:rPr>
          <w:rFonts w:eastAsia="宋体" w:cs="Times New Roman"/>
          <w:color w:val="000000" w:themeColor="text1"/>
          <w:sz w:val="24"/>
          <w:szCs w:val="24"/>
        </w:rPr>
        <w:t>Emmett</w:t>
      </w:r>
      <w:r w:rsidR="00C279C2" w:rsidRPr="00177203">
        <w:rPr>
          <w:rFonts w:eastAsia="宋体" w:cs="Times New Roman"/>
          <w:color w:val="000000" w:themeColor="text1"/>
          <w:sz w:val="24"/>
          <w:szCs w:val="24"/>
        </w:rPr>
        <w:t>-</w:t>
      </w:r>
      <w:r w:rsidRPr="00177203">
        <w:rPr>
          <w:rFonts w:eastAsia="宋体" w:cs="Times New Roman"/>
          <w:color w:val="000000" w:themeColor="text1"/>
          <w:sz w:val="24"/>
          <w:szCs w:val="24"/>
        </w:rPr>
        <w:t>Teller (BET) analysis yields a high specific surface area of 1748.5 m</w:t>
      </w:r>
      <w:r w:rsidR="00E63B12"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g</w:t>
      </w:r>
      <w:r w:rsidR="00E63B1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confirming the high porosity and structural integrity of the ZIF lattice. </w:t>
      </w:r>
      <w:r w:rsidR="00B4296B" w:rsidRPr="00177203">
        <w:rPr>
          <w:rFonts w:eastAsia="宋体" w:cs="Times New Roman"/>
          <w:color w:val="000000" w:themeColor="text1"/>
          <w:sz w:val="24"/>
          <w:szCs w:val="24"/>
        </w:rPr>
        <w:t>The pore size distribution (PSD) was derived from the N</w:t>
      </w:r>
      <w:r w:rsidR="00B4296B" w:rsidRPr="00177203">
        <w:rPr>
          <w:rFonts w:eastAsia="宋体" w:cs="Times New Roman"/>
          <w:color w:val="000000" w:themeColor="text1"/>
          <w:sz w:val="24"/>
          <w:szCs w:val="24"/>
          <w:vertAlign w:val="subscript"/>
        </w:rPr>
        <w:t>2</w:t>
      </w:r>
      <w:r w:rsidR="00B4296B" w:rsidRPr="00177203">
        <w:rPr>
          <w:rFonts w:eastAsia="宋体" w:cs="Times New Roman"/>
          <w:color w:val="000000" w:themeColor="text1"/>
          <w:sz w:val="24"/>
          <w:szCs w:val="24"/>
        </w:rPr>
        <w:t xml:space="preserve"> adsorption isotherm at 77 K using the NLDFT method:</w:t>
      </w:r>
    </w:p>
    <w:p w14:paraId="4EE9F5A5" w14:textId="15B1FC28" w:rsidR="00B4296B" w:rsidRPr="00177203" w:rsidRDefault="00000000" w:rsidP="00B4296B">
      <w:pPr>
        <w:spacing w:afterLines="50" w:after="156"/>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exp</m:t>
                  </m:r>
                </m:sub>
              </m:sSub>
              <m:d>
                <m:dPr>
                  <m:ctrlPr>
                    <w:rPr>
                      <w:rFonts w:ascii="Cambria Math" w:eastAsia="宋体" w:hAnsi="Cambria Math" w:cs="Times New Roman"/>
                      <w:i/>
                      <w:color w:val="000000" w:themeColor="text1"/>
                      <w:sz w:val="24"/>
                      <w:szCs w:val="24"/>
                    </w:rPr>
                  </m:ctrlPr>
                </m:dPr>
                <m:e>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p</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w:rPr>
                              <w:rFonts w:ascii="Cambria Math" w:eastAsia="宋体" w:hAnsi="Cambria Math" w:cs="Times New Roman"/>
                              <w:color w:val="000000" w:themeColor="text1"/>
                              <w:sz w:val="24"/>
                              <w:szCs w:val="24"/>
                            </w:rPr>
                            <m:t>0</m:t>
                          </m:r>
                        </m:sub>
                      </m:sSub>
                    </m:den>
                  </m:f>
                </m:e>
              </m:d>
              <m:r>
                <w:rPr>
                  <w:rFonts w:ascii="Cambria Math" w:eastAsia="宋体" w:hAnsi="Cambria Math" w:cs="Times New Roman"/>
                  <w:color w:val="000000" w:themeColor="text1"/>
                  <w:sz w:val="24"/>
                  <w:szCs w:val="24"/>
                </w:rPr>
                <m:t>=</m:t>
              </m:r>
              <m:nary>
                <m:naryPr>
                  <m:limLoc m:val="subSup"/>
                  <m:ctrlPr>
                    <w:rPr>
                      <w:rFonts w:ascii="Cambria Math" w:eastAsia="宋体" w:hAnsi="Cambria Math" w:cs="Times New Roman"/>
                      <w:i/>
                      <w:color w:val="000000" w:themeColor="text1"/>
                      <w:sz w:val="24"/>
                      <w:szCs w:val="24"/>
                    </w:rPr>
                  </m:ctrlPr>
                </m:naryPr>
                <m:sub>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min</m:t>
                      </m:r>
                    </m:sub>
                  </m:sSub>
                </m:sub>
                <m:sup>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D</m:t>
                      </m:r>
                    </m:e>
                    <m:sub>
                      <m:r>
                        <w:rPr>
                          <w:rFonts w:ascii="Cambria Math" w:eastAsia="宋体" w:hAnsi="Cambria Math" w:cs="Times New Roman"/>
                          <w:color w:val="000000" w:themeColor="text1"/>
                          <w:sz w:val="24"/>
                          <w:szCs w:val="24"/>
                        </w:rPr>
                        <m:t>max</m:t>
                      </m:r>
                    </m:sub>
                  </m:sSub>
                </m:sup>
                <m:e>
                  <m:r>
                    <w:rPr>
                      <w:rFonts w:ascii="Cambria Math" w:eastAsia="宋体" w:hAnsi="Cambria Math" w:cs="Times New Roman"/>
                      <w:color w:val="000000" w:themeColor="text1"/>
                      <w:sz w:val="24"/>
                      <w:szCs w:val="24"/>
                    </w:rPr>
                    <m:t>K</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D,</m:t>
                      </m:r>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p</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w:rPr>
                                  <w:rFonts w:ascii="Cambria Math" w:eastAsia="宋体" w:hAnsi="Cambria Math" w:cs="Times New Roman"/>
                                  <w:color w:val="000000" w:themeColor="text1"/>
                                  <w:sz w:val="24"/>
                                  <w:szCs w:val="24"/>
                                </w:rPr>
                                <m:t>0</m:t>
                              </m:r>
                            </m:sub>
                          </m:sSub>
                        </m:den>
                      </m:f>
                    </m:e>
                  </m:d>
                </m:e>
              </m:nary>
              <m:r>
                <w:rPr>
                  <w:rFonts w:ascii="Cambria Math" w:eastAsia="宋体" w:hAnsi="Cambria Math" w:cs="Times New Roman"/>
                  <w:color w:val="000000" w:themeColor="text1"/>
                  <w:sz w:val="24"/>
                  <w:szCs w:val="24"/>
                </w:rPr>
                <m:t>f</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D</m:t>
                  </m:r>
                </m:e>
              </m:d>
              <m:r>
                <w:rPr>
                  <w:rFonts w:ascii="Cambria Math" w:eastAsia="宋体" w:hAnsi="Cambria Math" w:cs="Times New Roman"/>
                  <w:color w:val="000000" w:themeColor="text1"/>
                  <w:sz w:val="24"/>
                  <w:szCs w:val="24"/>
                </w:rPr>
                <m:t>dD#(1)</m:t>
              </m:r>
            </m:e>
          </m:eqArr>
        </m:oMath>
      </m:oMathPara>
    </w:p>
    <w:p w14:paraId="103CC5BF" w14:textId="14D8B367" w:rsidR="00B4296B" w:rsidRPr="00177203" w:rsidRDefault="00B4296B" w:rsidP="002D0E17">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exp</m:t>
            </m:r>
          </m:sub>
        </m:sSub>
      </m:oMath>
      <w:r w:rsidRPr="00177203">
        <w:rPr>
          <w:rFonts w:eastAsia="宋体" w:cs="Times New Roman"/>
          <w:color w:val="000000" w:themeColor="text1"/>
          <w:sz w:val="24"/>
          <w:szCs w:val="24"/>
        </w:rPr>
        <w:t xml:space="preserve"> is the experimental N</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adsorption capacity (cm</w:t>
      </w:r>
      <w:r w:rsidRPr="00177203">
        <w:rPr>
          <w:rFonts w:eastAsia="宋体" w:cs="Times New Roman"/>
          <w:color w:val="000000" w:themeColor="text1"/>
          <w:sz w:val="24"/>
          <w:szCs w:val="24"/>
          <w:vertAlign w:val="superscript"/>
        </w:rPr>
        <w:t>3</w:t>
      </w:r>
      <w:r w:rsidRPr="00177203">
        <w:rPr>
          <w:rFonts w:eastAsia="宋体" w:cs="Times New Roman"/>
          <w:color w:val="000000" w:themeColor="text1"/>
          <w:sz w:val="24"/>
          <w:szCs w:val="24"/>
        </w:rPr>
        <w:t xml:space="preserve"> g</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m:oMath>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p</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w:rPr>
                    <w:rFonts w:ascii="Cambria Math" w:eastAsia="宋体" w:hAnsi="Cambria Math" w:cs="Times New Roman"/>
                    <w:color w:val="000000" w:themeColor="text1"/>
                    <w:sz w:val="24"/>
                    <w:szCs w:val="24"/>
                  </w:rPr>
                  <m:t>0</m:t>
                </m:r>
              </m:sub>
            </m:sSub>
          </m:den>
        </m:f>
      </m:oMath>
      <w:r w:rsidRPr="00177203">
        <w:rPr>
          <w:rFonts w:eastAsia="宋体" w:cs="Times New Roman"/>
          <w:color w:val="000000" w:themeColor="text1"/>
          <w:sz w:val="24"/>
          <w:szCs w:val="24"/>
        </w:rPr>
        <w:t xml:space="preserve"> is the relative pressure, </w:t>
      </w:r>
      <m:oMath>
        <m:r>
          <w:rPr>
            <w:rFonts w:ascii="Cambria Math" w:eastAsia="宋体" w:hAnsi="Cambria Math" w:cs="Times New Roman"/>
            <w:color w:val="000000" w:themeColor="text1"/>
            <w:sz w:val="24"/>
            <w:szCs w:val="24"/>
          </w:rPr>
          <m:t>K</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D,</m:t>
            </m:r>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p</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p</m:t>
                    </m:r>
                  </m:e>
                  <m:sub>
                    <m:r>
                      <w:rPr>
                        <w:rFonts w:ascii="Cambria Math" w:eastAsia="宋体" w:hAnsi="Cambria Math" w:cs="Times New Roman"/>
                        <w:color w:val="000000" w:themeColor="text1"/>
                        <w:sz w:val="24"/>
                        <w:szCs w:val="24"/>
                      </w:rPr>
                      <m:t>0</m:t>
                    </m:r>
                  </m:sub>
                </m:sSub>
              </m:den>
            </m:f>
          </m:e>
        </m:d>
      </m:oMath>
      <w:r w:rsidRPr="00177203">
        <w:rPr>
          <w:rFonts w:eastAsia="宋体" w:cs="Times New Roman"/>
          <w:color w:val="000000" w:themeColor="text1"/>
          <w:sz w:val="24"/>
          <w:szCs w:val="24"/>
        </w:rPr>
        <w:t xml:space="preserve"> is the NLDFT kernel for a cylindrical/slit pore of diameter D (</w:t>
      </w:r>
      <w:r w:rsidR="002D0E17" w:rsidRPr="00177203">
        <w:rPr>
          <w:rFonts w:eastAsia="宋体" w:cs="Times New Roman"/>
          <w:color w:val="000000" w:themeColor="text1"/>
          <w:sz w:val="24"/>
          <w:szCs w:val="24"/>
        </w:rPr>
        <w:t>cm</w:t>
      </w:r>
      <w:r w:rsidR="002D0E17" w:rsidRPr="00177203">
        <w:rPr>
          <w:rFonts w:eastAsia="宋体" w:cs="Times New Roman"/>
          <w:color w:val="000000" w:themeColor="text1"/>
          <w:sz w:val="24"/>
          <w:szCs w:val="24"/>
          <w:vertAlign w:val="superscript"/>
        </w:rPr>
        <w:t>3</w:t>
      </w:r>
      <w:r w:rsidR="002D0E17" w:rsidRPr="00177203">
        <w:rPr>
          <w:rFonts w:eastAsia="宋体" w:cs="Times New Roman"/>
          <w:color w:val="000000" w:themeColor="text1"/>
          <w:sz w:val="24"/>
          <w:szCs w:val="24"/>
        </w:rPr>
        <w:t xml:space="preserve"> g</w:t>
      </w:r>
      <w:r w:rsidR="002D0E17"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m:oMath>
        <m:r>
          <w:rPr>
            <w:rFonts w:ascii="Cambria Math" w:eastAsia="宋体" w:hAnsi="Cambria Math" w:cs="Times New Roman"/>
            <w:color w:val="000000" w:themeColor="text1"/>
            <w:sz w:val="24"/>
            <w:szCs w:val="24"/>
          </w:rPr>
          <m:t>f</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D</m:t>
            </m:r>
          </m:e>
        </m:d>
      </m:oMath>
      <w:r w:rsidRPr="00177203">
        <w:rPr>
          <w:rFonts w:eastAsia="宋体" w:cs="Times New Roman"/>
          <w:color w:val="000000" w:themeColor="text1"/>
          <w:sz w:val="24"/>
          <w:szCs w:val="24"/>
        </w:rPr>
        <w:t xml:space="preserve"> is the pore size distribution (</w:t>
      </w:r>
      <w:r w:rsidR="002D0E17" w:rsidRPr="00177203">
        <w:rPr>
          <w:rFonts w:eastAsia="宋体" w:cs="Times New Roman"/>
          <w:color w:val="000000" w:themeColor="text1"/>
          <w:sz w:val="24"/>
          <w:szCs w:val="24"/>
        </w:rPr>
        <w:t>cm</w:t>
      </w:r>
      <w:r w:rsidR="002D0E17" w:rsidRPr="00177203">
        <w:rPr>
          <w:rFonts w:eastAsia="宋体" w:cs="Times New Roman"/>
          <w:color w:val="000000" w:themeColor="text1"/>
          <w:sz w:val="24"/>
          <w:szCs w:val="24"/>
          <w:vertAlign w:val="superscript"/>
        </w:rPr>
        <w:t>3</w:t>
      </w:r>
      <w:r w:rsidR="002D0E17" w:rsidRPr="00177203">
        <w:rPr>
          <w:rFonts w:eastAsia="宋体" w:cs="Times New Roman"/>
          <w:color w:val="000000" w:themeColor="text1"/>
          <w:sz w:val="24"/>
          <w:szCs w:val="24"/>
        </w:rPr>
        <w:t xml:space="preserve"> g</w:t>
      </w:r>
      <w:r w:rsidR="002D0E17" w:rsidRPr="00177203">
        <w:rPr>
          <w:rFonts w:eastAsia="宋体" w:cs="Times New Roman"/>
          <w:color w:val="000000" w:themeColor="text1"/>
          <w:sz w:val="24"/>
          <w:szCs w:val="24"/>
          <w:vertAlign w:val="superscript"/>
        </w:rPr>
        <w:t xml:space="preserve">–1 </w:t>
      </w:r>
      <w:r w:rsidR="002D0E17" w:rsidRPr="00177203">
        <w:rPr>
          <w:rFonts w:eastAsia="宋体" w:cs="Times New Roman"/>
          <w:color w:val="000000" w:themeColor="text1"/>
          <w:sz w:val="24"/>
          <w:szCs w:val="24"/>
        </w:rPr>
        <w:t>nm</w:t>
      </w:r>
      <w:r w:rsidR="002D0E17"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w:t>
      </w:r>
      <w:r w:rsidRPr="00177203">
        <w:rPr>
          <w:rFonts w:eastAsia="宋体" w:cs="Times New Roman"/>
          <w:i/>
          <w:iCs/>
          <w:color w:val="000000" w:themeColor="text1"/>
          <w:sz w:val="24"/>
          <w:szCs w:val="24"/>
        </w:rPr>
        <w:t>D</w:t>
      </w:r>
      <w:r w:rsidRPr="00177203">
        <w:rPr>
          <w:rFonts w:eastAsia="宋体" w:cs="Times New Roman"/>
          <w:color w:val="000000" w:themeColor="text1"/>
          <w:sz w:val="24"/>
          <w:szCs w:val="24"/>
        </w:rPr>
        <w:t xml:space="preserve"> is the pore diameter (nm).</w:t>
      </w:r>
    </w:p>
    <w:p w14:paraId="29941CBE" w14:textId="08C97D73" w:rsidR="00110443" w:rsidRPr="00177203" w:rsidRDefault="00BE06D0" w:rsidP="00DB008E">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w:t>
      </w:r>
      <w:r w:rsidR="00BF2C24" w:rsidRPr="00177203">
        <w:rPr>
          <w:rFonts w:eastAsia="宋体" w:cs="Times New Roman"/>
          <w:color w:val="000000" w:themeColor="text1"/>
          <w:sz w:val="24"/>
          <w:szCs w:val="24"/>
        </w:rPr>
        <w:t>NL</w:t>
      </w:r>
      <w:r w:rsidRPr="00177203">
        <w:rPr>
          <w:rFonts w:eastAsia="宋体" w:cs="Times New Roman"/>
          <w:color w:val="000000" w:themeColor="text1"/>
          <w:sz w:val="24"/>
          <w:szCs w:val="24"/>
        </w:rPr>
        <w:t>DFT</w:t>
      </w:r>
      <w:r w:rsidR="00E51121"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calculated pore size distribution (inset) reveals a dominant narrow pore size distribution centered at ~1.5 nm</w:t>
      </w:r>
      <w:r w:rsidR="00050AB7" w:rsidRPr="00177203">
        <w:rPr>
          <w:rFonts w:eastAsia="宋体" w:cs="Times New Roman"/>
          <w:noProof/>
          <w:color w:val="0070C0"/>
          <w:sz w:val="24"/>
          <w:szCs w:val="24"/>
          <w:vertAlign w:val="superscript"/>
        </w:rPr>
        <w:t>1</w:t>
      </w:r>
      <w:r w:rsidRPr="00177203">
        <w:rPr>
          <w:rFonts w:eastAsia="宋体" w:cs="Times New Roman"/>
          <w:color w:val="000000" w:themeColor="text1"/>
          <w:sz w:val="24"/>
          <w:szCs w:val="24"/>
        </w:rPr>
        <w:t xml:space="preserve">, matching the intrinsic micropore dimension of the SOD-type ZIF-8 framework. </w:t>
      </w:r>
      <w:r w:rsidR="00110443" w:rsidRPr="00177203">
        <w:rPr>
          <w:rFonts w:eastAsia="宋体" w:cs="Times New Roman"/>
          <w:color w:val="000000" w:themeColor="text1"/>
          <w:sz w:val="24"/>
          <w:szCs w:val="24"/>
        </w:rPr>
        <w:br w:type="page"/>
      </w:r>
    </w:p>
    <w:p w14:paraId="7A00E665" w14:textId="15F95AE4" w:rsidR="00191A6E" w:rsidRPr="00177203" w:rsidRDefault="00550783" w:rsidP="00CE3C10">
      <w:pPr>
        <w:spacing w:afterLines="50" w:after="156"/>
        <w:rPr>
          <w:rFonts w:eastAsia="宋体" w:cs="Times New Roman"/>
          <w:noProof/>
          <w:sz w:val="24"/>
          <w:szCs w:val="24"/>
        </w:rPr>
      </w:pPr>
      <w:r w:rsidRPr="00177203">
        <w:rPr>
          <w:rFonts w:cs="Times New Roman"/>
          <w:noProof/>
        </w:rPr>
        <w:drawing>
          <wp:inline distT="0" distB="0" distL="0" distR="0" wp14:anchorId="0BD59EEB" wp14:editId="139F2ED9">
            <wp:extent cx="5278120" cy="39477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120" cy="3947795"/>
                    </a:xfrm>
                    <a:prstGeom prst="rect">
                      <a:avLst/>
                    </a:prstGeom>
                    <a:noFill/>
                    <a:ln>
                      <a:noFill/>
                    </a:ln>
                  </pic:spPr>
                </pic:pic>
              </a:graphicData>
            </a:graphic>
          </wp:inline>
        </w:drawing>
      </w:r>
    </w:p>
    <w:p w14:paraId="4650D1CF" w14:textId="1A178816" w:rsidR="000067E3"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191A6E"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4</w:t>
      </w:r>
      <w:r w:rsidR="00191A6E"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Scanning electron microscopy (SEM) images of (a, b) pristine ZIF precursor and (c, d) ZIF-Cu. All scale bars are 250 nm.</w:t>
      </w:r>
    </w:p>
    <w:p w14:paraId="4CA646D5" w14:textId="30C2A641" w:rsidR="00110443" w:rsidRPr="00177203" w:rsidRDefault="000067E3" w:rsidP="00425F21">
      <w:pPr>
        <w:spacing w:afterLines="50" w:after="156"/>
        <w:ind w:firstLine="420"/>
        <w:rPr>
          <w:rFonts w:eastAsia="宋体" w:cs="Times New Roman"/>
          <w:noProof/>
          <w:sz w:val="24"/>
          <w:szCs w:val="24"/>
        </w:rPr>
      </w:pPr>
      <w:r w:rsidRPr="00177203">
        <w:rPr>
          <w:rFonts w:eastAsia="宋体" w:cs="Times New Roman"/>
          <w:noProof/>
          <w:sz w:val="24"/>
          <w:szCs w:val="24"/>
        </w:rPr>
        <w:t>Scanning electron microscopy (SEM) reveals the morphological evolution of the ZIF framework through Cu doping and thermal processing. Pristine ZIF and the as-synthesized ZIF-Cu precursor display uniform, well-defined rhombic dodecahedral microcrystals with smooth facets and narrow size distribution, characteristic of the sodalite topology of ZIF-8</w:t>
      </w:r>
      <w:r w:rsidR="007F565F" w:rsidRPr="00177203">
        <w:rPr>
          <w:rFonts w:eastAsia="宋体" w:cs="Times New Roman"/>
          <w:noProof/>
          <w:sz w:val="24"/>
          <w:szCs w:val="24"/>
        </w:rPr>
        <w:t xml:space="preserve"> (</w:t>
      </w:r>
      <w:r w:rsidR="00306188" w:rsidRPr="00177203">
        <w:rPr>
          <w:rFonts w:eastAsia="宋体" w:cs="Times New Roman"/>
          <w:noProof/>
          <w:sz w:val="24"/>
          <w:szCs w:val="24"/>
        </w:rPr>
        <w:t>Supplementary</w:t>
      </w:r>
      <w:r w:rsidR="007F565F" w:rsidRPr="00177203">
        <w:rPr>
          <w:rFonts w:eastAsia="宋体" w:cs="Times New Roman"/>
          <w:noProof/>
          <w:sz w:val="24"/>
          <w:szCs w:val="24"/>
        </w:rPr>
        <w:t xml:space="preserve"> Fig. 4a, b)</w:t>
      </w:r>
      <w:r w:rsidRPr="00177203">
        <w:rPr>
          <w:rFonts w:eastAsia="宋体" w:cs="Times New Roman"/>
          <w:noProof/>
          <w:sz w:val="24"/>
          <w:szCs w:val="24"/>
        </w:rPr>
        <w:t xml:space="preserve">. </w:t>
      </w:r>
      <w:r w:rsidR="00534D12" w:rsidRPr="00177203">
        <w:rPr>
          <w:rFonts w:eastAsia="宋体" w:cs="Times New Roman"/>
          <w:noProof/>
          <w:sz w:val="24"/>
          <w:szCs w:val="24"/>
        </w:rPr>
        <w:t>Cu</w:t>
      </w:r>
      <w:r w:rsidR="00534D12" w:rsidRPr="00177203">
        <w:rPr>
          <w:rFonts w:eastAsia="宋体" w:cs="Times New Roman"/>
          <w:noProof/>
          <w:sz w:val="24"/>
          <w:szCs w:val="24"/>
          <w:vertAlign w:val="superscript"/>
        </w:rPr>
        <w:t>2+</w:t>
      </w:r>
      <w:r w:rsidR="00534D12" w:rsidRPr="00177203">
        <w:rPr>
          <w:rFonts w:eastAsia="宋体" w:cs="Times New Roman"/>
          <w:noProof/>
          <w:sz w:val="24"/>
          <w:szCs w:val="24"/>
        </w:rPr>
        <w:t xml:space="preserve"> ions (0.71 Å ionic radius) partially substitute Zn</w:t>
      </w:r>
      <w:r w:rsidR="00534D12" w:rsidRPr="00177203">
        <w:rPr>
          <w:rFonts w:eastAsia="宋体" w:cs="Times New Roman"/>
          <w:noProof/>
          <w:sz w:val="24"/>
          <w:szCs w:val="24"/>
          <w:vertAlign w:val="superscript"/>
        </w:rPr>
        <w:t>2+</w:t>
      </w:r>
      <w:r w:rsidR="00534D12" w:rsidRPr="00177203">
        <w:rPr>
          <w:rFonts w:eastAsia="宋体" w:cs="Times New Roman"/>
          <w:noProof/>
          <w:sz w:val="24"/>
          <w:szCs w:val="24"/>
        </w:rPr>
        <w:t xml:space="preserve"> (0.74 Å) in ZIF-8's tetrahedral nodes, disrupting the regular coordination environment and growth kinetics. This substitution increases nucleation density while inhibiting anisotropic crystal growth, leading to smaller particles. Meanwhile, Cu</w:t>
      </w:r>
      <w:r w:rsidR="00534D12" w:rsidRPr="00177203">
        <w:rPr>
          <w:rFonts w:eastAsia="宋体" w:cs="Times New Roman"/>
          <w:noProof/>
          <w:sz w:val="24"/>
          <w:szCs w:val="24"/>
          <w:vertAlign w:val="superscript"/>
        </w:rPr>
        <w:t>2+</w:t>
      </w:r>
      <w:r w:rsidR="00534D12" w:rsidRPr="00177203">
        <w:rPr>
          <w:rFonts w:eastAsia="宋体" w:cs="Times New Roman"/>
          <w:noProof/>
          <w:sz w:val="24"/>
          <w:szCs w:val="24"/>
        </w:rPr>
        <w:t>-imidazolate coordination modulates surface energy, favoring spherical/irregular morphologies over the thermodynamically stable dodecahedral structure. The degree of spheroidization and size reduction depends on Cu</w:t>
      </w:r>
      <w:r w:rsidR="00534D12" w:rsidRPr="00177203">
        <w:rPr>
          <w:rFonts w:eastAsia="宋体" w:cs="Times New Roman"/>
          <w:noProof/>
          <w:sz w:val="24"/>
          <w:szCs w:val="24"/>
          <w:vertAlign w:val="superscript"/>
        </w:rPr>
        <w:t>2+</w:t>
      </w:r>
      <w:r w:rsidR="00534D12" w:rsidRPr="00177203">
        <w:rPr>
          <w:rFonts w:eastAsia="宋体" w:cs="Times New Roman"/>
          <w:noProof/>
          <w:sz w:val="24"/>
          <w:szCs w:val="24"/>
        </w:rPr>
        <w:t xml:space="preserve"> concentration, reaction conditions, and substitution extent </w:t>
      </w:r>
      <w:r w:rsidR="00C279C2" w:rsidRPr="00177203">
        <w:rPr>
          <w:rFonts w:eastAsia="宋体" w:cs="Times New Roman"/>
          <w:noProof/>
          <w:sz w:val="24"/>
          <w:szCs w:val="24"/>
        </w:rPr>
        <w:t>(</w:t>
      </w:r>
      <w:r w:rsidR="00306188" w:rsidRPr="00177203">
        <w:rPr>
          <w:rFonts w:eastAsia="宋体" w:cs="Times New Roman"/>
          <w:noProof/>
          <w:sz w:val="24"/>
          <w:szCs w:val="24"/>
        </w:rPr>
        <w:t>Supplementary</w:t>
      </w:r>
      <w:r w:rsidR="00C279C2" w:rsidRPr="00177203">
        <w:rPr>
          <w:rFonts w:eastAsia="宋体" w:cs="Times New Roman"/>
          <w:noProof/>
          <w:sz w:val="24"/>
          <w:szCs w:val="24"/>
        </w:rPr>
        <w:t xml:space="preserve"> Fig. 4c, d)</w:t>
      </w:r>
      <w:r w:rsidRPr="00177203">
        <w:rPr>
          <w:rFonts w:eastAsia="宋体" w:cs="Times New Roman"/>
          <w:noProof/>
          <w:sz w:val="24"/>
          <w:szCs w:val="24"/>
        </w:rPr>
        <w:t>.</w:t>
      </w:r>
      <w:r w:rsidR="00110443" w:rsidRPr="00177203">
        <w:rPr>
          <w:rFonts w:eastAsia="宋体" w:cs="Times New Roman"/>
          <w:noProof/>
          <w:sz w:val="24"/>
          <w:szCs w:val="24"/>
        </w:rPr>
        <w:br w:type="page"/>
      </w:r>
    </w:p>
    <w:p w14:paraId="0836C6A3" w14:textId="0D00C455" w:rsidR="00BE06D0" w:rsidRPr="00177203" w:rsidRDefault="00BE119E" w:rsidP="00BE06D0">
      <w:pPr>
        <w:spacing w:afterLines="50" w:after="156"/>
        <w:rPr>
          <w:rFonts w:eastAsia="宋体" w:cs="Times New Roman"/>
          <w:noProof/>
          <w:sz w:val="24"/>
          <w:szCs w:val="24"/>
        </w:rPr>
      </w:pPr>
      <w:r w:rsidRPr="00177203">
        <w:rPr>
          <w:rFonts w:cs="Times New Roman"/>
          <w:noProof/>
        </w:rPr>
        <w:drawing>
          <wp:inline distT="0" distB="0" distL="0" distR="0" wp14:anchorId="70B6F84B" wp14:editId="148A5400">
            <wp:extent cx="5278120" cy="264819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62402"/>
                    <a:stretch/>
                  </pic:blipFill>
                  <pic:spPr bwMode="auto">
                    <a:xfrm>
                      <a:off x="0" y="0"/>
                      <a:ext cx="5278120" cy="2648198"/>
                    </a:xfrm>
                    <a:prstGeom prst="rect">
                      <a:avLst/>
                    </a:prstGeom>
                    <a:noFill/>
                    <a:ln>
                      <a:noFill/>
                    </a:ln>
                    <a:extLst>
                      <a:ext uri="{53640926-AAD7-44D8-BBD7-CCE9431645EC}">
                        <a14:shadowObscured xmlns:a14="http://schemas.microsoft.com/office/drawing/2010/main"/>
                      </a:ext>
                    </a:extLst>
                  </pic:spPr>
                </pic:pic>
              </a:graphicData>
            </a:graphic>
          </wp:inline>
        </w:drawing>
      </w:r>
    </w:p>
    <w:p w14:paraId="7D8B805B" w14:textId="22A3F5E3" w:rsidR="007C3F98" w:rsidRPr="00177203" w:rsidRDefault="00306188" w:rsidP="000E2657">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8572D5"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5</w:t>
      </w:r>
      <w:r w:rsidR="008572D5"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Transmission electron microscopy (TEM) images of (a) ZIF precursor and (b) </w:t>
      </w:r>
      <w:r w:rsidR="00E63B12" w:rsidRPr="00177203">
        <w:rPr>
          <w:rFonts w:eastAsia="宋体" w:cs="Times New Roman"/>
          <w:color w:val="000000" w:themeColor="text1"/>
          <w:sz w:val="24"/>
          <w:szCs w:val="24"/>
        </w:rPr>
        <w:t>ZIF-Cu</w:t>
      </w:r>
      <w:r w:rsidR="007C3F98" w:rsidRPr="00177203">
        <w:rPr>
          <w:rFonts w:eastAsia="宋体" w:cs="Times New Roman"/>
          <w:color w:val="000000" w:themeColor="text1"/>
          <w:sz w:val="24"/>
          <w:szCs w:val="24"/>
        </w:rPr>
        <w:t>. All scale bars are 50 nm.</w:t>
      </w:r>
    </w:p>
    <w:p w14:paraId="151C3FC0" w14:textId="243715B1" w:rsidR="000067E3" w:rsidRPr="00177203" w:rsidRDefault="00506EB7" w:rsidP="007C3F98">
      <w:pPr>
        <w:spacing w:afterLines="50" w:after="156"/>
        <w:ind w:firstLine="420"/>
        <w:rPr>
          <w:rFonts w:eastAsia="宋体" w:cs="Times New Roman"/>
          <w:noProof/>
          <w:sz w:val="24"/>
          <w:szCs w:val="24"/>
        </w:rPr>
      </w:pPr>
      <w:r w:rsidRPr="00177203">
        <w:rPr>
          <w:rFonts w:eastAsia="宋体" w:cs="Times New Roman"/>
          <w:noProof/>
          <w:sz w:val="24"/>
          <w:szCs w:val="24"/>
        </w:rPr>
        <w:t xml:space="preserve">TEM further elucidates the microstructure of </w:t>
      </w:r>
      <w:r w:rsidR="00C279C2" w:rsidRPr="00177203">
        <w:rPr>
          <w:rFonts w:eastAsia="宋体" w:cs="Times New Roman"/>
          <w:noProof/>
          <w:sz w:val="24"/>
          <w:szCs w:val="24"/>
        </w:rPr>
        <w:t xml:space="preserve">ZIF precursor and </w:t>
      </w:r>
      <w:r w:rsidRPr="00177203">
        <w:rPr>
          <w:rFonts w:eastAsia="宋体" w:cs="Times New Roman"/>
          <w:noProof/>
          <w:sz w:val="24"/>
          <w:szCs w:val="24"/>
        </w:rPr>
        <w:t>ZIF-Cu. No high-contrast crystalline nanoparticles corresponding to Cu/Zn metals or their oxides are observed, in full agreement with XRD results.</w:t>
      </w:r>
    </w:p>
    <w:p w14:paraId="7EB9EAC6" w14:textId="77777777" w:rsidR="000067E3" w:rsidRPr="00177203" w:rsidRDefault="000067E3">
      <w:pPr>
        <w:widowControl/>
        <w:spacing w:line="240" w:lineRule="auto"/>
        <w:jc w:val="left"/>
        <w:rPr>
          <w:rFonts w:eastAsia="宋体" w:cs="Times New Roman"/>
          <w:noProof/>
          <w:sz w:val="24"/>
          <w:szCs w:val="24"/>
        </w:rPr>
      </w:pPr>
      <w:r w:rsidRPr="00177203">
        <w:rPr>
          <w:rFonts w:eastAsia="宋体" w:cs="Times New Roman"/>
          <w:noProof/>
          <w:sz w:val="24"/>
          <w:szCs w:val="24"/>
        </w:rPr>
        <w:br w:type="page"/>
      </w:r>
    </w:p>
    <w:p w14:paraId="78AA7E08" w14:textId="06C6BBEC" w:rsidR="008E04C2" w:rsidRPr="00177203" w:rsidRDefault="008E04C2"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 xml:space="preserve">Section 2.2. Synthesis and characterization of </w:t>
      </w:r>
      <w:r w:rsidR="00261DAE" w:rsidRPr="00177203">
        <w:rPr>
          <w:rFonts w:eastAsia="宋体" w:cs="Times New Roman"/>
          <w:b/>
          <w:bCs/>
          <w:color w:val="000000" w:themeColor="text1"/>
          <w:sz w:val="24"/>
          <w:szCs w:val="24"/>
        </w:rPr>
        <w:t>tZIF-Cu</w:t>
      </w:r>
    </w:p>
    <w:p w14:paraId="48822A31" w14:textId="44AFF771" w:rsidR="000E2657" w:rsidRPr="00177203" w:rsidRDefault="00311F84" w:rsidP="000E2657">
      <w:pPr>
        <w:spacing w:afterLines="50" w:after="156"/>
        <w:rPr>
          <w:rFonts w:eastAsia="宋体" w:cs="Times New Roman"/>
          <w:b/>
          <w:bCs/>
          <w:color w:val="000000" w:themeColor="text1"/>
          <w:sz w:val="24"/>
          <w:szCs w:val="24"/>
        </w:rPr>
      </w:pPr>
      <w:r w:rsidRPr="00177203">
        <w:rPr>
          <w:rFonts w:cs="Times New Roman"/>
          <w:noProof/>
        </w:rPr>
        <w:drawing>
          <wp:inline distT="0" distB="0" distL="0" distR="0" wp14:anchorId="2239D714" wp14:editId="1E0AE344">
            <wp:extent cx="5278120" cy="194881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1948815"/>
                    </a:xfrm>
                    <a:prstGeom prst="rect">
                      <a:avLst/>
                    </a:prstGeom>
                    <a:noFill/>
                    <a:ln>
                      <a:noFill/>
                    </a:ln>
                  </pic:spPr>
                </pic:pic>
              </a:graphicData>
            </a:graphic>
          </wp:inline>
        </w:drawing>
      </w:r>
    </w:p>
    <w:p w14:paraId="4499772A" w14:textId="7F17654F" w:rsidR="000E2657" w:rsidRPr="00177203" w:rsidRDefault="00306188" w:rsidP="000E2657">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0E2657" w:rsidRPr="00177203">
        <w:rPr>
          <w:rFonts w:eastAsia="宋体" w:cs="Times New Roman"/>
          <w:b/>
          <w:bCs/>
          <w:color w:val="000000" w:themeColor="text1"/>
          <w:sz w:val="24"/>
          <w:szCs w:val="24"/>
        </w:rPr>
        <w:t xml:space="preserve"> Fig. 6</w:t>
      </w:r>
      <w:r w:rsidR="000E2657"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Thermogravimetric</w:t>
      </w:r>
      <w:r w:rsidR="00BF2C24" w:rsidRPr="00177203">
        <w:rPr>
          <w:rFonts w:eastAsia="宋体" w:cs="Times New Roman"/>
          <w:color w:val="000000" w:themeColor="text1"/>
          <w:sz w:val="24"/>
          <w:szCs w:val="24"/>
        </w:rPr>
        <w:t xml:space="preserve"> analysis</w:t>
      </w:r>
      <w:r w:rsidR="007C3F98" w:rsidRPr="00177203">
        <w:rPr>
          <w:rFonts w:eastAsia="宋体" w:cs="Times New Roman"/>
          <w:color w:val="000000" w:themeColor="text1"/>
          <w:sz w:val="24"/>
          <w:szCs w:val="24"/>
        </w:rPr>
        <w:t>-differential scanning calorimetry (TG</w:t>
      </w:r>
      <w:r w:rsidR="00BF2C24" w:rsidRPr="00177203">
        <w:rPr>
          <w:rFonts w:eastAsia="宋体" w:cs="Times New Roman"/>
          <w:color w:val="000000" w:themeColor="text1"/>
          <w:sz w:val="24"/>
          <w:szCs w:val="24"/>
        </w:rPr>
        <w:t>A</w:t>
      </w:r>
      <w:r w:rsidR="007C3F98" w:rsidRPr="00177203">
        <w:rPr>
          <w:rFonts w:eastAsia="宋体" w:cs="Times New Roman"/>
          <w:color w:val="000000" w:themeColor="text1"/>
          <w:sz w:val="24"/>
          <w:szCs w:val="24"/>
        </w:rPr>
        <w:t>-DSC) curves of ZIF-Cu precursor: (a) partial enlarged view in 600–700 °C, (b) full view in 50–1000 °C.</w:t>
      </w:r>
    </w:p>
    <w:p w14:paraId="1AE37DB6" w14:textId="407F11D2" w:rsidR="003F4C31" w:rsidRPr="00177203" w:rsidRDefault="003F4C31" w:rsidP="003F4C3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As shown in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6, the TGA curve of ZIF-Cu presents three main weight loss stages. The first stage (50–300 °C, </w:t>
      </w:r>
      <w:r w:rsidR="00EC0FC8" w:rsidRPr="00177203">
        <w:rPr>
          <w:rFonts w:eastAsia="宋体" w:cs="Times New Roman"/>
          <w:color w:val="000000" w:themeColor="text1"/>
          <w:sz w:val="24"/>
          <w:szCs w:val="24"/>
        </w:rPr>
        <w:t>3.07</w:t>
      </w:r>
      <w:r w:rsidRPr="00177203">
        <w:rPr>
          <w:rFonts w:eastAsia="宋体" w:cs="Times New Roman"/>
          <w:color w:val="000000" w:themeColor="text1"/>
          <w:sz w:val="24"/>
          <w:szCs w:val="24"/>
        </w:rPr>
        <w:t xml:space="preserve">% mass loss) corresponds to desorption of adsorbed water and residual organics, with no distinct DSC thermal effect. The second stage (300–650 °C, total </w:t>
      </w:r>
      <w:r w:rsidR="00EC0FC8" w:rsidRPr="00177203">
        <w:rPr>
          <w:rFonts w:eastAsia="宋体" w:cs="Times New Roman"/>
          <w:color w:val="000000" w:themeColor="text1"/>
          <w:sz w:val="24"/>
          <w:szCs w:val="24"/>
        </w:rPr>
        <w:t>14.33</w:t>
      </w:r>
      <w:r w:rsidRPr="00177203">
        <w:rPr>
          <w:rFonts w:eastAsia="宋体" w:cs="Times New Roman"/>
          <w:color w:val="000000" w:themeColor="text1"/>
          <w:sz w:val="24"/>
          <w:szCs w:val="24"/>
        </w:rPr>
        <w:t xml:space="preserve">% mass loss) shows three DSC signals at 619.34 °C (crystallization), 635.85 °C (melting) and 648.74 °C (exothermic linker decomposition), attributed to gradual degradation of 2-methylimidazole linkers. The third stage (650–905 °C, </w:t>
      </w:r>
      <w:r w:rsidR="00EC0FC8" w:rsidRPr="00177203">
        <w:rPr>
          <w:rFonts w:eastAsia="宋体" w:cs="Times New Roman"/>
          <w:color w:val="000000" w:themeColor="text1"/>
          <w:sz w:val="24"/>
          <w:szCs w:val="24"/>
        </w:rPr>
        <w:t>22.74</w:t>
      </w:r>
      <w:r w:rsidRPr="00177203">
        <w:rPr>
          <w:rFonts w:eastAsia="宋体" w:cs="Times New Roman"/>
          <w:color w:val="000000" w:themeColor="text1"/>
          <w:sz w:val="24"/>
          <w:szCs w:val="24"/>
        </w:rPr>
        <w:t>% mass loss) exhibits a broad endothermic peak at 845.2 °C and a sharp peak at 905 °C, assigned to pre-gasification of reduced Zn species and boiling gasification of Zn nodes, respectively.</w:t>
      </w:r>
    </w:p>
    <w:p w14:paraId="0DA8D6AB" w14:textId="049D8F09" w:rsidR="003F4C31" w:rsidRPr="00177203" w:rsidRDefault="003F4C31" w:rsidP="003F4C3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Zn pre-gasification at 845.2 °C (below its 905 °C standard boiling point) arises from flowing </w:t>
      </w:r>
      <w:proofErr w:type="spellStart"/>
      <w:r w:rsidRPr="00177203">
        <w:rPr>
          <w:rFonts w:eastAsia="宋体" w:cs="Times New Roman"/>
          <w:color w:val="000000" w:themeColor="text1"/>
          <w:sz w:val="24"/>
          <w:szCs w:val="24"/>
        </w:rPr>
        <w:t>Ar</w:t>
      </w:r>
      <w:proofErr w:type="spellEnd"/>
      <w:r w:rsidRPr="00177203">
        <w:rPr>
          <w:rFonts w:eastAsia="宋体" w:cs="Times New Roman"/>
          <w:color w:val="000000" w:themeColor="text1"/>
          <w:sz w:val="24"/>
          <w:szCs w:val="24"/>
        </w:rPr>
        <w:t xml:space="preserve"> atmosphere, which continuously carries away Zn vapor and breaks the gas-liquid equilibrium. This low-temperature pre-gasification forms abundant micropore nuclei in the carbon matrix, facilitating the subsequent construction of uniform 1.5–1.8 nm nanoconfined cavities at 900 °C.</w:t>
      </w:r>
    </w:p>
    <w:p w14:paraId="2B850AE9" w14:textId="77777777" w:rsidR="003F4C31" w:rsidRPr="00177203" w:rsidRDefault="003F4C31">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0E465CFA" w14:textId="7D67C590" w:rsidR="005B35A7" w:rsidRPr="00177203" w:rsidRDefault="003F4C31" w:rsidP="003F4C31">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Detailed synthesis process for tZIF-Cus: </w:t>
      </w:r>
      <w:r w:rsidR="005B35A7" w:rsidRPr="00177203">
        <w:rPr>
          <w:rFonts w:eastAsia="宋体" w:cs="Times New Roman"/>
          <w:color w:val="000000" w:themeColor="text1"/>
          <w:sz w:val="24"/>
          <w:szCs w:val="24"/>
        </w:rPr>
        <w:t xml:space="preserve">Dried ZIF-Cu powder (1.0 g) was ground in a metal-free agate mortar, sieved through a 200-mesh screen, and placed in a horizontal tube furnace for pyrolysis under continuous high-purity </w:t>
      </w:r>
      <w:proofErr w:type="spellStart"/>
      <w:r w:rsidR="005B35A7" w:rsidRPr="00177203">
        <w:rPr>
          <w:rFonts w:eastAsia="宋体" w:cs="Times New Roman"/>
          <w:color w:val="000000" w:themeColor="text1"/>
          <w:sz w:val="24"/>
          <w:szCs w:val="24"/>
        </w:rPr>
        <w:t>Ar</w:t>
      </w:r>
      <w:proofErr w:type="spellEnd"/>
      <w:r w:rsidR="005B35A7" w:rsidRPr="00177203">
        <w:rPr>
          <w:rFonts w:eastAsia="宋体" w:cs="Times New Roman"/>
          <w:color w:val="000000" w:themeColor="text1"/>
          <w:sz w:val="24"/>
          <w:szCs w:val="24"/>
        </w:rPr>
        <w:t xml:space="preserve"> flow to prevent oxidation. A three-stage pyrolysis protocol was designed to precisely match the above thermal behavior, enabling controllable framework evolution and active site construction. Stage I (solvent desorption): The furnace was heated to </w:t>
      </w:r>
      <w:r w:rsidR="00EC0FC8" w:rsidRPr="00177203">
        <w:rPr>
          <w:rFonts w:eastAsia="宋体" w:cs="Times New Roman"/>
          <w:color w:val="000000" w:themeColor="text1"/>
          <w:sz w:val="24"/>
          <w:szCs w:val="24"/>
        </w:rPr>
        <w:t>3</w:t>
      </w:r>
      <w:r w:rsidR="005B35A7" w:rsidRPr="00177203">
        <w:rPr>
          <w:rFonts w:eastAsia="宋体" w:cs="Times New Roman"/>
          <w:color w:val="000000" w:themeColor="text1"/>
          <w:sz w:val="24"/>
          <w:szCs w:val="24"/>
        </w:rPr>
        <w:t xml:space="preserve">00 °C at 2 °C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(50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w:t>
      </w:r>
      <w:proofErr w:type="spellStart"/>
      <w:r w:rsidR="005B35A7" w:rsidRPr="00177203">
        <w:rPr>
          <w:rFonts w:eastAsia="宋体" w:cs="Times New Roman"/>
          <w:color w:val="000000" w:themeColor="text1"/>
          <w:sz w:val="24"/>
          <w:szCs w:val="24"/>
        </w:rPr>
        <w:t>Ar</w:t>
      </w:r>
      <w:proofErr w:type="spellEnd"/>
      <w:r w:rsidR="005B35A7" w:rsidRPr="00177203">
        <w:rPr>
          <w:rFonts w:eastAsia="宋体" w:cs="Times New Roman"/>
          <w:color w:val="000000" w:themeColor="text1"/>
          <w:sz w:val="24"/>
          <w:szCs w:val="24"/>
        </w:rPr>
        <w:t xml:space="preserve"> flow) and held for 2 h to fully remove residual solvents without structural cracking. Stage II (ligand decomposition): The </w:t>
      </w:r>
      <w:proofErr w:type="spellStart"/>
      <w:r w:rsidR="005B35A7" w:rsidRPr="00177203">
        <w:rPr>
          <w:rFonts w:eastAsia="宋体" w:cs="Times New Roman"/>
          <w:color w:val="000000" w:themeColor="text1"/>
          <w:sz w:val="24"/>
          <w:szCs w:val="24"/>
        </w:rPr>
        <w:t>Ar</w:t>
      </w:r>
      <w:proofErr w:type="spellEnd"/>
      <w:r w:rsidR="005B35A7" w:rsidRPr="00177203">
        <w:rPr>
          <w:rFonts w:eastAsia="宋体" w:cs="Times New Roman"/>
          <w:color w:val="000000" w:themeColor="text1"/>
          <w:sz w:val="24"/>
          <w:szCs w:val="24"/>
        </w:rPr>
        <w:t xml:space="preserve"> flow was increased to 100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followed by heating to 600 °C at 1 °C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and holding for 3 h, to achieve gradual ligand decomposition and pre-carbonized skeleton formation without burst gas-induced structural damage. Stage III (targeted structure evolution): Differentiated temperature-ramp, isothermal hold and stepwise cooling protocols were designed for final pyrolysis temperatures of 800–1100 °C (100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w:t>
      </w:r>
      <w:proofErr w:type="spellStart"/>
      <w:r w:rsidR="005B35A7" w:rsidRPr="00177203">
        <w:rPr>
          <w:rFonts w:eastAsia="宋体" w:cs="Times New Roman"/>
          <w:color w:val="000000" w:themeColor="text1"/>
          <w:sz w:val="24"/>
          <w:szCs w:val="24"/>
        </w:rPr>
        <w:t>Ar</w:t>
      </w:r>
      <w:proofErr w:type="spellEnd"/>
      <w:r w:rsidR="005B35A7" w:rsidRPr="00177203">
        <w:rPr>
          <w:rFonts w:eastAsia="宋体" w:cs="Times New Roman"/>
          <w:color w:val="000000" w:themeColor="text1"/>
          <w:sz w:val="24"/>
          <w:szCs w:val="24"/>
        </w:rPr>
        <w:t xml:space="preserve"> flow throughout) to balance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5B35A7" w:rsidRPr="00177203">
        <w:rPr>
          <w:rFonts w:eastAsia="宋体" w:cs="Times New Roman"/>
          <w:color w:val="000000" w:themeColor="text1"/>
          <w:sz w:val="24"/>
          <w:szCs w:val="24"/>
        </w:rPr>
        <w:t xml:space="preserve"> active site construction and structural stability, avoiding thermal stress-induced carbon matrix cracking.</w:t>
      </w:r>
    </w:p>
    <w:p w14:paraId="3C6995FF" w14:textId="77777777" w:rsidR="005B35A7" w:rsidRPr="00177203" w:rsidRDefault="005B35A7" w:rsidP="005B35A7">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Specific protocols for each sample are as follows:</w:t>
      </w:r>
    </w:p>
    <w:p w14:paraId="39AC33CD" w14:textId="4A5433BA" w:rsidR="005B35A7" w:rsidRPr="00177203" w:rsidRDefault="00E63B12" w:rsidP="00F82883">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tZIF-Cu</w:t>
      </w:r>
      <w:r w:rsidRPr="00177203">
        <w:rPr>
          <w:rFonts w:eastAsia="宋体" w:cs="Times New Roman"/>
          <w:color w:val="000000" w:themeColor="text1"/>
          <w:sz w:val="24"/>
          <w:szCs w:val="24"/>
          <w:vertAlign w:val="subscript"/>
        </w:rPr>
        <w:t>800</w:t>
      </w:r>
      <w:r w:rsidR="005B35A7" w:rsidRPr="00177203">
        <w:rPr>
          <w:rFonts w:eastAsia="宋体" w:cs="Times New Roman"/>
          <w:color w:val="000000" w:themeColor="text1"/>
          <w:sz w:val="24"/>
          <w:szCs w:val="24"/>
        </w:rPr>
        <w:t xml:space="preserve">: Heated from 600 °C to 800 °C at 2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3 h, then cooled to 200 °C at 3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followed by natural cooling, to enable uniform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5B35A7" w:rsidRPr="00177203">
        <w:rPr>
          <w:rFonts w:eastAsia="宋体" w:cs="Times New Roman"/>
          <w:color w:val="000000" w:themeColor="text1"/>
          <w:sz w:val="24"/>
          <w:szCs w:val="24"/>
        </w:rPr>
        <w:t xml:space="preserve"> reconstruction without metal agglomeration.</w:t>
      </w:r>
    </w:p>
    <w:p w14:paraId="1E4C02FC" w14:textId="153823CE" w:rsidR="005B35A7" w:rsidRPr="00177203" w:rsidRDefault="00E63B12" w:rsidP="00F82883">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tZIF-Cu</w:t>
      </w:r>
      <w:r w:rsidRPr="00177203">
        <w:rPr>
          <w:rFonts w:eastAsia="宋体" w:cs="Times New Roman"/>
          <w:color w:val="000000" w:themeColor="text1"/>
          <w:sz w:val="24"/>
          <w:szCs w:val="24"/>
          <w:vertAlign w:val="subscript"/>
        </w:rPr>
        <w:t>900</w:t>
      </w:r>
      <w:r w:rsidR="005B35A7" w:rsidRPr="00177203">
        <w:rPr>
          <w:rFonts w:eastAsia="宋体" w:cs="Times New Roman"/>
          <w:color w:val="000000" w:themeColor="text1"/>
          <w:sz w:val="24"/>
          <w:szCs w:val="24"/>
        </w:rPr>
        <w:t xml:space="preserve">: Heated from 600 °C to 850 °C at 3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then to 900 °C at 1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2 h, then cooled to 600 °C at 2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and to 200 °C at 4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followed by natural cooling, to achieve controlled Zn vapor etching and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5B35A7" w:rsidRPr="00177203">
        <w:rPr>
          <w:rFonts w:eastAsia="宋体" w:cs="Times New Roman"/>
          <w:color w:val="000000" w:themeColor="text1"/>
          <w:sz w:val="24"/>
          <w:szCs w:val="24"/>
        </w:rPr>
        <w:t xml:space="preserve"> site stabilization.</w:t>
      </w:r>
    </w:p>
    <w:p w14:paraId="651B4A46" w14:textId="0EC6E5A7" w:rsidR="005B35A7" w:rsidRPr="00177203" w:rsidRDefault="00E63B12" w:rsidP="00F82883">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tZIF-Cu</w:t>
      </w:r>
      <w:r w:rsidRPr="00177203">
        <w:rPr>
          <w:rFonts w:eastAsia="宋体" w:cs="Times New Roman"/>
          <w:color w:val="000000" w:themeColor="text1"/>
          <w:sz w:val="24"/>
          <w:szCs w:val="24"/>
          <w:vertAlign w:val="subscript"/>
        </w:rPr>
        <w:t>1000</w:t>
      </w:r>
      <w:r w:rsidR="005B35A7" w:rsidRPr="00177203">
        <w:rPr>
          <w:rFonts w:eastAsia="宋体" w:cs="Times New Roman"/>
          <w:color w:val="000000" w:themeColor="text1"/>
          <w:sz w:val="24"/>
          <w:szCs w:val="24"/>
        </w:rPr>
        <w:t xml:space="preserve">: Heated from 600 °C to 900 °C at 5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1 h, then to 1000 °C at 2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2 h, then cooled to 700 °C at 1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30 min, to 300 °C at 3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and to room temperature at 5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to pre-anchor active sites during moderate graphitization.</w:t>
      </w:r>
    </w:p>
    <w:p w14:paraId="3BDFE192" w14:textId="10FE1269" w:rsidR="000067E3" w:rsidRPr="00177203" w:rsidRDefault="00E63B12" w:rsidP="00F82883">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tZIF-Cu</w:t>
      </w:r>
      <w:r w:rsidRPr="00177203">
        <w:rPr>
          <w:rFonts w:eastAsia="宋体" w:cs="Times New Roman"/>
          <w:color w:val="000000" w:themeColor="text1"/>
          <w:sz w:val="24"/>
          <w:szCs w:val="24"/>
          <w:vertAlign w:val="subscript"/>
        </w:rPr>
        <w:t>1100</w:t>
      </w:r>
      <w:r w:rsidR="005B35A7" w:rsidRPr="00177203">
        <w:rPr>
          <w:rFonts w:eastAsia="宋体" w:cs="Times New Roman"/>
          <w:color w:val="000000" w:themeColor="text1"/>
          <w:sz w:val="24"/>
          <w:szCs w:val="24"/>
        </w:rPr>
        <w:t xml:space="preserve">: Heated from 600 °C to 900 °C at 5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(1 h hold), to 1050 °C at 3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30 min, then to 1100 °C at 1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1 h, then cooled to 800 °C at 0.5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held for 1 h, to 400 °C at 2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to 100 °C at 4 °C </w:t>
      </w:r>
      <w:r w:rsidRPr="00177203">
        <w:rPr>
          <w:rFonts w:eastAsia="宋体" w:cs="Times New Roman"/>
          <w:sz w:val="24"/>
          <w:szCs w:val="24"/>
        </w:rPr>
        <w:t>min</w:t>
      </w:r>
      <w:r w:rsidRPr="00177203">
        <w:rPr>
          <w:rFonts w:eastAsia="宋体" w:cs="Times New Roman"/>
          <w:sz w:val="24"/>
          <w:szCs w:val="24"/>
          <w:vertAlign w:val="superscript"/>
        </w:rPr>
        <w:t>–1</w:t>
      </w:r>
      <w:r w:rsidR="005B35A7" w:rsidRPr="00177203">
        <w:rPr>
          <w:rFonts w:eastAsia="宋体" w:cs="Times New Roman"/>
          <w:color w:val="000000" w:themeColor="text1"/>
          <w:sz w:val="24"/>
          <w:szCs w:val="24"/>
        </w:rPr>
        <w:t xml:space="preserve"> followed by natural cooling, to minimize Cu sintering and N volatilization.</w:t>
      </w:r>
      <w:r w:rsidR="000067E3" w:rsidRPr="00177203">
        <w:rPr>
          <w:rFonts w:eastAsia="宋体" w:cs="Times New Roman"/>
          <w:noProof/>
          <w:sz w:val="24"/>
          <w:szCs w:val="24"/>
        </w:rPr>
        <w:br w:type="page"/>
      </w:r>
    </w:p>
    <w:p w14:paraId="234FD008" w14:textId="17F4D9D5" w:rsidR="00DF0E9F" w:rsidRPr="00177203" w:rsidRDefault="00311F84" w:rsidP="00EC0FC8">
      <w:pPr>
        <w:spacing w:afterLines="50" w:after="156"/>
        <w:jc w:val="center"/>
        <w:rPr>
          <w:rFonts w:eastAsia="宋体" w:cs="Times New Roman"/>
          <w:noProof/>
          <w:sz w:val="24"/>
          <w:szCs w:val="24"/>
        </w:rPr>
      </w:pPr>
      <w:r w:rsidRPr="00177203">
        <w:rPr>
          <w:rFonts w:cs="Times New Roman"/>
          <w:noProof/>
        </w:rPr>
        <w:drawing>
          <wp:inline distT="0" distB="0" distL="0" distR="0" wp14:anchorId="3A52E9FD" wp14:editId="72E9A4A7">
            <wp:extent cx="3600000" cy="2626372"/>
            <wp:effectExtent l="0" t="0" r="635"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0" cy="2626372"/>
                    </a:xfrm>
                    <a:prstGeom prst="rect">
                      <a:avLst/>
                    </a:prstGeom>
                    <a:noFill/>
                    <a:ln>
                      <a:noFill/>
                    </a:ln>
                  </pic:spPr>
                </pic:pic>
              </a:graphicData>
            </a:graphic>
          </wp:inline>
        </w:drawing>
      </w:r>
    </w:p>
    <w:p w14:paraId="47EC8358" w14:textId="30330BF7" w:rsidR="00DF0E9F"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F0E9F"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7</w:t>
      </w:r>
      <w:r w:rsidR="00DF0E9F"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Raman spectra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color w:val="000000" w:themeColor="text1"/>
          <w:sz w:val="24"/>
          <w:szCs w:val="24"/>
        </w:rPr>
        <w:t xml:space="preserve"> (532 nm excitation laser, 100–3000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007C3F98" w:rsidRPr="00177203">
        <w:rPr>
          <w:rFonts w:eastAsia="宋体" w:cs="Times New Roman"/>
          <w:color w:val="000000" w:themeColor="text1"/>
          <w:sz w:val="24"/>
          <w:szCs w:val="24"/>
        </w:rPr>
        <w:t>). The intensity ratio of D-band to G-band (ID/IG) is labeled for each sample.</w:t>
      </w:r>
    </w:p>
    <w:p w14:paraId="71C8001D" w14:textId="707C2226" w:rsidR="00DF0E9F" w:rsidRPr="00177203" w:rsidRDefault="00DF0E9F" w:rsidP="00DF0E9F">
      <w:pPr>
        <w:spacing w:afterLines="50" w:after="156"/>
        <w:ind w:firstLine="420"/>
        <w:rPr>
          <w:rFonts w:eastAsia="宋体" w:cs="Times New Roman"/>
          <w:noProof/>
          <w:sz w:val="24"/>
          <w:szCs w:val="24"/>
        </w:rPr>
      </w:pPr>
      <w:r w:rsidRPr="00177203">
        <w:rPr>
          <w:rFonts w:eastAsia="宋体" w:cs="Times New Roman"/>
          <w:noProof/>
          <w:sz w:val="24"/>
          <w:szCs w:val="24"/>
        </w:rPr>
        <w:t>Raman spectroscopy provides direct insight into the evolution of carbon structural order during thermal pyrolysis of ZIF-Cu</w:t>
      </w:r>
      <w:r w:rsidR="00EC0FC8" w:rsidRPr="00177203">
        <w:rPr>
          <w:rFonts w:eastAsia="宋体" w:cs="Times New Roman"/>
          <w:noProof/>
          <w:sz w:val="24"/>
          <w:szCs w:val="24"/>
        </w:rPr>
        <w:t>s</w:t>
      </w:r>
      <w:r w:rsidRPr="00177203">
        <w:rPr>
          <w:rFonts w:eastAsia="宋体" w:cs="Times New Roman"/>
          <w:noProof/>
          <w:sz w:val="24"/>
          <w:szCs w:val="24"/>
        </w:rPr>
        <w:t xml:space="preserve">. All tZIF-Cus exhibit two characteristic bands at ~1350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noProof/>
          <w:sz w:val="24"/>
          <w:szCs w:val="24"/>
        </w:rPr>
        <w:t xml:space="preserve"> (D-band, </w:t>
      </w:r>
      <w:r w:rsidR="009D2281" w:rsidRPr="00177203">
        <w:rPr>
          <w:rFonts w:eastAsia="宋体" w:cs="Times New Roman"/>
          <w:noProof/>
          <w:sz w:val="24"/>
          <w:szCs w:val="24"/>
        </w:rPr>
        <w:t>ring-breathing mode of carbon</w:t>
      </w:r>
      <w:r w:rsidRPr="00177203">
        <w:rPr>
          <w:rFonts w:eastAsia="宋体" w:cs="Times New Roman"/>
          <w:noProof/>
          <w:sz w:val="24"/>
          <w:szCs w:val="24"/>
        </w:rPr>
        <w:t xml:space="preserve">) and ~1580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noProof/>
          <w:sz w:val="24"/>
          <w:szCs w:val="24"/>
        </w:rPr>
        <w:t xml:space="preserve"> (G-band, </w:t>
      </w:r>
      <w:r w:rsidR="009D2281" w:rsidRPr="00177203">
        <w:rPr>
          <w:rFonts w:eastAsia="宋体" w:cs="Times New Roman"/>
          <w:noProof/>
          <w:sz w:val="24"/>
          <w:szCs w:val="24"/>
        </w:rPr>
        <w:t>phonon of sp2-bonded carbon atoms</w:t>
      </w:r>
      <w:r w:rsidRPr="00177203">
        <w:rPr>
          <w:rFonts w:eastAsia="宋体" w:cs="Times New Roman"/>
          <w:noProof/>
          <w:sz w:val="24"/>
          <w:szCs w:val="24"/>
        </w:rPr>
        <w:t>)</w:t>
      </w:r>
      <w:r w:rsidR="00050AB7" w:rsidRPr="00177203">
        <w:rPr>
          <w:rFonts w:eastAsia="宋体" w:cs="Times New Roman"/>
          <w:noProof/>
          <w:color w:val="0070C0"/>
          <w:sz w:val="24"/>
          <w:szCs w:val="24"/>
          <w:vertAlign w:val="superscript"/>
        </w:rPr>
        <w:t>7</w:t>
      </w:r>
      <w:r w:rsidRPr="00177203">
        <w:rPr>
          <w:rFonts w:eastAsia="宋体" w:cs="Times New Roman"/>
          <w:noProof/>
          <w:sz w:val="24"/>
          <w:szCs w:val="24"/>
        </w:rPr>
        <w:t>, alongside a broad 2D band at 2700</w:t>
      </w:r>
      <w:r w:rsidR="00EC0FC8" w:rsidRPr="00177203">
        <w:rPr>
          <w:rFonts w:eastAsia="宋体" w:cs="Times New Roman"/>
          <w:noProof/>
          <w:sz w:val="24"/>
          <w:szCs w:val="24"/>
        </w:rPr>
        <w:t>–2900</w:t>
      </w:r>
      <w:r w:rsidRPr="00177203">
        <w:rPr>
          <w:rFonts w:eastAsia="宋体" w:cs="Times New Roman"/>
          <w:noProof/>
          <w:sz w:val="24"/>
          <w:szCs w:val="24"/>
        </w:rPr>
        <w:t xml:space="preserve">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noProof/>
          <w:sz w:val="24"/>
          <w:szCs w:val="24"/>
        </w:rPr>
        <w:t xml:space="preserve"> confirming the formation of a nitrogen-doped carbon scaffold</w:t>
      </w:r>
      <w:r w:rsidR="00050AB7" w:rsidRPr="00177203">
        <w:rPr>
          <w:rFonts w:eastAsia="宋体" w:cs="Times New Roman"/>
          <w:noProof/>
          <w:color w:val="0070C0"/>
          <w:sz w:val="24"/>
          <w:szCs w:val="24"/>
          <w:vertAlign w:val="superscript"/>
        </w:rPr>
        <w:t>8</w:t>
      </w:r>
      <w:r w:rsidRPr="00177203">
        <w:rPr>
          <w:rFonts w:eastAsia="宋体" w:cs="Times New Roman"/>
          <w:noProof/>
          <w:sz w:val="24"/>
          <w:szCs w:val="24"/>
        </w:rPr>
        <w:t>.</w:t>
      </w:r>
    </w:p>
    <w:p w14:paraId="7044608E" w14:textId="68A69FBC" w:rsidR="00CE3C10" w:rsidRPr="00177203" w:rsidRDefault="00DF0E9F" w:rsidP="00DF0E9F">
      <w:pPr>
        <w:spacing w:afterLines="50" w:after="156"/>
        <w:ind w:firstLine="420"/>
        <w:rPr>
          <w:rFonts w:eastAsia="宋体" w:cs="Times New Roman"/>
          <w:noProof/>
          <w:sz w:val="24"/>
          <w:szCs w:val="24"/>
        </w:rPr>
      </w:pPr>
      <w:r w:rsidRPr="00177203">
        <w:rPr>
          <w:rFonts w:eastAsia="宋体" w:cs="Times New Roman"/>
          <w:noProof/>
          <w:sz w:val="24"/>
          <w:szCs w:val="24"/>
        </w:rPr>
        <w:t>The calculated I</w:t>
      </w:r>
      <w:r w:rsidRPr="00177203">
        <w:rPr>
          <w:rFonts w:eastAsia="宋体" w:cs="Times New Roman"/>
          <w:noProof/>
          <w:sz w:val="24"/>
          <w:szCs w:val="24"/>
          <w:vertAlign w:val="subscript"/>
        </w:rPr>
        <w:t>D</w:t>
      </w:r>
      <w:r w:rsidRPr="00177203">
        <w:rPr>
          <w:rFonts w:eastAsia="宋体" w:cs="Times New Roman"/>
          <w:noProof/>
          <w:sz w:val="24"/>
          <w:szCs w:val="24"/>
        </w:rPr>
        <w:t>/I</w:t>
      </w:r>
      <w:r w:rsidRPr="00177203">
        <w:rPr>
          <w:rFonts w:eastAsia="宋体" w:cs="Times New Roman"/>
          <w:noProof/>
          <w:sz w:val="24"/>
          <w:szCs w:val="24"/>
          <w:vertAlign w:val="subscript"/>
        </w:rPr>
        <w:t>G</w:t>
      </w:r>
      <w:r w:rsidRPr="00177203">
        <w:rPr>
          <w:rFonts w:eastAsia="宋体" w:cs="Times New Roman"/>
          <w:noProof/>
          <w:sz w:val="24"/>
          <w:szCs w:val="24"/>
        </w:rPr>
        <w:t xml:space="preserve"> ratios follow a distinct trend</w:t>
      </w:r>
      <w:r w:rsidR="00EC0FC8" w:rsidRPr="00177203">
        <w:rPr>
          <w:rFonts w:eastAsia="宋体" w:cs="Times New Roman"/>
          <w:noProof/>
          <w:sz w:val="24"/>
          <w:szCs w:val="24"/>
        </w:rPr>
        <w:t xml:space="preserve"> of</w:t>
      </w:r>
      <w:r w:rsidRPr="00177203">
        <w:rPr>
          <w:rFonts w:eastAsia="宋体" w:cs="Times New Roman"/>
          <w:noProof/>
          <w:sz w:val="24"/>
          <w:szCs w:val="24"/>
        </w:rPr>
        <w:t xml:space="preserve"> 2.59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noProof/>
          <w:sz w:val="24"/>
          <w:szCs w:val="24"/>
        </w:rPr>
        <w:t>), 2.62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noProof/>
          <w:sz w:val="24"/>
          <w:szCs w:val="24"/>
        </w:rPr>
        <w:t>), 2.35 (tZIF-Cu</w:t>
      </w:r>
      <w:r w:rsidR="00E63B12" w:rsidRPr="00177203">
        <w:rPr>
          <w:rFonts w:eastAsia="宋体" w:cs="Times New Roman"/>
          <w:noProof/>
          <w:sz w:val="24"/>
          <w:szCs w:val="24"/>
          <w:vertAlign w:val="subscript"/>
        </w:rPr>
        <w:t>1000</w:t>
      </w:r>
      <w:r w:rsidRPr="00177203">
        <w:rPr>
          <w:rFonts w:eastAsia="宋体" w:cs="Times New Roman"/>
          <w:noProof/>
          <w:sz w:val="24"/>
          <w:szCs w:val="24"/>
        </w:rPr>
        <w:t>), and 2.15 (tZIF-Cu</w:t>
      </w:r>
      <w:r w:rsidR="00E63B12" w:rsidRPr="00177203">
        <w:rPr>
          <w:rFonts w:eastAsia="宋体" w:cs="Times New Roman"/>
          <w:noProof/>
          <w:sz w:val="24"/>
          <w:szCs w:val="24"/>
          <w:vertAlign w:val="subscript"/>
        </w:rPr>
        <w:t>1100</w:t>
      </w:r>
      <w:r w:rsidRPr="00177203">
        <w:rPr>
          <w:rFonts w:eastAsia="宋体" w:cs="Times New Roman"/>
          <w:noProof/>
          <w:sz w:val="24"/>
          <w:szCs w:val="24"/>
        </w:rPr>
        <w:t>). The initial rise from 800 to 900 °C reflect</w:t>
      </w:r>
      <w:r w:rsidR="000E342C" w:rsidRPr="00177203">
        <w:rPr>
          <w:rFonts w:eastAsia="宋体" w:cs="Times New Roman"/>
          <w:noProof/>
          <w:sz w:val="24"/>
          <w:szCs w:val="24"/>
        </w:rPr>
        <w:t>ed</w:t>
      </w:r>
      <w:r w:rsidRPr="00177203">
        <w:rPr>
          <w:rFonts w:eastAsia="宋体" w:cs="Times New Roman"/>
          <w:noProof/>
          <w:sz w:val="24"/>
          <w:szCs w:val="24"/>
        </w:rPr>
        <w:t xml:space="preserve"> the generation of abundant structural defects and edge sites during Zn volatilization and linker carbonization</w:t>
      </w:r>
      <w:r w:rsidR="00534D12" w:rsidRPr="00177203">
        <w:rPr>
          <w:rFonts w:cs="Times New Roman"/>
          <w:noProof/>
          <w:color w:val="0070C0"/>
          <w:szCs w:val="24"/>
          <w:vertAlign w:val="superscript"/>
        </w:rPr>
        <w:t>9,10</w:t>
      </w:r>
      <w:r w:rsidRPr="00177203">
        <w:rPr>
          <w:rFonts w:eastAsia="宋体" w:cs="Times New Roman"/>
          <w:noProof/>
          <w:sz w:val="24"/>
          <w:szCs w:val="24"/>
        </w:rPr>
        <w:t>. The subsequent decline above 900 °C indicate</w:t>
      </w:r>
      <w:r w:rsidR="000E342C" w:rsidRPr="00177203">
        <w:rPr>
          <w:rFonts w:eastAsia="宋体" w:cs="Times New Roman"/>
          <w:noProof/>
          <w:sz w:val="24"/>
          <w:szCs w:val="24"/>
        </w:rPr>
        <w:t>d</w:t>
      </w:r>
      <w:r w:rsidRPr="00177203">
        <w:rPr>
          <w:rFonts w:eastAsia="宋体" w:cs="Times New Roman"/>
          <w:noProof/>
          <w:sz w:val="24"/>
          <w:szCs w:val="24"/>
        </w:rPr>
        <w:t xml:space="preserve"> the onset of </w:t>
      </w:r>
      <w:bookmarkStart w:id="0" w:name="_Hlk225371121"/>
      <w:r w:rsidRPr="00177203">
        <w:rPr>
          <w:rFonts w:eastAsia="宋体" w:cs="Times New Roman"/>
          <w:noProof/>
          <w:sz w:val="24"/>
          <w:szCs w:val="24"/>
        </w:rPr>
        <w:t>graphitization</w:t>
      </w:r>
      <w:bookmarkEnd w:id="0"/>
      <w:r w:rsidRPr="00177203">
        <w:rPr>
          <w:rFonts w:eastAsia="宋体" w:cs="Times New Roman"/>
          <w:noProof/>
          <w:sz w:val="24"/>
          <w:szCs w:val="24"/>
        </w:rPr>
        <w:t>, as elevated temperatures drive the rearrangement of sp² carbon domains, reducing defect density and promoting long-range structural order. This moderate evolution of I</w:t>
      </w:r>
      <w:r w:rsidRPr="00177203">
        <w:rPr>
          <w:rFonts w:eastAsia="宋体" w:cs="Times New Roman"/>
          <w:noProof/>
          <w:sz w:val="24"/>
          <w:szCs w:val="24"/>
          <w:vertAlign w:val="subscript"/>
        </w:rPr>
        <w:t>D</w:t>
      </w:r>
      <w:r w:rsidRPr="00177203">
        <w:rPr>
          <w:rFonts w:eastAsia="宋体" w:cs="Times New Roman"/>
          <w:noProof/>
          <w:sz w:val="24"/>
          <w:szCs w:val="24"/>
        </w:rPr>
        <w:t>/I</w:t>
      </w:r>
      <w:r w:rsidRPr="00177203">
        <w:rPr>
          <w:rFonts w:eastAsia="宋体" w:cs="Times New Roman"/>
          <w:noProof/>
          <w:sz w:val="24"/>
          <w:szCs w:val="24"/>
          <w:vertAlign w:val="subscript"/>
        </w:rPr>
        <w:t>G</w:t>
      </w:r>
      <w:r w:rsidRPr="00177203">
        <w:rPr>
          <w:rFonts w:eastAsia="宋体" w:cs="Times New Roman"/>
          <w:noProof/>
          <w:sz w:val="24"/>
          <w:szCs w:val="24"/>
        </w:rPr>
        <w:t xml:space="preserve"> confirms a controlled balance between defect-rich active sites and graphitic conductivity, critical for efficient electrocatalytic performance.</w:t>
      </w:r>
    </w:p>
    <w:p w14:paraId="03CCB9F1" w14:textId="4D9AE082" w:rsidR="00CE3C10" w:rsidRPr="00177203" w:rsidRDefault="00E82C4A" w:rsidP="00F4316A">
      <w:pPr>
        <w:spacing w:afterLines="50" w:after="156"/>
        <w:rPr>
          <w:rFonts w:eastAsia="宋体" w:cs="Times New Roman"/>
          <w:noProof/>
          <w:sz w:val="24"/>
          <w:szCs w:val="24"/>
        </w:rPr>
      </w:pPr>
      <w:r w:rsidRPr="00177203">
        <w:rPr>
          <w:rFonts w:cs="Times New Roman"/>
          <w:noProof/>
        </w:rPr>
        <w:drawing>
          <wp:inline distT="0" distB="0" distL="0" distR="0" wp14:anchorId="6279254C" wp14:editId="574F08FE">
            <wp:extent cx="5278120" cy="3966359"/>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43687"/>
                    <a:stretch/>
                  </pic:blipFill>
                  <pic:spPr bwMode="auto">
                    <a:xfrm>
                      <a:off x="0" y="0"/>
                      <a:ext cx="5278120" cy="3966359"/>
                    </a:xfrm>
                    <a:prstGeom prst="rect">
                      <a:avLst/>
                    </a:prstGeom>
                    <a:noFill/>
                    <a:ln>
                      <a:noFill/>
                    </a:ln>
                    <a:extLst>
                      <a:ext uri="{53640926-AAD7-44D8-BBD7-CCE9431645EC}">
                        <a14:shadowObscured xmlns:a14="http://schemas.microsoft.com/office/drawing/2010/main"/>
                      </a:ext>
                    </a:extLst>
                  </pic:spPr>
                </pic:pic>
              </a:graphicData>
            </a:graphic>
          </wp:inline>
        </w:drawing>
      </w:r>
    </w:p>
    <w:p w14:paraId="1866B113" w14:textId="1BC2A6EF" w:rsidR="009A49EE" w:rsidRPr="00177203" w:rsidRDefault="00306188" w:rsidP="003C0293">
      <w:pPr>
        <w:spacing w:afterLines="50" w:after="156"/>
        <w:outlineLvl w:val="3"/>
        <w:rPr>
          <w:rFonts w:eastAsia="宋体" w:cs="Times New Roman"/>
          <w:color w:val="000000" w:themeColor="text1"/>
          <w:sz w:val="24"/>
          <w:szCs w:val="24"/>
          <w:vertAlign w:val="subscript"/>
        </w:rPr>
      </w:pPr>
      <w:r w:rsidRPr="00177203">
        <w:rPr>
          <w:rFonts w:eastAsia="宋体" w:cs="Times New Roman"/>
          <w:b/>
          <w:bCs/>
          <w:color w:val="000000" w:themeColor="text1"/>
          <w:sz w:val="24"/>
          <w:szCs w:val="24"/>
        </w:rPr>
        <w:t>Supplementary</w:t>
      </w:r>
      <w:r w:rsidR="00CE3C10" w:rsidRPr="00177203">
        <w:rPr>
          <w:rFonts w:eastAsia="宋体" w:cs="Times New Roman"/>
          <w:b/>
          <w:bCs/>
          <w:color w:val="000000" w:themeColor="text1"/>
          <w:sz w:val="24"/>
          <w:szCs w:val="24"/>
        </w:rPr>
        <w:t xml:space="preserve"> Fig. </w:t>
      </w:r>
      <w:r w:rsidR="009A49EE" w:rsidRPr="00177203">
        <w:rPr>
          <w:rFonts w:eastAsia="宋体" w:cs="Times New Roman"/>
          <w:b/>
          <w:bCs/>
          <w:color w:val="000000" w:themeColor="text1"/>
          <w:sz w:val="24"/>
          <w:szCs w:val="24"/>
        </w:rPr>
        <w:t>8</w:t>
      </w:r>
      <w:r w:rsidR="00CE3C10"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Scanning electron microscopy (SEM) images of (a)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color w:val="000000" w:themeColor="text1"/>
          <w:sz w:val="24"/>
          <w:szCs w:val="24"/>
        </w:rPr>
        <w:t xml:space="preserve">, (b)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color w:val="000000" w:themeColor="text1"/>
          <w:sz w:val="24"/>
          <w:szCs w:val="24"/>
        </w:rPr>
        <w:t xml:space="preserve"> and (d)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color w:val="000000" w:themeColor="text1"/>
          <w:sz w:val="24"/>
          <w:szCs w:val="24"/>
        </w:rPr>
        <w:t>. All scale bars are 250 nm.</w:t>
      </w:r>
      <w:r w:rsidR="009A49EE" w:rsidRPr="00177203">
        <w:rPr>
          <w:rFonts w:eastAsia="宋体" w:cs="Times New Roman"/>
          <w:color w:val="000000" w:themeColor="text1"/>
          <w:sz w:val="24"/>
          <w:szCs w:val="24"/>
        </w:rPr>
        <w:t xml:space="preserve"> </w:t>
      </w:r>
    </w:p>
    <w:p w14:paraId="07E6073E" w14:textId="77777777" w:rsidR="009A49EE" w:rsidRPr="00177203" w:rsidRDefault="009A49EE">
      <w:pPr>
        <w:widowControl/>
        <w:spacing w:line="240" w:lineRule="auto"/>
        <w:jc w:val="left"/>
        <w:rPr>
          <w:rFonts w:eastAsia="宋体" w:cs="Times New Roman"/>
          <w:color w:val="000000" w:themeColor="text1"/>
          <w:sz w:val="24"/>
          <w:szCs w:val="24"/>
          <w:vertAlign w:val="subscript"/>
        </w:rPr>
      </w:pPr>
      <w:r w:rsidRPr="00177203">
        <w:rPr>
          <w:rFonts w:eastAsia="宋体" w:cs="Times New Roman"/>
          <w:color w:val="000000" w:themeColor="text1"/>
          <w:sz w:val="24"/>
          <w:szCs w:val="24"/>
          <w:vertAlign w:val="subscript"/>
        </w:rPr>
        <w:br w:type="page"/>
      </w:r>
    </w:p>
    <w:p w14:paraId="622EF2B8" w14:textId="2B3F3E51" w:rsidR="009A49EE" w:rsidRPr="00177203" w:rsidRDefault="00E82C4A" w:rsidP="009A49EE">
      <w:pPr>
        <w:spacing w:afterLines="50" w:after="156"/>
        <w:rPr>
          <w:rFonts w:eastAsia="宋体" w:cs="Times New Roman"/>
          <w:noProof/>
          <w:sz w:val="24"/>
          <w:szCs w:val="24"/>
        </w:rPr>
      </w:pPr>
      <w:r w:rsidRPr="00177203">
        <w:rPr>
          <w:rFonts w:cs="Times New Roman"/>
          <w:noProof/>
        </w:rPr>
        <w:drawing>
          <wp:inline distT="0" distB="0" distL="0" distR="0" wp14:anchorId="7767159A" wp14:editId="4C1F0A28">
            <wp:extent cx="5278120" cy="352697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49925"/>
                    <a:stretch/>
                  </pic:blipFill>
                  <pic:spPr bwMode="auto">
                    <a:xfrm>
                      <a:off x="0" y="0"/>
                      <a:ext cx="5278120" cy="3526972"/>
                    </a:xfrm>
                    <a:prstGeom prst="rect">
                      <a:avLst/>
                    </a:prstGeom>
                    <a:noFill/>
                    <a:ln>
                      <a:noFill/>
                    </a:ln>
                    <a:extLst>
                      <a:ext uri="{53640926-AAD7-44D8-BBD7-CCE9431645EC}">
                        <a14:shadowObscured xmlns:a14="http://schemas.microsoft.com/office/drawing/2010/main"/>
                      </a:ext>
                    </a:extLst>
                  </pic:spPr>
                </pic:pic>
              </a:graphicData>
            </a:graphic>
          </wp:inline>
        </w:drawing>
      </w:r>
    </w:p>
    <w:p w14:paraId="3E22667E" w14:textId="0BFA2B65" w:rsidR="00E82C4A"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9A49EE" w:rsidRPr="00177203">
        <w:rPr>
          <w:rFonts w:eastAsia="宋体" w:cs="Times New Roman"/>
          <w:b/>
          <w:bCs/>
          <w:color w:val="000000" w:themeColor="text1"/>
          <w:sz w:val="24"/>
          <w:szCs w:val="24"/>
        </w:rPr>
        <w:t xml:space="preserve"> Fig. 9</w:t>
      </w:r>
      <w:r w:rsidR="009A49EE"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Transmission electron microscopy (TEM) images of (a)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color w:val="000000" w:themeColor="text1"/>
          <w:sz w:val="24"/>
          <w:szCs w:val="24"/>
        </w:rPr>
        <w:t xml:space="preserve">, (b)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color w:val="000000" w:themeColor="text1"/>
          <w:sz w:val="24"/>
          <w:szCs w:val="24"/>
        </w:rPr>
        <w:t xml:space="preserve"> and (d)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color w:val="000000" w:themeColor="text1"/>
          <w:sz w:val="24"/>
          <w:szCs w:val="24"/>
        </w:rPr>
        <w:t xml:space="preserve">. </w:t>
      </w:r>
      <w:r w:rsidR="000E342C" w:rsidRPr="00177203">
        <w:rPr>
          <w:rFonts w:eastAsia="宋体" w:cs="Times New Roman"/>
          <w:color w:val="000000" w:themeColor="text1"/>
          <w:sz w:val="24"/>
          <w:szCs w:val="24"/>
        </w:rPr>
        <w:t>The</w:t>
      </w:r>
      <w:r w:rsidR="007C3F98" w:rsidRPr="00177203">
        <w:rPr>
          <w:rFonts w:eastAsia="宋体" w:cs="Times New Roman"/>
          <w:color w:val="000000" w:themeColor="text1"/>
          <w:sz w:val="24"/>
          <w:szCs w:val="24"/>
        </w:rPr>
        <w:t xml:space="preserve"> scale bar</w:t>
      </w:r>
      <w:r w:rsidR="000E342C" w:rsidRPr="00177203">
        <w:rPr>
          <w:rFonts w:eastAsia="宋体" w:cs="Times New Roman"/>
          <w:color w:val="000000" w:themeColor="text1"/>
          <w:sz w:val="24"/>
          <w:szCs w:val="24"/>
        </w:rPr>
        <w:t xml:space="preserve"> is</w:t>
      </w:r>
      <w:r w:rsidR="007C3F98" w:rsidRPr="00177203">
        <w:rPr>
          <w:rFonts w:eastAsia="宋体" w:cs="Times New Roman"/>
          <w:color w:val="000000" w:themeColor="text1"/>
          <w:sz w:val="24"/>
          <w:szCs w:val="24"/>
        </w:rPr>
        <w:t xml:space="preserve"> 50 nm.</w:t>
      </w:r>
    </w:p>
    <w:p w14:paraId="32A7DCFE" w14:textId="77777777" w:rsidR="00E82C4A" w:rsidRPr="00177203" w:rsidRDefault="00E82C4A">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0ADB2EE2" w14:textId="40029718" w:rsidR="009A49EE" w:rsidRPr="00177203" w:rsidRDefault="00E82C4A" w:rsidP="009A49EE">
      <w:pPr>
        <w:spacing w:afterLines="50" w:after="156"/>
        <w:rPr>
          <w:rFonts w:eastAsia="宋体" w:cs="Times New Roman"/>
          <w:noProof/>
          <w:sz w:val="24"/>
          <w:szCs w:val="24"/>
        </w:rPr>
      </w:pPr>
      <w:r w:rsidRPr="00177203">
        <w:rPr>
          <w:rFonts w:cs="Times New Roman"/>
          <w:noProof/>
        </w:rPr>
        <w:drawing>
          <wp:inline distT="0" distB="0" distL="0" distR="0" wp14:anchorId="5B187B76" wp14:editId="39ED1518">
            <wp:extent cx="5278120" cy="5272644"/>
            <wp:effectExtent l="0" t="0" r="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5141"/>
                    <a:stretch/>
                  </pic:blipFill>
                  <pic:spPr bwMode="auto">
                    <a:xfrm>
                      <a:off x="0" y="0"/>
                      <a:ext cx="5278120" cy="5272644"/>
                    </a:xfrm>
                    <a:prstGeom prst="rect">
                      <a:avLst/>
                    </a:prstGeom>
                    <a:noFill/>
                    <a:ln>
                      <a:noFill/>
                    </a:ln>
                    <a:extLst>
                      <a:ext uri="{53640926-AAD7-44D8-BBD7-CCE9431645EC}">
                        <a14:shadowObscured xmlns:a14="http://schemas.microsoft.com/office/drawing/2010/main"/>
                      </a:ext>
                    </a:extLst>
                  </pic:spPr>
                </pic:pic>
              </a:graphicData>
            </a:graphic>
          </wp:inline>
        </w:drawing>
      </w:r>
      <w:r w:rsidR="009A49EE" w:rsidRPr="00177203">
        <w:rPr>
          <w:rFonts w:eastAsia="宋体" w:cs="Times New Roman"/>
          <w:noProof/>
          <w:sz w:val="24"/>
          <w:szCs w:val="24"/>
        </w:rPr>
        <w:t xml:space="preserve"> </w:t>
      </w:r>
    </w:p>
    <w:p w14:paraId="21BF86AF" w14:textId="452A1844" w:rsidR="00E82C4A" w:rsidRPr="00177203" w:rsidRDefault="00306188" w:rsidP="003C0293">
      <w:pPr>
        <w:spacing w:afterLines="50" w:after="156"/>
        <w:outlineLvl w:val="3"/>
        <w:rPr>
          <w:rFonts w:eastAsia="宋体" w:cs="Times New Roman"/>
          <w:sz w:val="24"/>
          <w:szCs w:val="24"/>
        </w:rPr>
      </w:pPr>
      <w:r w:rsidRPr="00177203">
        <w:rPr>
          <w:rFonts w:eastAsia="宋体" w:cs="Times New Roman"/>
          <w:b/>
          <w:bCs/>
          <w:color w:val="000000" w:themeColor="text1"/>
          <w:sz w:val="24"/>
          <w:szCs w:val="24"/>
        </w:rPr>
        <w:t>Supplementary</w:t>
      </w:r>
      <w:r w:rsidR="009A49EE" w:rsidRPr="00177203">
        <w:rPr>
          <w:rFonts w:eastAsia="宋体" w:cs="Times New Roman"/>
          <w:b/>
          <w:bCs/>
          <w:color w:val="000000" w:themeColor="text1"/>
          <w:sz w:val="24"/>
          <w:szCs w:val="24"/>
        </w:rPr>
        <w:t xml:space="preserve"> Fig. 10</w:t>
      </w:r>
      <w:r w:rsidR="009A49EE" w:rsidRPr="00177203">
        <w:rPr>
          <w:rFonts w:eastAsia="宋体" w:cs="Times New Roman"/>
          <w:color w:val="000000" w:themeColor="text1"/>
          <w:sz w:val="24"/>
          <w:szCs w:val="24"/>
        </w:rPr>
        <w:t xml:space="preserve">. </w:t>
      </w:r>
      <w:r w:rsidR="007C3F98" w:rsidRPr="00177203">
        <w:rPr>
          <w:rFonts w:eastAsia="宋体" w:cs="Times New Roman"/>
          <w:sz w:val="24"/>
          <w:szCs w:val="24"/>
        </w:rPr>
        <w:t xml:space="preserve">Aberration-corrected high-angle annular dark-field scanning transmission electron microscopy (AC HAADF-STEM) images of (a)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sz w:val="24"/>
          <w:szCs w:val="24"/>
        </w:rPr>
        <w:t xml:space="preserve">, (b)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sz w:val="24"/>
          <w:szCs w:val="24"/>
        </w:rPr>
        <w:t xml:space="preserve">,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sz w:val="24"/>
          <w:szCs w:val="24"/>
        </w:rPr>
        <w:t xml:space="preserve"> and (d)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sz w:val="24"/>
          <w:szCs w:val="24"/>
        </w:rPr>
        <w:t xml:space="preserve">, showing the atomic dispersion of Cu species. </w:t>
      </w:r>
      <w:r w:rsidR="000E342C" w:rsidRPr="00177203">
        <w:rPr>
          <w:rFonts w:eastAsia="宋体" w:cs="Times New Roman"/>
          <w:sz w:val="24"/>
          <w:szCs w:val="24"/>
        </w:rPr>
        <w:t>The</w:t>
      </w:r>
      <w:r w:rsidR="007C3F98" w:rsidRPr="00177203">
        <w:rPr>
          <w:rFonts w:eastAsia="宋体" w:cs="Times New Roman"/>
          <w:sz w:val="24"/>
          <w:szCs w:val="24"/>
        </w:rPr>
        <w:t xml:space="preserve"> scale bar</w:t>
      </w:r>
      <w:r w:rsidR="000E342C" w:rsidRPr="00177203">
        <w:rPr>
          <w:rFonts w:eastAsia="宋体" w:cs="Times New Roman"/>
          <w:sz w:val="24"/>
          <w:szCs w:val="24"/>
        </w:rPr>
        <w:t xml:space="preserve"> i</w:t>
      </w:r>
      <w:r w:rsidR="007C3F98" w:rsidRPr="00177203">
        <w:rPr>
          <w:rFonts w:eastAsia="宋体" w:cs="Times New Roman"/>
          <w:sz w:val="24"/>
          <w:szCs w:val="24"/>
        </w:rPr>
        <w:t>s 2 nm.</w:t>
      </w:r>
    </w:p>
    <w:p w14:paraId="799676EB" w14:textId="77777777" w:rsidR="00E82C4A" w:rsidRPr="00177203" w:rsidRDefault="00E82C4A">
      <w:pPr>
        <w:widowControl/>
        <w:spacing w:line="240" w:lineRule="auto"/>
        <w:jc w:val="left"/>
        <w:rPr>
          <w:rFonts w:eastAsia="宋体" w:cs="Times New Roman"/>
          <w:sz w:val="24"/>
          <w:szCs w:val="24"/>
        </w:rPr>
      </w:pPr>
      <w:r w:rsidRPr="00177203">
        <w:rPr>
          <w:rFonts w:eastAsia="宋体" w:cs="Times New Roman"/>
          <w:sz w:val="24"/>
          <w:szCs w:val="24"/>
        </w:rPr>
        <w:br w:type="page"/>
      </w:r>
    </w:p>
    <w:p w14:paraId="1E969DFD" w14:textId="0C5A55C9" w:rsidR="009A49EE" w:rsidRPr="00177203" w:rsidRDefault="00E82C4A" w:rsidP="00BE0CBE">
      <w:pPr>
        <w:spacing w:afterLines="50" w:after="156"/>
        <w:rPr>
          <w:rFonts w:eastAsia="宋体" w:cs="Times New Roman"/>
          <w:noProof/>
          <w:sz w:val="24"/>
          <w:szCs w:val="24"/>
        </w:rPr>
      </w:pPr>
      <w:r w:rsidRPr="00177203">
        <w:rPr>
          <w:rFonts w:cs="Times New Roman"/>
          <w:noProof/>
        </w:rPr>
        <w:drawing>
          <wp:inline distT="0" distB="0" distL="0" distR="0" wp14:anchorId="5A1824D4" wp14:editId="61A2B455">
            <wp:extent cx="5278120" cy="5272644"/>
            <wp:effectExtent l="0" t="0" r="0" b="4445"/>
            <wp:docPr id="158248896" name="图片 15824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5141"/>
                    <a:stretch/>
                  </pic:blipFill>
                  <pic:spPr bwMode="auto">
                    <a:xfrm>
                      <a:off x="0" y="0"/>
                      <a:ext cx="5278120" cy="5272644"/>
                    </a:xfrm>
                    <a:prstGeom prst="rect">
                      <a:avLst/>
                    </a:prstGeom>
                    <a:noFill/>
                    <a:ln>
                      <a:noFill/>
                    </a:ln>
                    <a:extLst>
                      <a:ext uri="{53640926-AAD7-44D8-BBD7-CCE9431645EC}">
                        <a14:shadowObscured xmlns:a14="http://schemas.microsoft.com/office/drawing/2010/main"/>
                      </a:ext>
                    </a:extLst>
                  </pic:spPr>
                </pic:pic>
              </a:graphicData>
            </a:graphic>
          </wp:inline>
        </w:drawing>
      </w:r>
    </w:p>
    <w:p w14:paraId="407920B7" w14:textId="27BE404D" w:rsidR="009A49EE"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9A49EE" w:rsidRPr="00177203">
        <w:rPr>
          <w:rFonts w:eastAsia="宋体" w:cs="Times New Roman"/>
          <w:b/>
          <w:bCs/>
          <w:color w:val="000000" w:themeColor="text1"/>
          <w:sz w:val="24"/>
          <w:szCs w:val="24"/>
        </w:rPr>
        <w:t xml:space="preserve"> Fig. 1</w:t>
      </w:r>
      <w:r w:rsidR="00077417" w:rsidRPr="00177203">
        <w:rPr>
          <w:rFonts w:eastAsia="宋体" w:cs="Times New Roman"/>
          <w:b/>
          <w:bCs/>
          <w:color w:val="000000" w:themeColor="text1"/>
          <w:sz w:val="24"/>
          <w:szCs w:val="24"/>
        </w:rPr>
        <w:t>1</w:t>
      </w:r>
      <w:r w:rsidR="009A49EE" w:rsidRPr="00177203">
        <w:rPr>
          <w:rFonts w:eastAsia="宋体" w:cs="Times New Roman"/>
          <w:color w:val="000000" w:themeColor="text1"/>
          <w:sz w:val="24"/>
          <w:szCs w:val="24"/>
        </w:rPr>
        <w:t xml:space="preserve">. </w:t>
      </w:r>
      <w:r w:rsidR="007C3F98" w:rsidRPr="00177203">
        <w:rPr>
          <w:rFonts w:eastAsia="宋体" w:cs="Times New Roman"/>
          <w:sz w:val="24"/>
          <w:szCs w:val="24"/>
        </w:rPr>
        <w:t xml:space="preserve">Scanning transmission electron microscopy (STEM) image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sz w:val="24"/>
          <w:szCs w:val="24"/>
        </w:rPr>
        <w:t xml:space="preserve">, showing the nanoconfined cavities with a dominant size of </w:t>
      </w:r>
      <w:r w:rsidR="00F26085" w:rsidRPr="00177203">
        <w:rPr>
          <w:rFonts w:eastAsia="宋体" w:cs="Times New Roman"/>
          <w:sz w:val="24"/>
          <w:szCs w:val="24"/>
        </w:rPr>
        <w:t>1.7–</w:t>
      </w:r>
      <w:r w:rsidR="007C3F98" w:rsidRPr="00177203">
        <w:rPr>
          <w:rFonts w:eastAsia="宋体" w:cs="Times New Roman"/>
          <w:sz w:val="24"/>
          <w:szCs w:val="24"/>
        </w:rPr>
        <w:t xml:space="preserve">1.8 nm. </w:t>
      </w:r>
      <w:r w:rsidR="000E342C" w:rsidRPr="00177203">
        <w:rPr>
          <w:rFonts w:eastAsia="宋体" w:cs="Times New Roman"/>
          <w:sz w:val="24"/>
          <w:szCs w:val="24"/>
        </w:rPr>
        <w:t>The s</w:t>
      </w:r>
      <w:r w:rsidR="007C3F98" w:rsidRPr="00177203">
        <w:rPr>
          <w:rFonts w:eastAsia="宋体" w:cs="Times New Roman"/>
          <w:sz w:val="24"/>
          <w:szCs w:val="24"/>
        </w:rPr>
        <w:t>cale bar is 50 nm.</w:t>
      </w:r>
    </w:p>
    <w:p w14:paraId="20FE7192" w14:textId="7B551056" w:rsidR="009A49EE" w:rsidRPr="00177203" w:rsidRDefault="00D45550" w:rsidP="009A49EE">
      <w:pPr>
        <w:spacing w:afterLines="50" w:after="156"/>
        <w:rPr>
          <w:rFonts w:eastAsia="宋体" w:cs="Times New Roman"/>
          <w:noProof/>
          <w:sz w:val="24"/>
          <w:szCs w:val="24"/>
        </w:rPr>
      </w:pPr>
      <w:r w:rsidRPr="00177203">
        <w:rPr>
          <w:rFonts w:cs="Times New Roman"/>
          <w:noProof/>
        </w:rPr>
        <w:drawing>
          <wp:inline distT="0" distB="0" distL="0" distR="0" wp14:anchorId="47776DC5" wp14:editId="332DE4B4">
            <wp:extent cx="5278120" cy="3534770"/>
            <wp:effectExtent l="0" t="0" r="0" b="8890"/>
            <wp:docPr id="158248897" name="图片 15824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9788"/>
                    <a:stretch/>
                  </pic:blipFill>
                  <pic:spPr bwMode="auto">
                    <a:xfrm>
                      <a:off x="0" y="0"/>
                      <a:ext cx="5278120" cy="3534770"/>
                    </a:xfrm>
                    <a:prstGeom prst="rect">
                      <a:avLst/>
                    </a:prstGeom>
                    <a:noFill/>
                    <a:ln>
                      <a:noFill/>
                    </a:ln>
                    <a:extLst>
                      <a:ext uri="{53640926-AAD7-44D8-BBD7-CCE9431645EC}">
                        <a14:shadowObscured xmlns:a14="http://schemas.microsoft.com/office/drawing/2010/main"/>
                      </a:ext>
                    </a:extLst>
                  </pic:spPr>
                </pic:pic>
              </a:graphicData>
            </a:graphic>
          </wp:inline>
        </w:drawing>
      </w:r>
      <w:r w:rsidR="009A49EE" w:rsidRPr="00177203">
        <w:rPr>
          <w:rFonts w:eastAsia="宋体" w:cs="Times New Roman"/>
          <w:noProof/>
          <w:sz w:val="24"/>
          <w:szCs w:val="24"/>
        </w:rPr>
        <w:t xml:space="preserve"> </w:t>
      </w:r>
    </w:p>
    <w:p w14:paraId="5EB19CCE" w14:textId="762A2FFB" w:rsidR="000067E3"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9A49EE" w:rsidRPr="00177203">
        <w:rPr>
          <w:rFonts w:eastAsia="宋体" w:cs="Times New Roman"/>
          <w:b/>
          <w:bCs/>
          <w:color w:val="000000" w:themeColor="text1"/>
          <w:sz w:val="24"/>
          <w:szCs w:val="24"/>
        </w:rPr>
        <w:t xml:space="preserve"> Fig. 1</w:t>
      </w:r>
      <w:r w:rsidR="00077417" w:rsidRPr="00177203">
        <w:rPr>
          <w:rFonts w:eastAsia="宋体" w:cs="Times New Roman"/>
          <w:b/>
          <w:bCs/>
          <w:color w:val="000000" w:themeColor="text1"/>
          <w:sz w:val="24"/>
          <w:szCs w:val="24"/>
        </w:rPr>
        <w:t>2</w:t>
      </w:r>
      <w:r w:rsidR="009A49EE"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Energy dispersive X-ray spectroscopy (EDS) elemental mapping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(a) STEM bright-field image, and corresponding elemental maps of (b) N, (c) Cu, (d) C, (e) Zn. Scale bar is 50 nm.</w:t>
      </w:r>
      <w:r w:rsidR="000067E3" w:rsidRPr="00177203">
        <w:rPr>
          <w:rFonts w:eastAsia="宋体" w:cs="Times New Roman"/>
          <w:color w:val="000000" w:themeColor="text1"/>
          <w:sz w:val="24"/>
          <w:szCs w:val="24"/>
        </w:rPr>
        <w:t xml:space="preserve"> </w:t>
      </w:r>
    </w:p>
    <w:p w14:paraId="6BE17F67" w14:textId="7A6B310E" w:rsidR="000067E3" w:rsidRPr="00177203" w:rsidRDefault="00BE2E5C" w:rsidP="000067E3">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EDS elemental mapping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12) showed dominant uniform C, significant homogeneous N, atomically dispersed trace Cu, and nearly undetectable Zn. The weight ratios of both Cu and Zn were below 1 wt.%.</w:t>
      </w:r>
    </w:p>
    <w:p w14:paraId="07B0C431" w14:textId="118DE0C0" w:rsidR="009A49EE" w:rsidRPr="00177203" w:rsidRDefault="000067E3" w:rsidP="000067E3">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Furthermore, the actual Cu and Zn contents of all tZIF-Cu samples were quantified by ICP-OES. The residual Zn content in all pyrolyzed samples is below 0.03 wt%, and the Cu content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is 0.2</w:t>
      </w:r>
      <w:r w:rsidR="0090370B" w:rsidRPr="00177203">
        <w:rPr>
          <w:rFonts w:eastAsia="宋体" w:cs="Times New Roman"/>
          <w:color w:val="000000" w:themeColor="text1"/>
          <w:sz w:val="24"/>
          <w:szCs w:val="24"/>
        </w:rPr>
        <w:t>3</w:t>
      </w:r>
      <w:r w:rsidRPr="00177203">
        <w:rPr>
          <w:rFonts w:eastAsia="宋体" w:cs="Times New Roman"/>
          <w:color w:val="000000" w:themeColor="text1"/>
          <w:sz w:val="24"/>
          <w:szCs w:val="24"/>
        </w:rPr>
        <w:t xml:space="preserve"> wt%, 0.22 wt%, 0.2</w:t>
      </w:r>
      <w:r w:rsidR="0090370B" w:rsidRPr="00177203">
        <w:rPr>
          <w:rFonts w:eastAsia="宋体" w:cs="Times New Roman"/>
          <w:color w:val="000000" w:themeColor="text1"/>
          <w:sz w:val="24"/>
          <w:szCs w:val="24"/>
        </w:rPr>
        <w:t>2</w:t>
      </w:r>
      <w:r w:rsidRPr="00177203">
        <w:rPr>
          <w:rFonts w:eastAsia="宋体" w:cs="Times New Roman"/>
          <w:color w:val="000000" w:themeColor="text1"/>
          <w:sz w:val="24"/>
          <w:szCs w:val="24"/>
        </w:rPr>
        <w:t xml:space="preserve"> wt%, and 0.</w:t>
      </w:r>
      <w:r w:rsidR="0090370B" w:rsidRPr="00177203">
        <w:rPr>
          <w:rFonts w:eastAsia="宋体" w:cs="Times New Roman"/>
          <w:color w:val="000000" w:themeColor="text1"/>
          <w:sz w:val="24"/>
          <w:szCs w:val="24"/>
        </w:rPr>
        <w:t>21</w:t>
      </w:r>
      <w:r w:rsidRPr="00177203">
        <w:rPr>
          <w:rFonts w:eastAsia="宋体" w:cs="Times New Roman"/>
          <w:color w:val="000000" w:themeColor="text1"/>
          <w:sz w:val="24"/>
          <w:szCs w:val="24"/>
        </w:rPr>
        <w:t xml:space="preserve"> wt%, respectively</w:t>
      </w:r>
      <w:r w:rsidR="00BE2E5C" w:rsidRPr="00177203">
        <w:rPr>
          <w:rFonts w:eastAsia="宋体" w:cs="Times New Roman"/>
          <w:color w:val="000000" w:themeColor="text1"/>
          <w:sz w:val="24"/>
          <w:szCs w:val="24"/>
        </w:rPr>
        <w:t>, consistent with EDS results.</w:t>
      </w:r>
      <w:r w:rsidR="009A49EE" w:rsidRPr="00177203">
        <w:rPr>
          <w:rFonts w:eastAsia="宋体" w:cs="Times New Roman"/>
          <w:color w:val="000000" w:themeColor="text1"/>
          <w:sz w:val="24"/>
          <w:szCs w:val="24"/>
        </w:rPr>
        <w:br w:type="page"/>
      </w:r>
    </w:p>
    <w:p w14:paraId="5B1B094F" w14:textId="7B20B861" w:rsidR="00CE3C10" w:rsidRPr="00177203" w:rsidRDefault="00D45550" w:rsidP="00F4316A">
      <w:pPr>
        <w:spacing w:afterLines="50" w:after="156"/>
        <w:rPr>
          <w:rFonts w:eastAsia="宋体" w:cs="Times New Roman"/>
          <w:noProof/>
          <w:sz w:val="24"/>
          <w:szCs w:val="24"/>
        </w:rPr>
      </w:pPr>
      <w:r w:rsidRPr="00177203">
        <w:rPr>
          <w:rFonts w:cs="Times New Roman"/>
          <w:noProof/>
        </w:rPr>
        <w:drawing>
          <wp:inline distT="0" distB="0" distL="0" distR="0" wp14:anchorId="45940A58" wp14:editId="4E9E8A56">
            <wp:extent cx="5278120" cy="1965278"/>
            <wp:effectExtent l="0" t="0" r="0" b="0"/>
            <wp:docPr id="158248899" name="图片 15824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72083"/>
                    <a:stretch/>
                  </pic:blipFill>
                  <pic:spPr bwMode="auto">
                    <a:xfrm>
                      <a:off x="0" y="0"/>
                      <a:ext cx="5278120" cy="1965278"/>
                    </a:xfrm>
                    <a:prstGeom prst="rect">
                      <a:avLst/>
                    </a:prstGeom>
                    <a:noFill/>
                    <a:ln>
                      <a:noFill/>
                    </a:ln>
                    <a:extLst>
                      <a:ext uri="{53640926-AAD7-44D8-BBD7-CCE9431645EC}">
                        <a14:shadowObscured xmlns:a14="http://schemas.microsoft.com/office/drawing/2010/main"/>
                      </a:ext>
                    </a:extLst>
                  </pic:spPr>
                </pic:pic>
              </a:graphicData>
            </a:graphic>
          </wp:inline>
        </w:drawing>
      </w:r>
      <w:r w:rsidR="00CE3C10" w:rsidRPr="00177203">
        <w:rPr>
          <w:rFonts w:eastAsia="宋体" w:cs="Times New Roman"/>
          <w:noProof/>
          <w:sz w:val="24"/>
          <w:szCs w:val="24"/>
        </w:rPr>
        <w:t xml:space="preserve"> </w:t>
      </w:r>
    </w:p>
    <w:p w14:paraId="3BC90C46" w14:textId="7EEB07D4" w:rsidR="001B5BC2"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E3C10" w:rsidRPr="00177203">
        <w:rPr>
          <w:rFonts w:eastAsia="宋体" w:cs="Times New Roman"/>
          <w:b/>
          <w:bCs/>
          <w:color w:val="000000" w:themeColor="text1"/>
          <w:sz w:val="24"/>
          <w:szCs w:val="24"/>
        </w:rPr>
        <w:t xml:space="preserve"> Fig. 1</w:t>
      </w:r>
      <w:r w:rsidR="00077417" w:rsidRPr="00177203">
        <w:rPr>
          <w:rFonts w:eastAsia="宋体" w:cs="Times New Roman"/>
          <w:b/>
          <w:bCs/>
          <w:color w:val="000000" w:themeColor="text1"/>
          <w:sz w:val="24"/>
          <w:szCs w:val="24"/>
        </w:rPr>
        <w:t>3</w:t>
      </w:r>
      <w:r w:rsidR="00CE3C10"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Scanning electron microscopy (SEM) images of </w:t>
      </w:r>
      <w:r w:rsidR="00E63B12" w:rsidRPr="00177203">
        <w:rPr>
          <w:rFonts w:eastAsia="宋体" w:cs="Times New Roman"/>
          <w:color w:val="000000" w:themeColor="text1"/>
          <w:sz w:val="24"/>
          <w:szCs w:val="24"/>
        </w:rPr>
        <w:t>tZIF</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w:t>
      </w:r>
      <w:r w:rsidR="003434F7" w:rsidRPr="00177203">
        <w:rPr>
          <w:rFonts w:eastAsia="宋体" w:cs="Times New Roman"/>
          <w:color w:val="000000" w:themeColor="text1"/>
          <w:sz w:val="24"/>
          <w:szCs w:val="24"/>
        </w:rPr>
        <w:t>(</w:t>
      </w:r>
      <w:r w:rsidR="003434F7" w:rsidRPr="00177203">
        <w:rPr>
          <w:rFonts w:cs="Times New Roman"/>
        </w:rPr>
        <w:t>undoped ZIF</w:t>
      </w:r>
      <w:r w:rsidR="003434F7"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 xml:space="preserve">annealed at 900 °C. </w:t>
      </w:r>
      <w:r w:rsidR="003434F7" w:rsidRPr="00177203">
        <w:rPr>
          <w:rFonts w:eastAsia="宋体" w:cs="Times New Roman"/>
          <w:color w:val="000000" w:themeColor="text1"/>
          <w:sz w:val="24"/>
          <w:szCs w:val="24"/>
        </w:rPr>
        <w:t xml:space="preserve">The </w:t>
      </w:r>
      <w:r w:rsidR="007C3F98" w:rsidRPr="00177203">
        <w:rPr>
          <w:rFonts w:eastAsia="宋体" w:cs="Times New Roman"/>
          <w:color w:val="000000" w:themeColor="text1"/>
          <w:sz w:val="24"/>
          <w:szCs w:val="24"/>
        </w:rPr>
        <w:t>scale bar</w:t>
      </w:r>
      <w:r w:rsidR="003434F7" w:rsidRPr="00177203">
        <w:rPr>
          <w:rFonts w:eastAsia="宋体" w:cs="Times New Roman"/>
          <w:color w:val="000000" w:themeColor="text1"/>
          <w:sz w:val="24"/>
          <w:szCs w:val="24"/>
        </w:rPr>
        <w:t xml:space="preserve"> is</w:t>
      </w:r>
      <w:r w:rsidR="007C3F98" w:rsidRPr="00177203">
        <w:rPr>
          <w:rFonts w:eastAsia="宋体" w:cs="Times New Roman"/>
          <w:color w:val="000000" w:themeColor="text1"/>
          <w:sz w:val="24"/>
          <w:szCs w:val="24"/>
        </w:rPr>
        <w:t xml:space="preserve"> 500 nm. </w:t>
      </w:r>
      <w:r w:rsidR="001B5BC2" w:rsidRPr="00177203">
        <w:rPr>
          <w:rFonts w:eastAsia="宋体" w:cs="Times New Roman"/>
          <w:color w:val="000000" w:themeColor="text1"/>
          <w:sz w:val="24"/>
          <w:szCs w:val="24"/>
        </w:rPr>
        <w:br w:type="page"/>
      </w:r>
    </w:p>
    <w:p w14:paraId="484B2B39" w14:textId="3973893B" w:rsidR="00CE3C10" w:rsidRPr="00177203" w:rsidRDefault="00D45550" w:rsidP="00CE3C10">
      <w:pPr>
        <w:spacing w:afterLines="50" w:after="156"/>
        <w:rPr>
          <w:rFonts w:eastAsia="宋体" w:cs="Times New Roman"/>
          <w:noProof/>
          <w:sz w:val="24"/>
          <w:szCs w:val="24"/>
        </w:rPr>
      </w:pPr>
      <w:r w:rsidRPr="00177203">
        <w:rPr>
          <w:rFonts w:cs="Times New Roman"/>
          <w:noProof/>
        </w:rPr>
        <w:drawing>
          <wp:inline distT="0" distB="0" distL="0" distR="0" wp14:anchorId="47B5D964" wp14:editId="328FB84F">
            <wp:extent cx="5278120" cy="1965278"/>
            <wp:effectExtent l="0" t="0" r="0" b="0"/>
            <wp:docPr id="158248901" name="图片 15824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2083"/>
                    <a:stretch/>
                  </pic:blipFill>
                  <pic:spPr bwMode="auto">
                    <a:xfrm>
                      <a:off x="0" y="0"/>
                      <a:ext cx="5278120" cy="1965278"/>
                    </a:xfrm>
                    <a:prstGeom prst="rect">
                      <a:avLst/>
                    </a:prstGeom>
                    <a:noFill/>
                    <a:ln>
                      <a:noFill/>
                    </a:ln>
                    <a:extLst>
                      <a:ext uri="{53640926-AAD7-44D8-BBD7-CCE9431645EC}">
                        <a14:shadowObscured xmlns:a14="http://schemas.microsoft.com/office/drawing/2010/main"/>
                      </a:ext>
                    </a:extLst>
                  </pic:spPr>
                </pic:pic>
              </a:graphicData>
            </a:graphic>
          </wp:inline>
        </w:drawing>
      </w:r>
      <w:r w:rsidR="00CE3C10" w:rsidRPr="00177203">
        <w:rPr>
          <w:rFonts w:eastAsia="宋体" w:cs="Times New Roman"/>
          <w:noProof/>
          <w:sz w:val="24"/>
          <w:szCs w:val="24"/>
        </w:rPr>
        <w:t xml:space="preserve"> </w:t>
      </w:r>
    </w:p>
    <w:p w14:paraId="6B27DAA4" w14:textId="034A4618" w:rsidR="001B5BC2"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E3C10" w:rsidRPr="00177203">
        <w:rPr>
          <w:rFonts w:eastAsia="宋体" w:cs="Times New Roman"/>
          <w:b/>
          <w:bCs/>
          <w:color w:val="000000" w:themeColor="text1"/>
          <w:sz w:val="24"/>
          <w:szCs w:val="24"/>
        </w:rPr>
        <w:t xml:space="preserve"> Fig. 1</w:t>
      </w:r>
      <w:r w:rsidR="00077417" w:rsidRPr="00177203">
        <w:rPr>
          <w:rFonts w:eastAsia="宋体" w:cs="Times New Roman"/>
          <w:b/>
          <w:bCs/>
          <w:color w:val="000000" w:themeColor="text1"/>
          <w:sz w:val="24"/>
          <w:szCs w:val="24"/>
        </w:rPr>
        <w:t>4</w:t>
      </w:r>
      <w:r w:rsidR="00CE3C10"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Scanning electron microscopy (SEM) images of control sample tZIF-Co</w:t>
      </w:r>
      <w:r w:rsidR="007C3F98" w:rsidRPr="00177203">
        <w:rPr>
          <w:rFonts w:eastAsia="宋体" w:cs="Times New Roman"/>
          <w:color w:val="000000" w:themeColor="text1"/>
          <w:sz w:val="24"/>
          <w:szCs w:val="24"/>
          <w:vertAlign w:val="subscript"/>
        </w:rPr>
        <w:t xml:space="preserve">900 </w:t>
      </w:r>
      <w:r w:rsidR="007C3F98" w:rsidRPr="00177203">
        <w:rPr>
          <w:rFonts w:eastAsia="宋体" w:cs="Times New Roman"/>
          <w:color w:val="000000" w:themeColor="text1"/>
          <w:sz w:val="24"/>
          <w:szCs w:val="24"/>
        </w:rPr>
        <w:t xml:space="preserve">synthesized via the same thermal sculpting protocol as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All scale bars are 250 nm. </w:t>
      </w:r>
      <w:r w:rsidR="001B5BC2" w:rsidRPr="00177203">
        <w:rPr>
          <w:rFonts w:eastAsia="宋体" w:cs="Times New Roman"/>
          <w:color w:val="000000" w:themeColor="text1"/>
          <w:sz w:val="24"/>
          <w:szCs w:val="24"/>
        </w:rPr>
        <w:br w:type="page"/>
      </w:r>
    </w:p>
    <w:p w14:paraId="59C5479F" w14:textId="0D16AC1F" w:rsidR="00482F25" w:rsidRPr="00177203" w:rsidRDefault="00D45550" w:rsidP="00EB7BD1">
      <w:pPr>
        <w:spacing w:afterLines="50" w:after="156"/>
        <w:rPr>
          <w:rFonts w:eastAsia="宋体" w:cs="Times New Roman"/>
          <w:noProof/>
          <w:sz w:val="24"/>
          <w:szCs w:val="24"/>
        </w:rPr>
      </w:pPr>
      <w:r w:rsidRPr="00177203">
        <w:rPr>
          <w:rFonts w:cs="Times New Roman"/>
          <w:noProof/>
        </w:rPr>
        <w:drawing>
          <wp:inline distT="0" distB="0" distL="0" distR="0" wp14:anchorId="3738E8CB" wp14:editId="2E8EAD01">
            <wp:extent cx="5278120" cy="1965278"/>
            <wp:effectExtent l="0" t="0" r="0" b="0"/>
            <wp:docPr id="158248902" name="图片 15824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72083"/>
                    <a:stretch/>
                  </pic:blipFill>
                  <pic:spPr bwMode="auto">
                    <a:xfrm>
                      <a:off x="0" y="0"/>
                      <a:ext cx="5278120" cy="1965278"/>
                    </a:xfrm>
                    <a:prstGeom prst="rect">
                      <a:avLst/>
                    </a:prstGeom>
                    <a:noFill/>
                    <a:ln>
                      <a:noFill/>
                    </a:ln>
                    <a:extLst>
                      <a:ext uri="{53640926-AAD7-44D8-BBD7-CCE9431645EC}">
                        <a14:shadowObscured xmlns:a14="http://schemas.microsoft.com/office/drawing/2010/main"/>
                      </a:ext>
                    </a:extLst>
                  </pic:spPr>
                </pic:pic>
              </a:graphicData>
            </a:graphic>
          </wp:inline>
        </w:drawing>
      </w:r>
    </w:p>
    <w:p w14:paraId="677647A5" w14:textId="0140F697" w:rsidR="001B5BC2"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482F25" w:rsidRPr="00177203">
        <w:rPr>
          <w:rFonts w:eastAsia="宋体" w:cs="Times New Roman"/>
          <w:b/>
          <w:bCs/>
          <w:color w:val="000000" w:themeColor="text1"/>
          <w:sz w:val="24"/>
          <w:szCs w:val="24"/>
        </w:rPr>
        <w:t xml:space="preserve"> Fig. 15</w:t>
      </w:r>
      <w:r w:rsidR="00482F25" w:rsidRPr="00177203">
        <w:rPr>
          <w:rFonts w:eastAsia="宋体" w:cs="Times New Roman"/>
          <w:color w:val="000000" w:themeColor="text1"/>
          <w:sz w:val="24"/>
          <w:szCs w:val="24"/>
        </w:rPr>
        <w:t xml:space="preserve">. </w:t>
      </w:r>
      <w:r w:rsidR="007C3F98" w:rsidRPr="00177203">
        <w:rPr>
          <w:rFonts w:eastAsia="宋体" w:cs="Times New Roman"/>
          <w:color w:val="000000" w:themeColor="text1"/>
          <w:sz w:val="24"/>
          <w:szCs w:val="24"/>
        </w:rPr>
        <w:t>Scanning electron microscopy (SEM) images of control sample tZIF-Fe</w:t>
      </w:r>
      <w:r w:rsidR="007C3F98"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synthesized via the same thermal sculpting protocol as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color w:val="000000" w:themeColor="text1"/>
          <w:sz w:val="24"/>
          <w:szCs w:val="24"/>
        </w:rPr>
        <w:t xml:space="preserve">. All scale bars are 250 nm. </w:t>
      </w:r>
      <w:r w:rsidR="001B5BC2" w:rsidRPr="00177203">
        <w:rPr>
          <w:rFonts w:eastAsia="宋体" w:cs="Times New Roman"/>
          <w:color w:val="000000" w:themeColor="text1"/>
          <w:sz w:val="24"/>
          <w:szCs w:val="24"/>
        </w:rPr>
        <w:br w:type="page"/>
      </w:r>
    </w:p>
    <w:p w14:paraId="2812B6D1" w14:textId="0EE7E7CD" w:rsidR="00CE3C10" w:rsidRPr="00177203" w:rsidRDefault="00311F84" w:rsidP="00D45550">
      <w:pPr>
        <w:spacing w:afterLines="50" w:after="156"/>
        <w:jc w:val="center"/>
        <w:rPr>
          <w:rFonts w:eastAsia="宋体" w:cs="Times New Roman"/>
          <w:noProof/>
          <w:sz w:val="24"/>
          <w:szCs w:val="24"/>
        </w:rPr>
      </w:pPr>
      <w:r w:rsidRPr="00177203">
        <w:rPr>
          <w:rFonts w:cs="Times New Roman"/>
          <w:noProof/>
        </w:rPr>
        <w:drawing>
          <wp:inline distT="0" distB="0" distL="0" distR="0" wp14:anchorId="697D61F3" wp14:editId="70A4CED9">
            <wp:extent cx="5278120" cy="36468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3646805"/>
                    </a:xfrm>
                    <a:prstGeom prst="rect">
                      <a:avLst/>
                    </a:prstGeom>
                    <a:noFill/>
                    <a:ln>
                      <a:noFill/>
                    </a:ln>
                  </pic:spPr>
                </pic:pic>
              </a:graphicData>
            </a:graphic>
          </wp:inline>
        </w:drawing>
      </w:r>
    </w:p>
    <w:p w14:paraId="078A21D7" w14:textId="326AA884" w:rsidR="005B35A7" w:rsidRPr="00177203" w:rsidRDefault="00306188" w:rsidP="005B35A7">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E3C10" w:rsidRPr="00177203">
        <w:rPr>
          <w:rFonts w:eastAsia="宋体" w:cs="Times New Roman"/>
          <w:b/>
          <w:bCs/>
          <w:color w:val="000000" w:themeColor="text1"/>
          <w:sz w:val="24"/>
          <w:szCs w:val="24"/>
        </w:rPr>
        <w:t xml:space="preserve"> Fig. 1</w:t>
      </w:r>
      <w:r w:rsidR="00482F25" w:rsidRPr="00177203">
        <w:rPr>
          <w:rFonts w:eastAsia="宋体" w:cs="Times New Roman"/>
          <w:b/>
          <w:bCs/>
          <w:color w:val="000000" w:themeColor="text1"/>
          <w:sz w:val="24"/>
          <w:szCs w:val="24"/>
        </w:rPr>
        <w:t>6</w:t>
      </w:r>
      <w:r w:rsidR="00CE3C10" w:rsidRPr="00177203">
        <w:rPr>
          <w:rFonts w:eastAsia="宋体" w:cs="Times New Roman"/>
          <w:color w:val="000000" w:themeColor="text1"/>
          <w:sz w:val="24"/>
          <w:szCs w:val="24"/>
        </w:rPr>
        <w:t xml:space="preserve">. </w:t>
      </w:r>
      <w:r w:rsidR="007C3F98" w:rsidRPr="00177203">
        <w:rPr>
          <w:rFonts w:eastAsia="宋体" w:cs="Times New Roman"/>
          <w:sz w:val="24"/>
          <w:szCs w:val="24"/>
        </w:rPr>
        <w:t xml:space="preserve">X-ray photoelectron spectroscopy (XPS) survey spectra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7C3F98"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7C3F98"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7C3F98" w:rsidRPr="00177203">
        <w:rPr>
          <w:rFonts w:eastAsia="宋体" w:cs="Times New Roman"/>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7C3F98" w:rsidRPr="00177203">
        <w:rPr>
          <w:rFonts w:eastAsia="宋体" w:cs="Times New Roman"/>
          <w:sz w:val="24"/>
          <w:szCs w:val="24"/>
        </w:rPr>
        <w:t xml:space="preserve"> (monochromatic Al Kα radiation, 1486.6 eV). </w:t>
      </w:r>
      <w:r w:rsidR="005B35A7" w:rsidRPr="00177203">
        <w:rPr>
          <w:rFonts w:eastAsia="宋体" w:cs="Times New Roman"/>
          <w:color w:val="000000" w:themeColor="text1"/>
          <w:sz w:val="24"/>
          <w:szCs w:val="24"/>
        </w:rPr>
        <w:br w:type="page"/>
      </w:r>
    </w:p>
    <w:p w14:paraId="4C88D4D0" w14:textId="0078ED16" w:rsidR="006469F1" w:rsidRPr="00177203" w:rsidRDefault="00311F84" w:rsidP="00D4555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641D4AB6" wp14:editId="0B765DEF">
            <wp:extent cx="3600000" cy="2570934"/>
            <wp:effectExtent l="0" t="0" r="635"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0000" cy="2570934"/>
                    </a:xfrm>
                    <a:prstGeom prst="rect">
                      <a:avLst/>
                    </a:prstGeom>
                    <a:noFill/>
                    <a:ln>
                      <a:noFill/>
                    </a:ln>
                  </pic:spPr>
                </pic:pic>
              </a:graphicData>
            </a:graphic>
          </wp:inline>
        </w:drawing>
      </w:r>
    </w:p>
    <w:p w14:paraId="6EC502E5" w14:textId="7982348C" w:rsidR="005B35A7" w:rsidRPr="00177203" w:rsidRDefault="00306188" w:rsidP="005B35A7">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E3C10" w:rsidRPr="00177203">
        <w:rPr>
          <w:rFonts w:eastAsia="宋体" w:cs="Times New Roman"/>
          <w:b/>
          <w:bCs/>
          <w:color w:val="000000" w:themeColor="text1"/>
          <w:sz w:val="24"/>
          <w:szCs w:val="24"/>
        </w:rPr>
        <w:t xml:space="preserve"> Fig. 1</w:t>
      </w:r>
      <w:r w:rsidR="00856231" w:rsidRPr="00177203">
        <w:rPr>
          <w:rFonts w:eastAsia="宋体" w:cs="Times New Roman"/>
          <w:b/>
          <w:bCs/>
          <w:color w:val="000000" w:themeColor="text1"/>
          <w:sz w:val="24"/>
          <w:szCs w:val="24"/>
        </w:rPr>
        <w:t>7</w:t>
      </w:r>
      <w:r w:rsidR="00CE3C10" w:rsidRPr="00177203">
        <w:rPr>
          <w:rFonts w:eastAsia="宋体" w:cs="Times New Roman"/>
          <w:color w:val="000000" w:themeColor="text1"/>
          <w:sz w:val="24"/>
          <w:szCs w:val="24"/>
        </w:rPr>
        <w:t xml:space="preserve">. </w:t>
      </w:r>
      <w:r w:rsidR="00EC0474" w:rsidRPr="00177203">
        <w:rPr>
          <w:rFonts w:eastAsia="宋体" w:cs="Times New Roman"/>
          <w:sz w:val="24"/>
          <w:szCs w:val="24"/>
        </w:rPr>
        <w:t xml:space="preserve">High-resolution O 1s X-ray photoelectron spectroscopy (XPS) spectra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EC0474"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EC0474"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EC0474" w:rsidRPr="00177203">
        <w:rPr>
          <w:rFonts w:eastAsia="宋体" w:cs="Times New Roman"/>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EC0474" w:rsidRPr="00177203">
        <w:rPr>
          <w:rFonts w:eastAsia="宋体" w:cs="Times New Roman"/>
          <w:sz w:val="24"/>
          <w:szCs w:val="24"/>
        </w:rPr>
        <w:t xml:space="preserve">. All binding energies were calibrated by the adventitious C 1s peak at 284.8 eV. </w:t>
      </w:r>
      <w:r w:rsidR="005B35A7" w:rsidRPr="00177203">
        <w:rPr>
          <w:rFonts w:eastAsia="宋体" w:cs="Times New Roman"/>
          <w:color w:val="000000" w:themeColor="text1"/>
          <w:sz w:val="24"/>
          <w:szCs w:val="24"/>
        </w:rPr>
        <w:br w:type="page"/>
      </w:r>
    </w:p>
    <w:p w14:paraId="0A81A219" w14:textId="3A9FE242" w:rsidR="00BE0CBE" w:rsidRPr="00177203" w:rsidRDefault="004710BE" w:rsidP="00D4555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20BF1C84" wp14:editId="69E9A0F4">
            <wp:extent cx="3600000" cy="2705197"/>
            <wp:effectExtent l="0" t="0" r="63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2705197"/>
                    </a:xfrm>
                    <a:prstGeom prst="rect">
                      <a:avLst/>
                    </a:prstGeom>
                    <a:noFill/>
                    <a:ln>
                      <a:noFill/>
                    </a:ln>
                  </pic:spPr>
                </pic:pic>
              </a:graphicData>
            </a:graphic>
          </wp:inline>
        </w:drawing>
      </w:r>
    </w:p>
    <w:p w14:paraId="7AEEC6DE" w14:textId="56C68948" w:rsidR="00BE0CBE"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BE0CBE" w:rsidRPr="00177203">
        <w:rPr>
          <w:rFonts w:eastAsia="宋体" w:cs="Times New Roman"/>
          <w:b/>
          <w:bCs/>
          <w:color w:val="000000" w:themeColor="text1"/>
          <w:sz w:val="24"/>
          <w:szCs w:val="24"/>
        </w:rPr>
        <w:t xml:space="preserve"> Fig. 1</w:t>
      </w:r>
      <w:r w:rsidR="00856231" w:rsidRPr="00177203">
        <w:rPr>
          <w:rFonts w:eastAsia="宋体" w:cs="Times New Roman"/>
          <w:b/>
          <w:bCs/>
          <w:color w:val="000000" w:themeColor="text1"/>
          <w:sz w:val="24"/>
          <w:szCs w:val="24"/>
        </w:rPr>
        <w:t>8</w:t>
      </w:r>
      <w:r w:rsidR="00BE0CBE" w:rsidRPr="00177203">
        <w:rPr>
          <w:rFonts w:eastAsia="宋体" w:cs="Times New Roman"/>
          <w:color w:val="000000" w:themeColor="text1"/>
          <w:sz w:val="24"/>
          <w:szCs w:val="24"/>
        </w:rPr>
        <w:t xml:space="preserve">. </w:t>
      </w:r>
      <w:r w:rsidR="00EC0474" w:rsidRPr="00177203">
        <w:rPr>
          <w:rFonts w:eastAsia="宋体" w:cs="Times New Roman"/>
          <w:sz w:val="24"/>
          <w:szCs w:val="24"/>
        </w:rPr>
        <w:t xml:space="preserve">High-resolution C 1s X-ray photoelectron spectroscopy (XPS) spectra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EC0474"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EC0474"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EC0474" w:rsidRPr="00177203">
        <w:rPr>
          <w:rFonts w:eastAsia="宋体" w:cs="Times New Roman"/>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EC0474" w:rsidRPr="00177203">
        <w:rPr>
          <w:rFonts w:eastAsia="宋体" w:cs="Times New Roman"/>
          <w:sz w:val="24"/>
          <w:szCs w:val="24"/>
        </w:rPr>
        <w:t>. All binding energies were calibrated by the adventitious C 1s peak at 284.8 eV.</w:t>
      </w:r>
    </w:p>
    <w:p w14:paraId="6CFCC38D" w14:textId="5D38DB8A" w:rsidR="005B35A7" w:rsidRPr="00177203" w:rsidRDefault="00CD2614" w:rsidP="0031587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XPS was performed to characterize the surface chemical composition and coordination environment of tZIF-Cu samples. N 1s spectra </w:t>
      </w:r>
      <w:r w:rsidR="006F6E9C" w:rsidRPr="00177203">
        <w:rPr>
          <w:rFonts w:eastAsia="宋体" w:cs="Times New Roman"/>
          <w:color w:val="000000" w:themeColor="text1"/>
          <w:sz w:val="24"/>
          <w:szCs w:val="24"/>
        </w:rPr>
        <w:t>are</w:t>
      </w:r>
      <w:r w:rsidRPr="00177203">
        <w:rPr>
          <w:rFonts w:eastAsia="宋体" w:cs="Times New Roman"/>
          <w:color w:val="000000" w:themeColor="text1"/>
          <w:sz w:val="24"/>
          <w:szCs w:val="24"/>
        </w:rPr>
        <w:t xml:space="preserve"> deconvoluted into 3 characteristic peaks assigned to pyridinic N, pyrrolic N, and graphitic N. Pyridinic N</w:t>
      </w:r>
      <w:r w:rsidR="00534D12" w:rsidRPr="00177203">
        <w:rPr>
          <w:rFonts w:cs="Times New Roman"/>
          <w:noProof/>
          <w:color w:val="0070C0"/>
          <w:vertAlign w:val="superscript"/>
        </w:rPr>
        <w:t>11</w:t>
      </w:r>
      <w:r w:rsidRPr="00177203">
        <w:rPr>
          <w:rFonts w:eastAsia="宋体" w:cs="Times New Roman"/>
          <w:color w:val="000000" w:themeColor="text1"/>
          <w:sz w:val="24"/>
          <w:szCs w:val="24"/>
        </w:rPr>
        <w:t>, the dominant species for anchoring Cu single atoms, account</w:t>
      </w:r>
      <w:r w:rsidR="006F6E9C" w:rsidRPr="00177203">
        <w:rPr>
          <w:rFonts w:eastAsia="宋体" w:cs="Times New Roman"/>
          <w:color w:val="000000" w:themeColor="text1"/>
          <w:sz w:val="24"/>
          <w:szCs w:val="24"/>
        </w:rPr>
        <w:t xml:space="preserve">s </w:t>
      </w:r>
      <w:r w:rsidRPr="00177203">
        <w:rPr>
          <w:rFonts w:eastAsia="宋体" w:cs="Times New Roman"/>
          <w:color w:val="000000" w:themeColor="text1"/>
          <w:sz w:val="24"/>
          <w:szCs w:val="24"/>
        </w:rPr>
        <w:t xml:space="preserve">for 8.7 at%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higher than that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(7.2 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(6.8 at%),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(5.1 at%). Cu 2p spectra of all samples show two main peaks at ~932.4 eV (Cu 2p</w:t>
      </w:r>
      <w:r w:rsidR="00E63B12" w:rsidRPr="00177203">
        <w:rPr>
          <w:rFonts w:eastAsia="宋体" w:cs="Times New Roman"/>
          <w:color w:val="000000" w:themeColor="text1"/>
          <w:sz w:val="24"/>
          <w:szCs w:val="24"/>
          <w:vertAlign w:val="subscript"/>
        </w:rPr>
        <w:t>3/2</w:t>
      </w:r>
      <w:r w:rsidRPr="00177203">
        <w:rPr>
          <w:rFonts w:eastAsia="宋体" w:cs="Times New Roman"/>
          <w:color w:val="000000" w:themeColor="text1"/>
          <w:sz w:val="24"/>
          <w:szCs w:val="24"/>
        </w:rPr>
        <w:t>) and ~952.2 eV (Cu 2p</w:t>
      </w:r>
      <w:r w:rsidR="00E63B12" w:rsidRPr="00177203">
        <w:rPr>
          <w:rFonts w:eastAsia="宋体" w:cs="Times New Roman"/>
          <w:color w:val="000000" w:themeColor="text1"/>
          <w:sz w:val="24"/>
          <w:szCs w:val="24"/>
          <w:vertAlign w:val="subscript"/>
        </w:rPr>
        <w:t>1/2</w:t>
      </w:r>
      <w:r w:rsidRPr="00177203">
        <w:rPr>
          <w:rFonts w:eastAsia="宋体" w:cs="Times New Roman"/>
          <w:color w:val="000000" w:themeColor="text1"/>
          <w:sz w:val="24"/>
          <w:szCs w:val="24"/>
        </w:rPr>
        <w:t>)</w:t>
      </w:r>
      <w:r w:rsidR="00534D12" w:rsidRPr="00177203">
        <w:rPr>
          <w:rFonts w:eastAsia="宋体" w:cs="Times New Roman"/>
          <w:noProof/>
          <w:color w:val="0070C0"/>
          <w:sz w:val="24"/>
          <w:szCs w:val="24"/>
          <w:vertAlign w:val="superscript"/>
        </w:rPr>
        <w:t>12,13</w:t>
      </w:r>
      <w:r w:rsidRPr="00177203">
        <w:rPr>
          <w:rFonts w:eastAsia="宋体" w:cs="Times New Roman"/>
          <w:color w:val="000000" w:themeColor="text1"/>
          <w:sz w:val="24"/>
          <w:szCs w:val="24"/>
        </w:rPr>
        <w:t>, accompanied by weak satellite peaks, indicating the dominant presence of Cu⁺ species. The Cu 2p</w:t>
      </w:r>
      <w:r w:rsidR="00227209" w:rsidRPr="00177203">
        <w:rPr>
          <w:rFonts w:eastAsia="宋体" w:cs="Times New Roman"/>
          <w:color w:val="000000" w:themeColor="text1"/>
          <w:sz w:val="24"/>
          <w:szCs w:val="24"/>
          <w:vertAlign w:val="subscript"/>
        </w:rPr>
        <w:t>3/2</w:t>
      </w:r>
      <w:r w:rsidRPr="00177203">
        <w:rPr>
          <w:rFonts w:eastAsia="宋体" w:cs="Times New Roman"/>
          <w:color w:val="000000" w:themeColor="text1"/>
          <w:sz w:val="24"/>
          <w:szCs w:val="24"/>
        </w:rPr>
        <w:t xml:space="preserve"> binding energy shift</w:t>
      </w:r>
      <w:r w:rsidR="006F6E9C"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slightly to higher values from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to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indicating a gradual increase in the oxidation state of Cu species with rising pyrolysis temperature. The satellite peak intensity decrease</w:t>
      </w:r>
      <w:r w:rsidR="006F6E9C"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with increasing temperature, confirming the absence of Cu</w:t>
      </w:r>
      <w:r w:rsidR="00E63B12"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aggregates and the dominant presence of Cu</w:t>
      </w:r>
      <w:r w:rsidR="00227209" w:rsidRPr="00177203">
        <w:rPr>
          <w:rFonts w:eastAsia="宋体" w:cs="Times New Roman"/>
          <w:color w:val="000000" w:themeColor="text1"/>
          <w:sz w:val="24"/>
          <w:szCs w:val="24"/>
          <w:vertAlign w:val="superscript"/>
        </w:rPr>
        <w:t>+</w:t>
      </w:r>
      <w:r w:rsidRPr="00177203">
        <w:rPr>
          <w:rFonts w:eastAsia="宋体" w:cs="Times New Roman"/>
          <w:color w:val="000000" w:themeColor="text1"/>
          <w:sz w:val="24"/>
          <w:szCs w:val="24"/>
        </w:rPr>
        <w:t xml:space="preserve"> species in all samples. </w:t>
      </w:r>
      <w:r w:rsidR="00315870" w:rsidRPr="00177203">
        <w:rPr>
          <w:rFonts w:eastAsia="宋体" w:cs="Times New Roman"/>
          <w:color w:val="000000" w:themeColor="text1"/>
          <w:sz w:val="24"/>
          <w:szCs w:val="24"/>
        </w:rPr>
        <w:t xml:space="preserve">For the O 1s spectra, deconvoluted peaks at 531.2 eV (C=O) and 533.6 eV (C–O–C) </w:t>
      </w:r>
      <w:r w:rsidR="006F6E9C" w:rsidRPr="00177203">
        <w:rPr>
          <w:rFonts w:eastAsia="宋体" w:cs="Times New Roman"/>
          <w:color w:val="000000" w:themeColor="text1"/>
          <w:sz w:val="24"/>
          <w:szCs w:val="24"/>
        </w:rPr>
        <w:t>are</w:t>
      </w:r>
      <w:r w:rsidR="00315870" w:rsidRPr="00177203">
        <w:rPr>
          <w:rFonts w:eastAsia="宋体" w:cs="Times New Roman"/>
          <w:color w:val="000000" w:themeColor="text1"/>
          <w:sz w:val="24"/>
          <w:szCs w:val="24"/>
        </w:rPr>
        <w:t xml:space="preserve"> identified</w:t>
      </w:r>
      <w:r w:rsidR="00534D12" w:rsidRPr="00177203">
        <w:rPr>
          <w:rFonts w:eastAsia="宋体" w:cs="Times New Roman"/>
          <w:noProof/>
          <w:color w:val="0070C0"/>
          <w:sz w:val="24"/>
          <w:szCs w:val="24"/>
          <w:vertAlign w:val="superscript"/>
        </w:rPr>
        <w:t>14</w:t>
      </w:r>
      <w:r w:rsidR="00315870" w:rsidRPr="00177203">
        <w:rPr>
          <w:rFonts w:eastAsia="宋体" w:cs="Times New Roman"/>
          <w:color w:val="000000" w:themeColor="text1"/>
          <w:sz w:val="24"/>
          <w:szCs w:val="24"/>
        </w:rPr>
        <w:t>, with the total oxygen content decreasing from 8.2 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315870" w:rsidRPr="00177203">
        <w:rPr>
          <w:rFonts w:eastAsia="宋体" w:cs="Times New Roman"/>
          <w:color w:val="000000" w:themeColor="text1"/>
          <w:sz w:val="24"/>
          <w:szCs w:val="24"/>
        </w:rPr>
        <w:t>) to 3.1 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315870" w:rsidRPr="00177203">
        <w:rPr>
          <w:rFonts w:eastAsia="宋体" w:cs="Times New Roman"/>
          <w:color w:val="000000" w:themeColor="text1"/>
          <w:sz w:val="24"/>
          <w:szCs w:val="24"/>
        </w:rPr>
        <w:t xml:space="preserve">), consistent with the removal of oxygen-containing functional groups during high-temperature pyrolysis. </w:t>
      </w:r>
      <w:r w:rsidRPr="00177203">
        <w:rPr>
          <w:rFonts w:eastAsia="宋体" w:cs="Times New Roman"/>
          <w:color w:val="000000" w:themeColor="text1"/>
          <w:sz w:val="24"/>
          <w:szCs w:val="24"/>
        </w:rPr>
        <w:t xml:space="preserve">For the C 1s spectra, </w:t>
      </w:r>
      <w:r w:rsidR="00315870" w:rsidRPr="00177203">
        <w:rPr>
          <w:rFonts w:eastAsia="宋体" w:cs="Times New Roman"/>
          <w:color w:val="000000" w:themeColor="text1"/>
          <w:sz w:val="24"/>
          <w:szCs w:val="24"/>
        </w:rPr>
        <w:t xml:space="preserve">the </w:t>
      </w:r>
      <w:r w:rsidRPr="00177203">
        <w:rPr>
          <w:rFonts w:eastAsia="宋体" w:cs="Times New Roman"/>
          <w:color w:val="000000" w:themeColor="text1"/>
          <w:sz w:val="24"/>
          <w:szCs w:val="24"/>
        </w:rPr>
        <w:t>deconvoluted peaks at 284.5 eV (sp</w:t>
      </w:r>
      <w:r w:rsidR="005F6644"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C=C)</w:t>
      </w:r>
      <w:r w:rsidR="00315870" w:rsidRPr="00177203">
        <w:rPr>
          <w:rFonts w:eastAsia="宋体" w:cs="Times New Roman"/>
          <w:color w:val="000000" w:themeColor="text1"/>
          <w:sz w:val="24"/>
          <w:szCs w:val="24"/>
        </w:rPr>
        <w:t xml:space="preserve"> and</w:t>
      </w:r>
      <w:r w:rsidRPr="00177203">
        <w:rPr>
          <w:rFonts w:eastAsia="宋体" w:cs="Times New Roman"/>
          <w:color w:val="000000" w:themeColor="text1"/>
          <w:sz w:val="24"/>
          <w:szCs w:val="24"/>
        </w:rPr>
        <w:t xml:space="preserve"> ~285.6 eV (C</w:t>
      </w:r>
      <w:r w:rsidR="00F42CFA" w:rsidRPr="00177203">
        <w:rPr>
          <w:rFonts w:eastAsia="宋体" w:cs="Times New Roman"/>
          <w:color w:val="000000" w:themeColor="text1"/>
          <w:sz w:val="24"/>
          <w:szCs w:val="24"/>
        </w:rPr>
        <w:t>–</w:t>
      </w:r>
      <w:r w:rsidRPr="00177203">
        <w:rPr>
          <w:rFonts w:eastAsia="宋体" w:cs="Times New Roman"/>
          <w:color w:val="000000" w:themeColor="text1"/>
          <w:sz w:val="24"/>
          <w:szCs w:val="24"/>
        </w:rPr>
        <w:t>N/C</w:t>
      </w:r>
      <w:r w:rsidR="00F42CFA" w:rsidRPr="00177203">
        <w:rPr>
          <w:rFonts w:eastAsia="宋体" w:cs="Times New Roman"/>
          <w:color w:val="000000" w:themeColor="text1"/>
          <w:sz w:val="24"/>
          <w:szCs w:val="24"/>
        </w:rPr>
        <w:t>–</w:t>
      </w:r>
      <w:r w:rsidRPr="00177203">
        <w:rPr>
          <w:rFonts w:eastAsia="宋体" w:cs="Times New Roman"/>
          <w:color w:val="000000" w:themeColor="text1"/>
          <w:sz w:val="24"/>
          <w:szCs w:val="24"/>
        </w:rPr>
        <w:t>O)</w:t>
      </w:r>
      <w:r w:rsidR="00EB5A51" w:rsidRPr="00177203">
        <w:rPr>
          <w:rFonts w:eastAsia="宋体" w:cs="Times New Roman"/>
          <w:color w:val="000000" w:themeColor="text1"/>
          <w:sz w:val="24"/>
          <w:szCs w:val="24"/>
        </w:rPr>
        <w:t xml:space="preserve"> </w:t>
      </w:r>
      <w:r w:rsidR="00534D12" w:rsidRPr="00177203">
        <w:rPr>
          <w:rFonts w:eastAsia="宋体" w:cs="Times New Roman"/>
          <w:color w:val="000000" w:themeColor="text1"/>
          <w:sz w:val="24"/>
          <w:szCs w:val="24"/>
        </w:rPr>
        <w:t>are</w:t>
      </w:r>
      <w:r w:rsidR="00EB5A51"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observed for all samples</w:t>
      </w:r>
      <w:r w:rsidR="00534D12" w:rsidRPr="00177203">
        <w:rPr>
          <w:rFonts w:eastAsia="宋体" w:cs="Times New Roman"/>
          <w:noProof/>
          <w:color w:val="0070C0"/>
          <w:sz w:val="24"/>
          <w:szCs w:val="24"/>
          <w:vertAlign w:val="superscript"/>
        </w:rPr>
        <w:t>15</w:t>
      </w:r>
      <w:r w:rsidRPr="00177203">
        <w:rPr>
          <w:rFonts w:eastAsia="宋体" w:cs="Times New Roman"/>
          <w:color w:val="000000" w:themeColor="text1"/>
          <w:sz w:val="24"/>
          <w:szCs w:val="24"/>
        </w:rPr>
        <w:t>. With increasing pyrolysis temperature, the proportion of sp</w:t>
      </w:r>
      <w:r w:rsidR="00227209"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C=C increases from 62.3 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to 81.5 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accompanied by a 0.</w:t>
      </w:r>
      <w:r w:rsidR="00EB5A51" w:rsidRPr="00177203">
        <w:rPr>
          <w:rFonts w:eastAsia="宋体" w:cs="Times New Roman"/>
          <w:color w:val="000000" w:themeColor="text1"/>
          <w:sz w:val="24"/>
          <w:szCs w:val="24"/>
        </w:rPr>
        <w:t>7</w:t>
      </w:r>
      <w:r w:rsidRPr="00177203">
        <w:rPr>
          <w:rFonts w:eastAsia="宋体" w:cs="Times New Roman"/>
          <w:color w:val="000000" w:themeColor="text1"/>
          <w:sz w:val="24"/>
          <w:szCs w:val="24"/>
        </w:rPr>
        <w:t xml:space="preserve"> eV downshift </w:t>
      </w:r>
      <w:r w:rsidR="00534D12" w:rsidRPr="00177203">
        <w:rPr>
          <w:rFonts w:eastAsia="宋体" w:cs="Times New Roman"/>
          <w:color w:val="000000" w:themeColor="text1"/>
          <w:sz w:val="24"/>
          <w:szCs w:val="24"/>
        </w:rPr>
        <w:t xml:space="preserve">to 283.8 eV </w:t>
      </w:r>
      <w:r w:rsidRPr="00177203">
        <w:rPr>
          <w:rFonts w:eastAsia="宋体" w:cs="Times New Roman"/>
          <w:color w:val="000000" w:themeColor="text1"/>
          <w:sz w:val="24"/>
          <w:szCs w:val="24"/>
        </w:rPr>
        <w:t>of the C=C peak, confirming the enhanced graphitization of the carbon matrix at elevated temperatures</w:t>
      </w:r>
      <w:r w:rsidR="00534D12" w:rsidRPr="00177203">
        <w:rPr>
          <w:rFonts w:eastAsia="宋体" w:cs="Times New Roman"/>
          <w:noProof/>
          <w:color w:val="0070C0"/>
          <w:sz w:val="24"/>
          <w:szCs w:val="24"/>
          <w:vertAlign w:val="superscript"/>
        </w:rPr>
        <w:t>16</w:t>
      </w:r>
      <w:r w:rsidRPr="00177203">
        <w:rPr>
          <w:rFonts w:eastAsia="宋体" w:cs="Times New Roman"/>
          <w:color w:val="000000" w:themeColor="text1"/>
          <w:sz w:val="24"/>
          <w:szCs w:val="24"/>
        </w:rPr>
        <w:t>.</w:t>
      </w:r>
      <w:r w:rsidR="005B35A7" w:rsidRPr="00177203">
        <w:rPr>
          <w:rFonts w:eastAsia="宋体" w:cs="Times New Roman"/>
          <w:color w:val="000000" w:themeColor="text1"/>
          <w:sz w:val="24"/>
          <w:szCs w:val="24"/>
        </w:rPr>
        <w:br w:type="page"/>
      </w:r>
    </w:p>
    <w:p w14:paraId="398168AE" w14:textId="060B019D" w:rsidR="00BE0CBE" w:rsidRPr="00177203" w:rsidRDefault="004710BE" w:rsidP="00BE0CBE">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54B19F5E" wp14:editId="649F1F17">
            <wp:extent cx="5278120" cy="251841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8120" cy="2518410"/>
                    </a:xfrm>
                    <a:prstGeom prst="rect">
                      <a:avLst/>
                    </a:prstGeom>
                    <a:noFill/>
                    <a:ln>
                      <a:noFill/>
                    </a:ln>
                  </pic:spPr>
                </pic:pic>
              </a:graphicData>
            </a:graphic>
          </wp:inline>
        </w:drawing>
      </w:r>
    </w:p>
    <w:p w14:paraId="52792FF1" w14:textId="6509C1E1" w:rsidR="00F42CFA"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BE0CBE" w:rsidRPr="00177203">
        <w:rPr>
          <w:rFonts w:eastAsia="宋体" w:cs="Times New Roman"/>
          <w:b/>
          <w:bCs/>
          <w:color w:val="000000" w:themeColor="text1"/>
          <w:sz w:val="24"/>
          <w:szCs w:val="24"/>
        </w:rPr>
        <w:t xml:space="preserve"> Fig. 1</w:t>
      </w:r>
      <w:r w:rsidR="007547C2" w:rsidRPr="00177203">
        <w:rPr>
          <w:rFonts w:eastAsia="宋体" w:cs="Times New Roman"/>
          <w:b/>
          <w:bCs/>
          <w:color w:val="000000" w:themeColor="text1"/>
          <w:sz w:val="24"/>
          <w:szCs w:val="24"/>
        </w:rPr>
        <w:t>9</w:t>
      </w:r>
      <w:r w:rsidR="00BE0CBE" w:rsidRPr="00177203">
        <w:rPr>
          <w:rFonts w:eastAsia="宋体" w:cs="Times New Roman"/>
          <w:color w:val="000000" w:themeColor="text1"/>
          <w:sz w:val="24"/>
          <w:szCs w:val="24"/>
        </w:rPr>
        <w:t xml:space="preserve">. </w:t>
      </w:r>
      <w:r w:rsidR="00EC0474" w:rsidRPr="00177203">
        <w:rPr>
          <w:rFonts w:eastAsia="宋体" w:cs="Times New Roman"/>
          <w:color w:val="000000" w:themeColor="text1"/>
          <w:sz w:val="24"/>
          <w:szCs w:val="24"/>
        </w:rPr>
        <w:t xml:space="preserve">Cu K-edge extended X-ray absorption fine structure (EXAFS) analysis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EC0474" w:rsidRPr="00177203">
        <w:rPr>
          <w:rFonts w:eastAsia="宋体" w:cs="Times New Roman"/>
          <w:color w:val="000000" w:themeColor="text1"/>
          <w:sz w:val="24"/>
          <w:szCs w:val="24"/>
        </w:rPr>
        <w:t>: (a) k</w:t>
      </w:r>
      <w:r w:rsidR="00E63B12" w:rsidRPr="00177203">
        <w:rPr>
          <w:rFonts w:eastAsia="宋体" w:cs="Times New Roman"/>
          <w:color w:val="000000" w:themeColor="text1"/>
          <w:sz w:val="24"/>
          <w:szCs w:val="24"/>
          <w:vertAlign w:val="superscript"/>
        </w:rPr>
        <w:t>2</w:t>
      </w:r>
      <w:r w:rsidR="00EC0474" w:rsidRPr="00177203">
        <w:rPr>
          <w:rFonts w:eastAsia="宋体" w:cs="Times New Roman"/>
          <w:color w:val="000000" w:themeColor="text1"/>
          <w:sz w:val="24"/>
          <w:szCs w:val="24"/>
        </w:rPr>
        <w:t>-weighted EXAFS oscillation in k space, (b) fitting curve of Fourier-transformed EXAFS in R space. The spectra were collected in fluorescence mode at the Beamline 8-ID of NSLS-II, Brookhaven National Laboratory.</w:t>
      </w:r>
    </w:p>
    <w:p w14:paraId="0B36E851" w14:textId="6801B057" w:rsidR="00FE1D19" w:rsidRPr="00177203" w:rsidRDefault="007B49C4" w:rsidP="00F42CFA">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XANES and EXAFS spectroscopy were performed to uncover the electronic structure and local coordination environment of Cu species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(Fig. </w:t>
      </w:r>
      <w:r w:rsidRPr="00177203">
        <w:rPr>
          <w:rFonts w:eastAsia="宋体" w:cs="Times New Roman"/>
          <w:color w:val="0070C0"/>
          <w:sz w:val="24"/>
          <w:szCs w:val="24"/>
        </w:rPr>
        <w:t>2c, d</w:t>
      </w:r>
      <w:r w:rsidRPr="00177203">
        <w:rPr>
          <w:rFonts w:eastAsia="宋体" w:cs="Times New Roman"/>
          <w:color w:val="000000" w:themeColor="text1"/>
          <w:sz w:val="24"/>
          <w:szCs w:val="24"/>
        </w:rPr>
        <w:t xml:space="preserve">,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19). For the Cu K-edge XANES spectra, the near-edge absorption threshold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is located at 8986 eV, between the absorption edges of Cu foil (8979 eV) and CuO (8988 eV), and close to that of Cu</w:t>
      </w:r>
      <w:r w:rsidR="00534D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O (8984 eV), directly confirming that the Cu species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are predominantly in the +1 valence state</w:t>
      </w:r>
      <w:r w:rsidR="00534D12" w:rsidRPr="00177203">
        <w:rPr>
          <w:rFonts w:eastAsia="宋体" w:cs="Times New Roman"/>
          <w:noProof/>
          <w:color w:val="0070C0"/>
          <w:sz w:val="24"/>
          <w:szCs w:val="24"/>
          <w:vertAlign w:val="superscript"/>
        </w:rPr>
        <w:t>17,18</w:t>
      </w:r>
      <w:r w:rsidRPr="00177203">
        <w:rPr>
          <w:rFonts w:eastAsia="宋体" w:cs="Times New Roman"/>
          <w:color w:val="000000" w:themeColor="text1"/>
          <w:sz w:val="24"/>
          <w:szCs w:val="24"/>
        </w:rPr>
        <w:t xml:space="preserve">, consistent with XPS results. Fourier transform (FT) of the k²-weighted EXAFS spectra reveals a single dominant scattering peak at ~1.5 Å, corresponding to the first-shell </w:t>
      </w:r>
      <w:r w:rsidR="00E63B12" w:rsidRPr="00177203">
        <w:rPr>
          <w:rFonts w:eastAsia="宋体" w:cs="Times New Roman"/>
          <w:color w:val="000000" w:themeColor="text1"/>
          <w:sz w:val="24"/>
          <w:szCs w:val="24"/>
        </w:rPr>
        <w:t>Cu–N</w:t>
      </w:r>
      <w:r w:rsidRPr="00177203">
        <w:rPr>
          <w:rFonts w:eastAsia="宋体" w:cs="Times New Roman"/>
          <w:color w:val="000000" w:themeColor="text1"/>
          <w:sz w:val="24"/>
          <w:szCs w:val="24"/>
        </w:rPr>
        <w:t xml:space="preserve"> coordination. No characteristic Cu-Cu scattering peak at ~2.2 Å or Cu-O scattering peak at ~1.8 Å is observed. Wavelet transform (WT) of the EXAFS spectra verifies that only one intensity maximum at k = 7 Å</w:t>
      </w:r>
      <w:r w:rsidR="00E63B1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R = 1.5 Å is observed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corresponding to </w:t>
      </w:r>
      <w:r w:rsidR="00E63B12" w:rsidRPr="00177203">
        <w:rPr>
          <w:rFonts w:eastAsia="宋体" w:cs="Times New Roman"/>
          <w:color w:val="000000" w:themeColor="text1"/>
          <w:sz w:val="24"/>
          <w:szCs w:val="24"/>
        </w:rPr>
        <w:t>Cu–N</w:t>
      </w:r>
      <w:r w:rsidRPr="00177203">
        <w:rPr>
          <w:rFonts w:eastAsia="宋体" w:cs="Times New Roman"/>
          <w:color w:val="000000" w:themeColor="text1"/>
          <w:sz w:val="24"/>
          <w:szCs w:val="24"/>
        </w:rPr>
        <w:t xml:space="preserve"> coordination, with no intensity maxima associated with Cu-Cu metallic bonding. The fitting results show that the first coordination shell of Cu is dominated by Cu</w:t>
      </w:r>
      <w:r w:rsidR="00E63B12" w:rsidRPr="00177203">
        <w:rPr>
          <w:rFonts w:eastAsia="宋体" w:cs="Times New Roman"/>
          <w:color w:val="000000" w:themeColor="text1"/>
          <w:sz w:val="24"/>
          <w:szCs w:val="24"/>
        </w:rPr>
        <w:t>–</w:t>
      </w:r>
      <w:r w:rsidRPr="00177203">
        <w:rPr>
          <w:rFonts w:eastAsia="宋体" w:cs="Times New Roman"/>
          <w:color w:val="000000" w:themeColor="text1"/>
          <w:sz w:val="24"/>
          <w:szCs w:val="24"/>
        </w:rPr>
        <w:t>N bonds, with a coordination number of 3.5 ± 0.43 and an average bond length of 1.87 ± 0.01 Å, consistent with the theoretical Cu</w:t>
      </w:r>
      <w:r w:rsidR="00E63B12" w:rsidRPr="00177203">
        <w:rPr>
          <w:rFonts w:eastAsia="宋体" w:cs="Times New Roman"/>
          <w:color w:val="000000" w:themeColor="text1"/>
          <w:sz w:val="24"/>
          <w:szCs w:val="24"/>
        </w:rPr>
        <w:t>–</w:t>
      </w:r>
      <w:r w:rsidRPr="00177203">
        <w:rPr>
          <w:rFonts w:eastAsia="宋体" w:cs="Times New Roman"/>
          <w:color w:val="000000" w:themeColor="text1"/>
          <w:sz w:val="24"/>
          <w:szCs w:val="24"/>
        </w:rPr>
        <w:t>N</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coordination structure. The Debye-Waller factor (σ</w:t>
      </w:r>
      <w:r w:rsidR="005F6644"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of 6.92 ± 2.19 × 10</w:t>
      </w:r>
      <w:r w:rsidR="00E63B12" w:rsidRPr="00177203">
        <w:rPr>
          <w:rFonts w:eastAsia="宋体" w:cs="Times New Roman"/>
          <w:color w:val="000000" w:themeColor="text1"/>
          <w:sz w:val="24"/>
          <w:szCs w:val="24"/>
          <w:vertAlign w:val="superscript"/>
        </w:rPr>
        <w:t>–3</w:t>
      </w:r>
      <w:r w:rsidRPr="00177203">
        <w:rPr>
          <w:rFonts w:eastAsia="宋体" w:cs="Times New Roman"/>
          <w:color w:val="000000" w:themeColor="text1"/>
          <w:sz w:val="24"/>
          <w:szCs w:val="24"/>
        </w:rPr>
        <w:t xml:space="preserve"> Å</w:t>
      </w:r>
      <w:r w:rsidR="00E63B12"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indicates the high structural rigidity of the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moiety, which is critical for maintaining the stability of the active sites during electrocatalysis.</w:t>
      </w:r>
      <w:r w:rsidR="00FE1D19" w:rsidRPr="00177203">
        <w:rPr>
          <w:rFonts w:eastAsia="宋体" w:cs="Times New Roman"/>
          <w:color w:val="000000" w:themeColor="text1"/>
          <w:sz w:val="24"/>
          <w:szCs w:val="24"/>
        </w:rPr>
        <w:br w:type="page"/>
      </w:r>
    </w:p>
    <w:p w14:paraId="3FB1E5A1" w14:textId="77777777" w:rsidR="008E04C2" w:rsidRPr="00177203" w:rsidRDefault="008E04C2" w:rsidP="005438CC">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Section 3. Electrocatalytic performance and characterization</w:t>
      </w:r>
    </w:p>
    <w:p w14:paraId="7BD42120" w14:textId="7CFF696B" w:rsidR="00C727F9" w:rsidRPr="00177203" w:rsidRDefault="00C727F9" w:rsidP="00C727F9">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3.1. Electrochemical test</w:t>
      </w:r>
    </w:p>
    <w:p w14:paraId="614AD89D" w14:textId="7929DC15" w:rsidR="00731139" w:rsidRPr="00177203" w:rsidRDefault="00C727F9" w:rsidP="003C0293">
      <w:pPr>
        <w:widowControl/>
        <w:spacing w:afterLines="50" w:after="156"/>
        <w:outlineLvl w:val="2"/>
        <w:rPr>
          <w:rFonts w:eastAsia="宋体" w:cs="Times New Roman"/>
          <w:sz w:val="24"/>
          <w:szCs w:val="24"/>
        </w:rPr>
      </w:pPr>
      <w:r w:rsidRPr="00177203">
        <w:rPr>
          <w:rFonts w:eastAsia="宋体" w:cs="Times New Roman"/>
          <w:b/>
          <w:bCs/>
          <w:sz w:val="24"/>
          <w:szCs w:val="24"/>
        </w:rPr>
        <w:t>Linear sweep voltammetry (LSV)</w:t>
      </w:r>
      <w:r w:rsidRPr="00177203">
        <w:rPr>
          <w:rFonts w:eastAsia="宋体" w:cs="Times New Roman"/>
          <w:sz w:val="24"/>
          <w:szCs w:val="24"/>
        </w:rPr>
        <w:t xml:space="preserve">: </w:t>
      </w:r>
      <w:r w:rsidR="00D21EEB" w:rsidRPr="00177203">
        <w:rPr>
          <w:rFonts w:eastAsia="宋体" w:cs="Times New Roman"/>
          <w:sz w:val="24"/>
          <w:szCs w:val="24"/>
        </w:rPr>
        <w:t>LSV was performed on a CHI 660E electrochemical workstation with a standard three-electrode system, at a scan rate of 5 mV s</w:t>
      </w:r>
      <w:r w:rsidR="00E63B12" w:rsidRPr="00177203">
        <w:rPr>
          <w:rFonts w:eastAsia="宋体" w:cs="Times New Roman"/>
          <w:sz w:val="24"/>
          <w:szCs w:val="24"/>
          <w:vertAlign w:val="superscript"/>
        </w:rPr>
        <w:t>–1</w:t>
      </w:r>
      <w:r w:rsidR="00D21EEB" w:rsidRPr="00177203">
        <w:rPr>
          <w:rFonts w:eastAsia="宋体" w:cs="Times New Roman"/>
          <w:sz w:val="24"/>
          <w:szCs w:val="24"/>
        </w:rPr>
        <w:t xml:space="preserve"> with 85% </w:t>
      </w:r>
      <w:proofErr w:type="spellStart"/>
      <w:r w:rsidR="00D21EEB" w:rsidRPr="00177203">
        <w:rPr>
          <w:rFonts w:eastAsia="宋体" w:cs="Times New Roman"/>
          <w:sz w:val="24"/>
          <w:szCs w:val="24"/>
        </w:rPr>
        <w:t>iR</w:t>
      </w:r>
      <w:proofErr w:type="spellEnd"/>
      <w:r w:rsidR="00D21EEB" w:rsidRPr="00177203">
        <w:rPr>
          <w:rFonts w:eastAsia="宋体" w:cs="Times New Roman"/>
          <w:sz w:val="24"/>
          <w:szCs w:val="24"/>
        </w:rPr>
        <w:t>-drop compensation. All potentials were converted to the reversible hydrogen electrode (RHE) scale via the Nernst equation:</w:t>
      </w:r>
    </w:p>
    <w:p w14:paraId="087F8C7A" w14:textId="4E18D8B0" w:rsidR="00C727F9" w:rsidRPr="00177203" w:rsidRDefault="00000000" w:rsidP="00731139">
      <w:pPr>
        <w:widowControl/>
        <w:spacing w:afterLines="50" w:after="156"/>
        <w:jc w:val="center"/>
        <w:rPr>
          <w:rFonts w:eastAsia="宋体" w:cs="Times New Roman"/>
          <w:sz w:val="24"/>
          <w:szCs w:val="24"/>
        </w:rPr>
      </w:pPr>
      <m:oMathPara>
        <m:oMath>
          <m:eqArr>
            <m:eqArrPr>
              <m:maxDist m:val="1"/>
              <m:ctrlPr>
                <w:rPr>
                  <w:rFonts w:ascii="Cambria Math" w:eastAsia="宋体" w:hAnsi="Cambria Math" w:cs="Times New Roman"/>
                  <w:i/>
                  <w:sz w:val="24"/>
                  <w:szCs w:val="24"/>
                </w:rPr>
              </m:ctrlPr>
            </m:eqArrPr>
            <m:e>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RHE</m:t>
                  </m:r>
                </m:sub>
              </m:sSub>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E</m:t>
                  </m:r>
                </m:e>
                <m:sub>
                  <m:r>
                    <w:rPr>
                      <w:rFonts w:ascii="Cambria Math" w:eastAsia="宋体" w:hAnsi="Cambria Math" w:cs="Times New Roman"/>
                      <w:sz w:val="24"/>
                      <w:szCs w:val="24"/>
                    </w:rPr>
                    <m:t>SCE</m:t>
                  </m:r>
                </m:sub>
              </m:sSub>
              <m:r>
                <w:rPr>
                  <w:rFonts w:ascii="Cambria Math" w:eastAsia="宋体" w:hAnsi="Cambria Math" w:cs="Times New Roman"/>
                  <w:sz w:val="24"/>
                  <w:szCs w:val="24"/>
                </w:rPr>
                <m:t>+0.2412 V+0.059pH#(2)</m:t>
              </m:r>
            </m:e>
          </m:eqArr>
        </m:oMath>
      </m:oMathPara>
    </w:p>
    <w:p w14:paraId="2C158F9D" w14:textId="6F9415DF" w:rsidR="00731139" w:rsidRPr="00177203" w:rsidRDefault="00731139" w:rsidP="00731139">
      <w:pPr>
        <w:widowControl/>
        <w:spacing w:afterLines="50" w:after="156"/>
        <w:ind w:firstLine="420"/>
        <w:rPr>
          <w:rFonts w:eastAsia="宋体" w:cs="Times New Roman"/>
          <w:sz w:val="24"/>
          <w:szCs w:val="24"/>
        </w:rPr>
      </w:pPr>
      <w:r w:rsidRPr="00177203">
        <w:rPr>
          <w:rFonts w:eastAsia="宋体" w:cs="Times New Roman"/>
          <w:sz w:val="24"/>
          <w:szCs w:val="24"/>
        </w:rPr>
        <w:t>Tests were conducted in targeted electrolyte systems to characterize different catalytic behaviors: (1)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RR: </w:t>
      </w:r>
      <w:proofErr w:type="spellStart"/>
      <w:r w:rsidRPr="00177203">
        <w:rPr>
          <w:rFonts w:eastAsia="宋体" w:cs="Times New Roman"/>
          <w:sz w:val="24"/>
          <w:szCs w:val="24"/>
        </w:rPr>
        <w:t>Ar</w:t>
      </w:r>
      <w:proofErr w:type="spellEnd"/>
      <w:r w:rsidR="00996452" w:rsidRPr="00177203">
        <w:rPr>
          <w:rFonts w:eastAsia="宋体" w:cs="Times New Roman"/>
          <w:sz w:val="24"/>
          <w:szCs w:val="24"/>
        </w:rPr>
        <w:t xml:space="preserve"> </w:t>
      </w:r>
      <w:r w:rsidRPr="00177203">
        <w:rPr>
          <w:rFonts w:eastAsia="宋体" w:cs="Times New Roman"/>
          <w:sz w:val="24"/>
          <w:szCs w:val="24"/>
        </w:rPr>
        <w:t xml:space="preserve">saturated 0.1 M </w:t>
      </w:r>
      <w:r w:rsidR="00E63B12" w:rsidRPr="00177203">
        <w:rPr>
          <w:rFonts w:eastAsia="宋体" w:cs="Times New Roman"/>
          <w:color w:val="000000" w:themeColor="text1"/>
          <w:sz w:val="24"/>
          <w:szCs w:val="24"/>
        </w:rPr>
        <w:t>K</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Pr="00177203">
        <w:rPr>
          <w:rFonts w:eastAsia="宋体" w:cs="Times New Roman"/>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scan range 0.2 V to </w:t>
      </w:r>
      <w:r w:rsidR="00996452" w:rsidRPr="00177203">
        <w:rPr>
          <w:rFonts w:eastAsia="宋体" w:cs="Times New Roman"/>
          <w:sz w:val="24"/>
          <w:szCs w:val="24"/>
        </w:rPr>
        <w:t>–</w:t>
      </w:r>
      <w:r w:rsidR="00BB1477" w:rsidRPr="00177203">
        <w:rPr>
          <w:rFonts w:eastAsia="宋体" w:cs="Times New Roman"/>
          <w:sz w:val="24"/>
          <w:szCs w:val="24"/>
        </w:rPr>
        <w:t>0.6</w:t>
      </w:r>
      <w:r w:rsidRPr="00177203">
        <w:rPr>
          <w:rFonts w:eastAsia="宋体" w:cs="Times New Roman"/>
          <w:sz w:val="24"/>
          <w:szCs w:val="24"/>
        </w:rPr>
        <w:t xml:space="preserve"> V vs. RHE; (2) HER: 1.0 M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sz w:val="24"/>
          <w:szCs w:val="24"/>
        </w:rPr>
        <w:t>SO</w:t>
      </w:r>
      <w:r w:rsidR="00534D12" w:rsidRPr="00177203">
        <w:rPr>
          <w:rFonts w:eastAsia="宋体" w:cs="Times New Roman"/>
          <w:sz w:val="24"/>
          <w:szCs w:val="24"/>
          <w:vertAlign w:val="subscript"/>
        </w:rPr>
        <w:t>4</w:t>
      </w:r>
      <w:r w:rsidRPr="00177203">
        <w:rPr>
          <w:rFonts w:eastAsia="宋体" w:cs="Times New Roman"/>
          <w:sz w:val="24"/>
          <w:szCs w:val="24"/>
        </w:rPr>
        <w:t>, scan range 0</w:t>
      </w:r>
      <w:r w:rsidR="00BB1477" w:rsidRPr="00177203">
        <w:rPr>
          <w:rFonts w:eastAsia="宋体" w:cs="Times New Roman"/>
          <w:sz w:val="24"/>
          <w:szCs w:val="24"/>
        </w:rPr>
        <w:t>.2</w:t>
      </w:r>
      <w:r w:rsidRPr="00177203">
        <w:rPr>
          <w:rFonts w:eastAsia="宋体" w:cs="Times New Roman"/>
          <w:sz w:val="24"/>
          <w:szCs w:val="24"/>
        </w:rPr>
        <w:t xml:space="preserve"> V to </w:t>
      </w:r>
      <w:r w:rsidR="00996452" w:rsidRPr="00177203">
        <w:rPr>
          <w:rFonts w:eastAsia="宋体" w:cs="Times New Roman"/>
          <w:sz w:val="24"/>
          <w:szCs w:val="24"/>
        </w:rPr>
        <w:t>–</w:t>
      </w:r>
      <w:r w:rsidRPr="00177203">
        <w:rPr>
          <w:rFonts w:eastAsia="宋体" w:cs="Times New Roman"/>
          <w:sz w:val="24"/>
          <w:szCs w:val="24"/>
        </w:rPr>
        <w:t>0.</w:t>
      </w:r>
      <w:r w:rsidR="00BB1477" w:rsidRPr="00177203">
        <w:rPr>
          <w:rFonts w:eastAsia="宋体" w:cs="Times New Roman"/>
          <w:sz w:val="24"/>
          <w:szCs w:val="24"/>
        </w:rPr>
        <w:t>6</w:t>
      </w:r>
      <w:r w:rsidRPr="00177203">
        <w:rPr>
          <w:rFonts w:eastAsia="宋体" w:cs="Times New Roman"/>
          <w:sz w:val="24"/>
          <w:szCs w:val="24"/>
        </w:rPr>
        <w:t xml:space="preserve"> V vs. RHE; (3)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sz w:val="24"/>
          <w:szCs w:val="24"/>
        </w:rPr>
        <w:t xml:space="preserve">: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996452" w:rsidRPr="00177203">
        <w:rPr>
          <w:rFonts w:eastAsia="宋体" w:cs="Times New Roman"/>
          <w:sz w:val="24"/>
          <w:szCs w:val="24"/>
        </w:rPr>
        <w:t xml:space="preserve"> </w:t>
      </w:r>
      <w:r w:rsidRPr="00177203">
        <w:rPr>
          <w:rFonts w:eastAsia="宋体" w:cs="Times New Roman"/>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scan range 0.2 V to </w:t>
      </w:r>
      <w:r w:rsidR="00996452" w:rsidRPr="00177203">
        <w:rPr>
          <w:rFonts w:eastAsia="宋体" w:cs="Times New Roman"/>
          <w:sz w:val="24"/>
          <w:szCs w:val="24"/>
        </w:rPr>
        <w:t>–</w:t>
      </w:r>
      <w:r w:rsidR="00BB1477" w:rsidRPr="00177203">
        <w:rPr>
          <w:rFonts w:eastAsia="宋体" w:cs="Times New Roman"/>
          <w:sz w:val="24"/>
          <w:szCs w:val="24"/>
        </w:rPr>
        <w:t>0.6</w:t>
      </w:r>
      <w:r w:rsidRPr="00177203">
        <w:rPr>
          <w:rFonts w:eastAsia="宋体" w:cs="Times New Roman"/>
          <w:sz w:val="24"/>
          <w:szCs w:val="24"/>
        </w:rPr>
        <w:t xml:space="preserve"> V vs. RHE; (4) pH optimization: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RR activity was compared in alkaline (0.1 M KOH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and neutral (0.1 M K</w:t>
      </w:r>
      <w:r w:rsidR="00E63B12" w:rsidRPr="00177203">
        <w:rPr>
          <w:rFonts w:eastAsia="宋体" w:cs="Times New Roman"/>
          <w:sz w:val="24"/>
          <w:szCs w:val="24"/>
          <w:vertAlign w:val="subscript"/>
        </w:rPr>
        <w:t>2</w:t>
      </w:r>
      <w:r w:rsidRPr="00177203">
        <w:rPr>
          <w:rFonts w:eastAsia="宋体" w:cs="Times New Roman"/>
          <w:sz w:val="24"/>
          <w:szCs w:val="24"/>
        </w:rPr>
        <w:t>SO₄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electrolytes; (5) C</w:t>
      </w:r>
      <w:r w:rsidR="00996452" w:rsidRPr="00177203">
        <w:rPr>
          <w:rFonts w:eastAsia="宋体" w:cs="Times New Roman"/>
          <w:sz w:val="24"/>
          <w:szCs w:val="24"/>
        </w:rPr>
        <w:t>–</w:t>
      </w:r>
      <w:r w:rsidRPr="00177203">
        <w:rPr>
          <w:rFonts w:eastAsia="宋体" w:cs="Times New Roman"/>
          <w:sz w:val="24"/>
          <w:szCs w:val="24"/>
        </w:rPr>
        <w:t xml:space="preserve">N </w:t>
      </w:r>
      <w:proofErr w:type="spellStart"/>
      <w:r w:rsidRPr="00177203">
        <w:rPr>
          <w:rFonts w:eastAsia="宋体" w:cs="Times New Roman"/>
          <w:sz w:val="24"/>
          <w:szCs w:val="24"/>
        </w:rPr>
        <w:t>coreduction</w:t>
      </w:r>
      <w:proofErr w:type="spellEnd"/>
      <w:r w:rsidRPr="00177203">
        <w:rPr>
          <w:rFonts w:eastAsia="宋体" w:cs="Times New Roman"/>
          <w:sz w:val="24"/>
          <w:szCs w:val="24"/>
        </w:rPr>
        <w:t>: electrocatalytic response was tested in four electrolytes (</w:t>
      </w:r>
      <w:proofErr w:type="spellStart"/>
      <w:r w:rsidRPr="00177203">
        <w:rPr>
          <w:rFonts w:eastAsia="宋体" w:cs="Times New Roman"/>
          <w:sz w:val="24"/>
          <w:szCs w:val="24"/>
        </w:rPr>
        <w:t>Ar</w:t>
      </w:r>
      <w:proofErr w:type="spellEnd"/>
      <w:r w:rsidR="00996452" w:rsidRPr="00177203">
        <w:rPr>
          <w:rFonts w:eastAsia="宋体" w:cs="Times New Roman"/>
          <w:sz w:val="24"/>
          <w:szCs w:val="24"/>
        </w:rPr>
        <w:t xml:space="preserve"> </w:t>
      </w:r>
      <w:r w:rsidRPr="00177203">
        <w:rPr>
          <w:rFonts w:eastAsia="宋体" w:cs="Times New Roman"/>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CO</w:t>
      </w:r>
      <w:r w:rsidR="00E63B12" w:rsidRPr="00177203">
        <w:rPr>
          <w:rFonts w:eastAsia="宋体" w:cs="Times New Roman"/>
          <w:sz w:val="24"/>
          <w:szCs w:val="24"/>
          <w:vertAlign w:val="subscript"/>
        </w:rPr>
        <w:t>2</w:t>
      </w:r>
      <w:r w:rsidR="00996452" w:rsidRPr="00177203">
        <w:rPr>
          <w:rFonts w:eastAsia="宋体" w:cs="Times New Roman"/>
          <w:sz w:val="24"/>
          <w:szCs w:val="24"/>
        </w:rPr>
        <w:t xml:space="preserve"> </w:t>
      </w:r>
      <w:r w:rsidRPr="00177203">
        <w:rPr>
          <w:rFonts w:eastAsia="宋体" w:cs="Times New Roman"/>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w:t>
      </w:r>
      <w:proofErr w:type="spellStart"/>
      <w:r w:rsidRPr="00177203">
        <w:rPr>
          <w:rFonts w:eastAsia="宋体" w:cs="Times New Roman"/>
          <w:sz w:val="24"/>
          <w:szCs w:val="24"/>
        </w:rPr>
        <w:t>Ar</w:t>
      </w:r>
      <w:proofErr w:type="spellEnd"/>
      <w:r w:rsidR="00996452" w:rsidRPr="00177203">
        <w:rPr>
          <w:rFonts w:eastAsia="宋体" w:cs="Times New Roman"/>
          <w:sz w:val="24"/>
          <w:szCs w:val="24"/>
        </w:rPr>
        <w:t xml:space="preserve"> </w:t>
      </w:r>
      <w:r w:rsidRPr="00177203">
        <w:rPr>
          <w:rFonts w:eastAsia="宋体" w:cs="Times New Roman"/>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996452" w:rsidRPr="00177203">
        <w:rPr>
          <w:rFonts w:eastAsia="宋体" w:cs="Times New Roman"/>
          <w:sz w:val="24"/>
          <w:szCs w:val="24"/>
        </w:rPr>
        <w:t xml:space="preserve"> </w:t>
      </w:r>
      <w:r w:rsidRPr="00177203">
        <w:rPr>
          <w:rFonts w:eastAsia="宋体" w:cs="Times New Roman"/>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with a scan range of 0.2 V to </w:t>
      </w:r>
      <w:r w:rsidR="00996452" w:rsidRPr="00177203">
        <w:rPr>
          <w:rFonts w:eastAsia="宋体" w:cs="Times New Roman"/>
          <w:sz w:val="24"/>
          <w:szCs w:val="24"/>
        </w:rPr>
        <w:t>–</w:t>
      </w:r>
      <w:r w:rsidR="00BB1477" w:rsidRPr="00177203">
        <w:rPr>
          <w:rFonts w:eastAsia="宋体" w:cs="Times New Roman"/>
          <w:sz w:val="24"/>
          <w:szCs w:val="24"/>
        </w:rPr>
        <w:t>0.6</w:t>
      </w:r>
      <w:r w:rsidRPr="00177203">
        <w:rPr>
          <w:rFonts w:eastAsia="宋体" w:cs="Times New Roman"/>
          <w:sz w:val="24"/>
          <w:szCs w:val="24"/>
        </w:rPr>
        <w:t xml:space="preserve"> V vs. RHE. Inert </w:t>
      </w:r>
      <w:proofErr w:type="spellStart"/>
      <w:r w:rsidRPr="00177203">
        <w:rPr>
          <w:rFonts w:eastAsia="宋体" w:cs="Times New Roman"/>
          <w:sz w:val="24"/>
          <w:szCs w:val="24"/>
        </w:rPr>
        <w:t>Ar</w:t>
      </w:r>
      <w:proofErr w:type="spellEnd"/>
      <w:r w:rsidRPr="00177203">
        <w:rPr>
          <w:rFonts w:eastAsia="宋体" w:cs="Times New Roman"/>
          <w:sz w:val="24"/>
          <w:szCs w:val="24"/>
        </w:rPr>
        <w:t xml:space="preserve"> or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sz w:val="24"/>
          <w:szCs w:val="24"/>
        </w:rPr>
        <w:t xml:space="preserve"> was continuously purged (20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sz w:val="24"/>
          <w:szCs w:val="24"/>
        </w:rPr>
        <w:t>) throughout the corresponding tests to maintain the target atmosphere.</w:t>
      </w:r>
    </w:p>
    <w:p w14:paraId="190467D9" w14:textId="37BDBA0E" w:rsidR="00E63B12" w:rsidRPr="00177203" w:rsidRDefault="00C727F9" w:rsidP="007C3F98">
      <w:pPr>
        <w:widowControl/>
        <w:spacing w:afterLines="50" w:after="156"/>
        <w:outlineLvl w:val="2"/>
        <w:rPr>
          <w:rFonts w:eastAsia="宋体" w:cs="Times New Roman"/>
          <w:sz w:val="24"/>
          <w:szCs w:val="24"/>
        </w:rPr>
      </w:pPr>
      <w:r w:rsidRPr="00177203">
        <w:rPr>
          <w:rFonts w:eastAsia="宋体" w:cs="Times New Roman"/>
          <w:b/>
          <w:bCs/>
          <w:sz w:val="24"/>
          <w:szCs w:val="24"/>
        </w:rPr>
        <w:t>Cyclic voltammetry (CV):</w:t>
      </w:r>
      <w:r w:rsidRPr="00177203">
        <w:rPr>
          <w:rFonts w:eastAsia="宋体" w:cs="Times New Roman"/>
          <w:sz w:val="24"/>
          <w:szCs w:val="24"/>
        </w:rPr>
        <w:t xml:space="preserve"> Electrochemical active surface area (</w:t>
      </w:r>
      <w:r w:rsidRPr="00177203">
        <w:rPr>
          <w:rFonts w:eastAsia="宋体" w:cs="Times New Roman"/>
          <w:i/>
          <w:iCs/>
          <w:sz w:val="24"/>
          <w:szCs w:val="24"/>
        </w:rPr>
        <w:t>ECSA</w:t>
      </w:r>
      <w:r w:rsidRPr="00177203">
        <w:rPr>
          <w:rFonts w:eastAsia="宋体" w:cs="Times New Roman"/>
          <w:sz w:val="24"/>
          <w:szCs w:val="24"/>
        </w:rPr>
        <w:t xml:space="preserve">) of the catalysts was determined by cyclic voltammetry on a CHI 660E electrochemical workstation. The test was carried out in a three-electrode system, CV curves were collected at different scanning rates (5, 10, 20, 30, 50, 100, and 200 mV </w:t>
      </w:r>
      <w:r w:rsidR="00E63B12" w:rsidRPr="00177203">
        <w:rPr>
          <w:rFonts w:eastAsia="宋体" w:cs="Times New Roman"/>
          <w:sz w:val="24"/>
          <w:szCs w:val="24"/>
        </w:rPr>
        <w:t>s</w:t>
      </w:r>
      <w:r w:rsidR="00E63B12" w:rsidRPr="00177203">
        <w:rPr>
          <w:rFonts w:eastAsia="宋体" w:cs="Times New Roman"/>
          <w:sz w:val="24"/>
          <w:szCs w:val="24"/>
          <w:vertAlign w:val="superscript"/>
        </w:rPr>
        <w:t>–1</w:t>
      </w:r>
      <w:r w:rsidRPr="00177203">
        <w:rPr>
          <w:rFonts w:eastAsia="宋体" w:cs="Times New Roman"/>
          <w:sz w:val="24"/>
          <w:szCs w:val="24"/>
        </w:rPr>
        <w:t xml:space="preserve">) in the non-Faradaic interval (–0.16–0.16 V </w:t>
      </w:r>
      <w:r w:rsidRPr="00177203">
        <w:rPr>
          <w:rFonts w:eastAsia="宋体" w:cs="Times New Roman"/>
          <w:i/>
          <w:iCs/>
          <w:sz w:val="24"/>
          <w:szCs w:val="24"/>
        </w:rPr>
        <w:t>vs</w:t>
      </w:r>
      <w:r w:rsidRPr="00177203">
        <w:rPr>
          <w:rFonts w:eastAsia="宋体" w:cs="Times New Roman"/>
          <w:sz w:val="24"/>
          <w:szCs w:val="24"/>
        </w:rPr>
        <w:t xml:space="preserve">. </w:t>
      </w:r>
      <w:r w:rsidR="006025E2" w:rsidRPr="00177203">
        <w:rPr>
          <w:rFonts w:eastAsia="宋体" w:cs="Times New Roman"/>
          <w:sz w:val="24"/>
          <w:szCs w:val="24"/>
        </w:rPr>
        <w:t>SCE</w:t>
      </w:r>
      <w:r w:rsidRPr="00177203">
        <w:rPr>
          <w:rFonts w:eastAsia="宋体" w:cs="Times New Roman"/>
          <w:sz w:val="24"/>
          <w:szCs w:val="24"/>
        </w:rPr>
        <w:t>), and the electrochemical active surface area was calculated via the double-layer capacitance (</w:t>
      </w:r>
      <w:proofErr w:type="spellStart"/>
      <w:r w:rsidRPr="00177203">
        <w:rPr>
          <w:rFonts w:eastAsia="宋体" w:cs="Times New Roman"/>
          <w:sz w:val="24"/>
          <w:szCs w:val="24"/>
        </w:rPr>
        <w:t>Cdl</w:t>
      </w:r>
      <w:proofErr w:type="spellEnd"/>
      <w:r w:rsidRPr="00177203">
        <w:rPr>
          <w:rFonts w:eastAsia="宋体" w:cs="Times New Roman"/>
          <w:sz w:val="24"/>
          <w:szCs w:val="24"/>
        </w:rPr>
        <w:t xml:space="preserve">). The </w:t>
      </w:r>
      <w:r w:rsidRPr="00177203">
        <w:rPr>
          <w:rFonts w:eastAsia="宋体" w:cs="Times New Roman"/>
          <w:i/>
          <w:iCs/>
          <w:sz w:val="24"/>
          <w:szCs w:val="24"/>
        </w:rPr>
        <w:t>E</w:t>
      </w:r>
      <w:r w:rsidR="00D24AA6" w:rsidRPr="00177203">
        <w:rPr>
          <w:rFonts w:eastAsia="宋体" w:cs="Times New Roman"/>
          <w:i/>
          <w:iCs/>
          <w:sz w:val="24"/>
          <w:szCs w:val="24"/>
        </w:rPr>
        <w:t>CS</w:t>
      </w:r>
      <w:r w:rsidRPr="00177203">
        <w:rPr>
          <w:rFonts w:eastAsia="宋体" w:cs="Times New Roman"/>
          <w:i/>
          <w:iCs/>
          <w:sz w:val="24"/>
          <w:szCs w:val="24"/>
        </w:rPr>
        <w:t>A</w:t>
      </w:r>
      <w:r w:rsidRPr="00177203">
        <w:rPr>
          <w:rFonts w:eastAsia="宋体" w:cs="Times New Roman"/>
          <w:sz w:val="24"/>
          <w:szCs w:val="24"/>
        </w:rPr>
        <w:t xml:space="preserve"> values were obtained by the equation:</w:t>
      </w:r>
    </w:p>
    <w:p w14:paraId="553E5864" w14:textId="1B70687D" w:rsidR="00E63B12" w:rsidRPr="00177203" w:rsidRDefault="00000000" w:rsidP="00E63B12">
      <w:pPr>
        <w:widowControl/>
        <w:spacing w:afterLines="50" w:after="156"/>
        <w:rPr>
          <w:rFonts w:eastAsia="宋体" w:cs="Times New Roman"/>
          <w:iCs/>
          <w:sz w:val="24"/>
          <w:szCs w:val="24"/>
        </w:rPr>
      </w:pPr>
      <m:oMathPara>
        <m:oMath>
          <m:eqArr>
            <m:eqArrPr>
              <m:maxDist m:val="1"/>
              <m:ctrlPr>
                <w:rPr>
                  <w:rFonts w:ascii="Cambria Math" w:eastAsia="宋体" w:hAnsi="Cambria Math" w:cs="Times New Roman"/>
                  <w:i/>
                  <w:iCs/>
                  <w:sz w:val="24"/>
                  <w:szCs w:val="24"/>
                </w:rPr>
              </m:ctrlPr>
            </m:eqArrPr>
            <m:e>
              <m:r>
                <w:rPr>
                  <w:rFonts w:ascii="Cambria Math" w:eastAsia="宋体" w:hAnsi="Cambria Math" w:cs="Times New Roman"/>
                  <w:sz w:val="24"/>
                  <w:szCs w:val="24"/>
                </w:rPr>
                <m:t>ECSA=</m:t>
              </m:r>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dl</m:t>
                  </m:r>
                </m:sub>
              </m:sSub>
              <m:r>
                <w:rPr>
                  <w:rFonts w:ascii="Cambria Math" w:eastAsia="宋体" w:hAnsi="Cambria Math" w:cs="Times New Roman"/>
                  <w:sz w:val="24"/>
                  <w:szCs w:val="24"/>
                </w:rPr>
                <m:t>×</m:t>
              </m:r>
              <m:f>
                <m:fPr>
                  <m:ctrlPr>
                    <w:rPr>
                      <w:rFonts w:ascii="Cambria Math" w:eastAsia="宋体" w:hAnsi="Cambria Math" w:cs="Times New Roman"/>
                      <w:i/>
                      <w:iCs/>
                      <w:sz w:val="24"/>
                      <w:szCs w:val="24"/>
                    </w:rPr>
                  </m:ctrlPr>
                </m:fPr>
                <m:num>
                  <m:r>
                    <w:rPr>
                      <w:rFonts w:ascii="Cambria Math" w:eastAsia="宋体" w:hAnsi="Cambria Math" w:cs="Times New Roman"/>
                      <w:sz w:val="24"/>
                      <w:szCs w:val="24"/>
                    </w:rPr>
                    <m:t>S</m:t>
                  </m:r>
                </m:num>
                <m:den>
                  <m:sSub>
                    <m:sSubPr>
                      <m:ctrlPr>
                        <w:rPr>
                          <w:rFonts w:ascii="Cambria Math" w:eastAsia="宋体" w:hAnsi="Cambria Math" w:cs="Times New Roman"/>
                          <w:i/>
                          <w:iCs/>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s</m:t>
                      </m:r>
                    </m:sub>
                  </m:sSub>
                </m:den>
              </m:f>
              <m:r>
                <w:rPr>
                  <w:rFonts w:ascii="Cambria Math" w:eastAsia="宋体" w:hAnsi="Cambria Math" w:cs="Times New Roman"/>
                  <w:sz w:val="24"/>
                  <w:szCs w:val="24"/>
                </w:rPr>
                <m:t>#(3)</m:t>
              </m:r>
            </m:e>
          </m:eqArr>
        </m:oMath>
      </m:oMathPara>
    </w:p>
    <w:p w14:paraId="47C9E62F" w14:textId="36F1C727" w:rsidR="00C727F9" w:rsidRPr="00177203" w:rsidRDefault="00C727F9" w:rsidP="00E63B12">
      <w:pPr>
        <w:widowControl/>
        <w:spacing w:afterLines="50" w:after="156"/>
        <w:rPr>
          <w:rFonts w:eastAsia="宋体" w:cs="Times New Roman"/>
          <w:sz w:val="24"/>
          <w:szCs w:val="24"/>
        </w:rPr>
      </w:pPr>
      <w:r w:rsidRPr="00177203">
        <w:rPr>
          <w:rFonts w:eastAsia="宋体" w:cs="Times New Roman"/>
          <w:sz w:val="24"/>
          <w:szCs w:val="24"/>
        </w:rPr>
        <w:t xml:space="preserve">where </w:t>
      </w:r>
      <w:r w:rsidRPr="00177203">
        <w:rPr>
          <w:rFonts w:eastAsia="宋体" w:cs="Times New Roman"/>
          <w:i/>
          <w:iCs/>
          <w:sz w:val="24"/>
          <w:szCs w:val="24"/>
        </w:rPr>
        <w:t>S</w:t>
      </w:r>
      <w:r w:rsidRPr="00177203">
        <w:rPr>
          <w:rFonts w:eastAsia="宋体" w:cs="Times New Roman"/>
          <w:sz w:val="24"/>
          <w:szCs w:val="24"/>
        </w:rPr>
        <w:t xml:space="preserve"> is the actual </w:t>
      </w:r>
      <w:r w:rsidR="00534D12" w:rsidRPr="00177203">
        <w:rPr>
          <w:rFonts w:eastAsia="宋体" w:cs="Times New Roman"/>
          <w:sz w:val="24"/>
          <w:szCs w:val="24"/>
        </w:rPr>
        <w:t xml:space="preserve">geometric </w:t>
      </w:r>
      <w:r w:rsidRPr="00177203">
        <w:rPr>
          <w:rFonts w:eastAsia="宋体" w:cs="Times New Roman"/>
          <w:sz w:val="24"/>
          <w:szCs w:val="24"/>
        </w:rPr>
        <w:t>surface area of the working electrode. The double layer capacitance (</w:t>
      </w:r>
      <w:proofErr w:type="spellStart"/>
      <w:r w:rsidRPr="00177203">
        <w:rPr>
          <w:rFonts w:eastAsia="宋体" w:cs="Times New Roman"/>
          <w:i/>
          <w:iCs/>
          <w:sz w:val="24"/>
          <w:szCs w:val="24"/>
        </w:rPr>
        <w:t>C</w:t>
      </w:r>
      <w:r w:rsidRPr="00177203">
        <w:rPr>
          <w:rFonts w:eastAsia="宋体" w:cs="Times New Roman"/>
          <w:i/>
          <w:iCs/>
          <w:sz w:val="24"/>
          <w:szCs w:val="24"/>
          <w:vertAlign w:val="subscript"/>
        </w:rPr>
        <w:t>dl</w:t>
      </w:r>
      <w:proofErr w:type="spellEnd"/>
      <w:r w:rsidRPr="00177203">
        <w:rPr>
          <w:rFonts w:eastAsia="宋体" w:cs="Times New Roman"/>
          <w:sz w:val="24"/>
          <w:szCs w:val="24"/>
        </w:rPr>
        <w:t>) was then determined by plotting the current as a function of scan rate at 0.1 V.</w:t>
      </w:r>
    </w:p>
    <w:p w14:paraId="39654D86" w14:textId="1002D01B" w:rsidR="00996452" w:rsidRPr="00177203" w:rsidRDefault="00C727F9" w:rsidP="00FA0C43">
      <w:pPr>
        <w:widowControl/>
        <w:spacing w:afterLines="50" w:after="156"/>
        <w:outlineLvl w:val="2"/>
        <w:rPr>
          <w:rFonts w:eastAsia="宋体" w:cs="Times New Roman"/>
          <w:sz w:val="24"/>
          <w:szCs w:val="24"/>
        </w:rPr>
      </w:pPr>
      <w:r w:rsidRPr="00177203">
        <w:rPr>
          <w:rFonts w:eastAsia="宋体" w:cs="Times New Roman"/>
          <w:b/>
          <w:bCs/>
          <w:sz w:val="24"/>
          <w:szCs w:val="24"/>
        </w:rPr>
        <w:t xml:space="preserve">Electrochemical </w:t>
      </w:r>
      <w:r w:rsidR="008214CC" w:rsidRPr="00177203">
        <w:rPr>
          <w:rFonts w:eastAsia="宋体" w:cs="Times New Roman"/>
          <w:b/>
          <w:bCs/>
          <w:sz w:val="24"/>
          <w:szCs w:val="24"/>
        </w:rPr>
        <w:t>i</w:t>
      </w:r>
      <w:r w:rsidRPr="00177203">
        <w:rPr>
          <w:rFonts w:eastAsia="宋体" w:cs="Times New Roman"/>
          <w:b/>
          <w:bCs/>
          <w:sz w:val="24"/>
          <w:szCs w:val="24"/>
        </w:rPr>
        <w:t xml:space="preserve">mpedance </w:t>
      </w:r>
      <w:r w:rsidR="008214CC" w:rsidRPr="00177203">
        <w:rPr>
          <w:rFonts w:eastAsia="宋体" w:cs="Times New Roman"/>
          <w:b/>
          <w:bCs/>
          <w:sz w:val="24"/>
          <w:szCs w:val="24"/>
        </w:rPr>
        <w:t>s</w:t>
      </w:r>
      <w:r w:rsidRPr="00177203">
        <w:rPr>
          <w:rFonts w:eastAsia="宋体" w:cs="Times New Roman"/>
          <w:b/>
          <w:bCs/>
          <w:sz w:val="24"/>
          <w:szCs w:val="24"/>
        </w:rPr>
        <w:t>pectroscopy (EIS):</w:t>
      </w:r>
      <w:r w:rsidRPr="00177203">
        <w:rPr>
          <w:rFonts w:eastAsia="宋体" w:cs="Times New Roman"/>
          <w:sz w:val="24"/>
          <w:szCs w:val="24"/>
        </w:rPr>
        <w:t xml:space="preserve"> Interfacial charge transfer kinetics of the catalysts was tested by electrochemical impedance spectroscopy on a CHI 660E electrochemical workstation. The test frequency range was 10</w:t>
      </w:r>
      <w:r w:rsidR="00E63B12" w:rsidRPr="00177203">
        <w:rPr>
          <w:rFonts w:eastAsia="宋体" w:cs="Times New Roman"/>
          <w:sz w:val="24"/>
          <w:szCs w:val="24"/>
          <w:vertAlign w:val="superscript"/>
        </w:rPr>
        <w:t>5</w:t>
      </w:r>
      <w:r w:rsidRPr="00177203">
        <w:rPr>
          <w:rFonts w:eastAsia="宋体" w:cs="Times New Roman"/>
          <w:sz w:val="24"/>
          <w:szCs w:val="24"/>
        </w:rPr>
        <w:t xml:space="preserve"> Hz to 10</w:t>
      </w:r>
      <w:r w:rsidR="00E63B12" w:rsidRPr="00177203">
        <w:rPr>
          <w:rFonts w:eastAsia="宋体" w:cs="Times New Roman"/>
          <w:sz w:val="24"/>
          <w:szCs w:val="24"/>
          <w:vertAlign w:val="superscript"/>
        </w:rPr>
        <w:t>–2</w:t>
      </w:r>
      <w:r w:rsidRPr="00177203">
        <w:rPr>
          <w:rFonts w:eastAsia="宋体" w:cs="Times New Roman"/>
          <w:sz w:val="24"/>
          <w:szCs w:val="24"/>
        </w:rPr>
        <w:t xml:space="preserve"> Hz, the AC perturbation amplitude was 5 mV, and the test potential was </w:t>
      </w:r>
      <w:r w:rsidR="00FA0C43" w:rsidRPr="00177203">
        <w:rPr>
          <w:rFonts w:eastAsia="宋体" w:cs="Times New Roman"/>
          <w:sz w:val="24"/>
          <w:szCs w:val="24"/>
        </w:rPr>
        <w:t>–</w:t>
      </w:r>
      <w:r w:rsidRPr="00177203">
        <w:rPr>
          <w:rFonts w:eastAsia="宋体" w:cs="Times New Roman"/>
          <w:sz w:val="24"/>
          <w:szCs w:val="24"/>
        </w:rPr>
        <w:t xml:space="preserve">0.9 V vs. RHE. The impedance data were fitted with an equivalent circuit using </w:t>
      </w:r>
      <w:proofErr w:type="spellStart"/>
      <w:r w:rsidRPr="00177203">
        <w:rPr>
          <w:rFonts w:eastAsia="宋体" w:cs="Times New Roman"/>
          <w:sz w:val="24"/>
          <w:szCs w:val="24"/>
        </w:rPr>
        <w:t>ZView</w:t>
      </w:r>
      <w:proofErr w:type="spellEnd"/>
      <w:r w:rsidRPr="00177203">
        <w:rPr>
          <w:rFonts w:eastAsia="宋体" w:cs="Times New Roman"/>
          <w:sz w:val="24"/>
          <w:szCs w:val="24"/>
        </w:rPr>
        <w:t xml:space="preserve"> software.</w:t>
      </w:r>
      <w:r w:rsidR="00996452" w:rsidRPr="00177203">
        <w:rPr>
          <w:rFonts w:eastAsia="宋体" w:cs="Times New Roman"/>
          <w:sz w:val="24"/>
          <w:szCs w:val="24"/>
        </w:rPr>
        <w:br w:type="page"/>
      </w:r>
    </w:p>
    <w:p w14:paraId="6FA4A7BD" w14:textId="2ADAF9CA" w:rsidR="004F26AD" w:rsidRPr="00177203" w:rsidRDefault="00D45550" w:rsidP="00534D12">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18EB996D" wp14:editId="22B41A92">
            <wp:extent cx="3600000" cy="2708805"/>
            <wp:effectExtent l="0" t="0" r="635" b="0"/>
            <wp:docPr id="158248907" name="图片 15824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43584"/>
                    <a:stretch/>
                  </pic:blipFill>
                  <pic:spPr bwMode="auto">
                    <a:xfrm>
                      <a:off x="0" y="0"/>
                      <a:ext cx="3600000" cy="2708805"/>
                    </a:xfrm>
                    <a:prstGeom prst="rect">
                      <a:avLst/>
                    </a:prstGeom>
                    <a:noFill/>
                    <a:ln>
                      <a:noFill/>
                    </a:ln>
                    <a:extLst>
                      <a:ext uri="{53640926-AAD7-44D8-BBD7-CCE9431645EC}">
                        <a14:shadowObscured xmlns:a14="http://schemas.microsoft.com/office/drawing/2010/main"/>
                      </a:ext>
                    </a:extLst>
                  </pic:spPr>
                </pic:pic>
              </a:graphicData>
            </a:graphic>
          </wp:inline>
        </w:drawing>
      </w:r>
    </w:p>
    <w:p w14:paraId="70ADC6B9" w14:textId="021B40A5" w:rsidR="00843313" w:rsidRPr="00177203" w:rsidRDefault="00306188" w:rsidP="00534D12">
      <w:pPr>
        <w:widowControl/>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4F26AD"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20</w:t>
      </w:r>
      <w:r w:rsidR="004F26AD" w:rsidRPr="00177203">
        <w:rPr>
          <w:rFonts w:eastAsia="宋体" w:cs="Times New Roman"/>
          <w:color w:val="000000" w:themeColor="text1"/>
          <w:sz w:val="24"/>
          <w:szCs w:val="24"/>
        </w:rPr>
        <w:t xml:space="preserve">. </w:t>
      </w:r>
      <w:r w:rsidR="00BF0659" w:rsidRPr="00177203">
        <w:rPr>
          <w:rFonts w:eastAsia="宋体" w:cs="Times New Roman"/>
          <w:color w:val="000000" w:themeColor="text1"/>
          <w:sz w:val="24"/>
          <w:szCs w:val="24"/>
        </w:rPr>
        <w:t>Linear sweep voltammetry (LSV) curves for nitrate reduction reaction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RR) of tZIF-Cu series catalysts in </w:t>
      </w:r>
      <w:proofErr w:type="spellStart"/>
      <w:r w:rsidR="00BF0659" w:rsidRPr="00177203">
        <w:rPr>
          <w:rFonts w:eastAsia="宋体" w:cs="Times New Roman"/>
          <w:color w:val="000000" w:themeColor="text1"/>
          <w:sz w:val="24"/>
          <w:szCs w:val="24"/>
        </w:rPr>
        <w:t>Ar</w:t>
      </w:r>
      <w:proofErr w:type="spellEnd"/>
      <w:r w:rsidR="00BF0659" w:rsidRPr="00177203">
        <w:rPr>
          <w:rFonts w:eastAsia="宋体" w:cs="Times New Roman"/>
          <w:color w:val="000000" w:themeColor="text1"/>
          <w:sz w:val="24"/>
          <w:szCs w:val="24"/>
        </w:rPr>
        <w:t>-saturated 0.1 M K</w:t>
      </w:r>
      <w:r w:rsidR="00E63B12" w:rsidRPr="00177203">
        <w:rPr>
          <w:rFonts w:eastAsia="宋体" w:cs="Times New Roman"/>
          <w:color w:val="000000" w:themeColor="text1"/>
          <w:sz w:val="24"/>
          <w:szCs w:val="24"/>
          <w:vertAlign w:val="subscript"/>
        </w:rPr>
        <w:t>2</w:t>
      </w:r>
      <w:r w:rsidR="00BF0659"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00BF0659" w:rsidRPr="00177203">
        <w:rPr>
          <w:rFonts w:eastAsia="宋体" w:cs="Times New Roman"/>
          <w:color w:val="000000" w:themeColor="text1"/>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electrolyte.</w:t>
      </w:r>
    </w:p>
    <w:p w14:paraId="3B674E9A" w14:textId="1A3D2285" w:rsidR="004F26AD" w:rsidRPr="00177203" w:rsidRDefault="008E5ECC" w:rsidP="00534D12">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34D4488F" wp14:editId="76AB1947">
            <wp:extent cx="3600000" cy="2649326"/>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000" cy="2649326"/>
                    </a:xfrm>
                    <a:prstGeom prst="rect">
                      <a:avLst/>
                    </a:prstGeom>
                    <a:noFill/>
                    <a:ln>
                      <a:noFill/>
                    </a:ln>
                  </pic:spPr>
                </pic:pic>
              </a:graphicData>
            </a:graphic>
          </wp:inline>
        </w:drawing>
      </w:r>
    </w:p>
    <w:p w14:paraId="053F3E3E" w14:textId="0BF8CE81" w:rsidR="00E4023F"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4F26AD"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21</w:t>
      </w:r>
      <w:r w:rsidR="004F26AD" w:rsidRPr="00177203">
        <w:rPr>
          <w:rFonts w:eastAsia="宋体" w:cs="Times New Roman"/>
          <w:color w:val="000000" w:themeColor="text1"/>
          <w:sz w:val="24"/>
          <w:szCs w:val="24"/>
        </w:rPr>
        <w:t>.</w:t>
      </w:r>
      <w:r w:rsidR="00BF0659" w:rsidRPr="00177203">
        <w:rPr>
          <w:rFonts w:eastAsia="宋体" w:cs="Times New Roman"/>
        </w:rPr>
        <w:t xml:space="preserve"> </w:t>
      </w:r>
      <w:r w:rsidR="00BF0659" w:rsidRPr="00177203">
        <w:rPr>
          <w:rFonts w:eastAsia="宋体" w:cs="Times New Roman"/>
          <w:color w:val="000000" w:themeColor="text1"/>
          <w:sz w:val="24"/>
          <w:szCs w:val="24"/>
        </w:rPr>
        <w:t xml:space="preserve">Linear sweep voltammetry (LSV) curves for hydrogen evolution reaction (HER) of tZIF-Cu series catalysts in 1.0 M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BF0659"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00BF0659" w:rsidRPr="00177203">
        <w:rPr>
          <w:rFonts w:eastAsia="宋体" w:cs="Times New Roman"/>
          <w:color w:val="000000" w:themeColor="text1"/>
          <w:sz w:val="24"/>
          <w:szCs w:val="24"/>
        </w:rPr>
        <w:t xml:space="preserve"> electrolyte.</w:t>
      </w:r>
    </w:p>
    <w:p w14:paraId="4CFB0212" w14:textId="77777777" w:rsidR="00E4023F" w:rsidRPr="00177203" w:rsidRDefault="00E4023F">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006DB490" w14:textId="169154AB" w:rsidR="00C727F9" w:rsidRPr="00177203" w:rsidRDefault="008E5ECC" w:rsidP="00534D12">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0E4C119D" wp14:editId="6BBD3EB1">
            <wp:extent cx="3600000" cy="2717324"/>
            <wp:effectExtent l="0" t="0" r="63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0000" cy="2717324"/>
                    </a:xfrm>
                    <a:prstGeom prst="rect">
                      <a:avLst/>
                    </a:prstGeom>
                    <a:noFill/>
                    <a:ln>
                      <a:noFill/>
                    </a:ln>
                  </pic:spPr>
                </pic:pic>
              </a:graphicData>
            </a:graphic>
          </wp:inline>
        </w:drawing>
      </w:r>
    </w:p>
    <w:p w14:paraId="0BB4977C" w14:textId="01A6E6E6" w:rsidR="00C727F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727F9"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22</w:t>
      </w:r>
      <w:r w:rsidR="00C727F9" w:rsidRPr="00177203">
        <w:rPr>
          <w:rFonts w:eastAsia="宋体" w:cs="Times New Roman"/>
          <w:color w:val="000000" w:themeColor="text1"/>
          <w:sz w:val="24"/>
          <w:szCs w:val="24"/>
        </w:rPr>
        <w:t xml:space="preserve">. </w:t>
      </w:r>
      <w:r w:rsidR="00BF0659" w:rsidRPr="00177203">
        <w:rPr>
          <w:rFonts w:eastAsia="宋体" w:cs="Times New Roman"/>
          <w:color w:val="000000" w:themeColor="text1"/>
          <w:sz w:val="24"/>
          <w:szCs w:val="24"/>
        </w:rPr>
        <w:t>Linear sweep voltammetry (LSV) curves for carbon dioxide reduction reaction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00BF0659" w:rsidRPr="00177203">
        <w:rPr>
          <w:rFonts w:eastAsia="宋体" w:cs="Times New Roman"/>
          <w:color w:val="000000" w:themeColor="text1"/>
          <w:sz w:val="24"/>
          <w:szCs w:val="24"/>
        </w:rPr>
        <w:t xml:space="preserve">) of tZIF-Cu series catalysts in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F0659" w:rsidRPr="00177203">
        <w:rPr>
          <w:rFonts w:eastAsia="宋体" w:cs="Times New Roman"/>
          <w:color w:val="000000" w:themeColor="text1"/>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electrolyte.</w:t>
      </w:r>
    </w:p>
    <w:p w14:paraId="3BFD66A8" w14:textId="35D9CEA3" w:rsidR="004F26AD" w:rsidRPr="00177203" w:rsidRDefault="008E5ECC" w:rsidP="00534D12">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57E5A9AE" wp14:editId="7CA941D7">
            <wp:extent cx="3600000" cy="2868912"/>
            <wp:effectExtent l="0" t="0" r="635"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00000" cy="2868912"/>
                    </a:xfrm>
                    <a:prstGeom prst="rect">
                      <a:avLst/>
                    </a:prstGeom>
                    <a:noFill/>
                    <a:ln>
                      <a:noFill/>
                    </a:ln>
                  </pic:spPr>
                </pic:pic>
              </a:graphicData>
            </a:graphic>
          </wp:inline>
        </w:drawing>
      </w:r>
    </w:p>
    <w:p w14:paraId="0357FD1F" w14:textId="19D874AB" w:rsidR="004F26AD"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4F26AD"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23</w:t>
      </w:r>
      <w:r w:rsidR="004F26AD" w:rsidRPr="00177203">
        <w:rPr>
          <w:rFonts w:eastAsia="宋体" w:cs="Times New Roman"/>
          <w:color w:val="000000" w:themeColor="text1"/>
          <w:sz w:val="24"/>
          <w:szCs w:val="24"/>
        </w:rPr>
        <w:t xml:space="preserve">. </w:t>
      </w:r>
      <w:r w:rsidR="00BF0659" w:rsidRPr="00177203">
        <w:rPr>
          <w:rFonts w:eastAsia="宋体" w:cs="Times New Roman"/>
          <w:color w:val="000000" w:themeColor="text1"/>
          <w:sz w:val="24"/>
          <w:szCs w:val="24"/>
        </w:rPr>
        <w:t>Linear sweep voltammetry (LSV) curves for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RR of tZIF-Cu</w:t>
      </w:r>
      <w:r w:rsidR="00D93334" w:rsidRPr="00177203">
        <w:rPr>
          <w:rFonts w:eastAsia="宋体" w:cs="Times New Roman"/>
          <w:color w:val="000000" w:themeColor="text1"/>
          <w:sz w:val="24"/>
          <w:szCs w:val="24"/>
          <w:vertAlign w:val="subscript"/>
        </w:rPr>
        <w:t>900</w:t>
      </w:r>
      <w:r w:rsidR="00BF0659" w:rsidRPr="00177203">
        <w:rPr>
          <w:rFonts w:eastAsia="宋体" w:cs="Times New Roman"/>
          <w:color w:val="000000" w:themeColor="text1"/>
          <w:sz w:val="24"/>
          <w:szCs w:val="24"/>
        </w:rPr>
        <w:t xml:space="preserve"> in </w:t>
      </w:r>
      <w:proofErr w:type="spellStart"/>
      <w:r w:rsidR="00BF0659" w:rsidRPr="00177203">
        <w:rPr>
          <w:rFonts w:eastAsia="宋体" w:cs="Times New Roman"/>
          <w:color w:val="000000" w:themeColor="text1"/>
          <w:sz w:val="24"/>
          <w:szCs w:val="24"/>
        </w:rPr>
        <w:t>Ar</w:t>
      </w:r>
      <w:proofErr w:type="spellEnd"/>
      <w:r w:rsidR="00BF0659" w:rsidRPr="00177203">
        <w:rPr>
          <w:rFonts w:eastAsia="宋体" w:cs="Times New Roman"/>
          <w:color w:val="000000" w:themeColor="text1"/>
          <w:sz w:val="24"/>
          <w:szCs w:val="24"/>
        </w:rPr>
        <w:t>-saturated alkaline (0.1 M KOH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and neutral (0.1 M </w:t>
      </w:r>
      <w:r w:rsidR="00E63B12" w:rsidRPr="00177203">
        <w:rPr>
          <w:rFonts w:eastAsia="宋体" w:cs="Times New Roman"/>
          <w:color w:val="000000" w:themeColor="text1"/>
          <w:sz w:val="24"/>
          <w:szCs w:val="24"/>
        </w:rPr>
        <w:t>K</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00BF0659" w:rsidRPr="00177203">
        <w:rPr>
          <w:rFonts w:eastAsia="宋体" w:cs="Times New Roman"/>
          <w:color w:val="000000" w:themeColor="text1"/>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electrolytes.</w:t>
      </w:r>
    </w:p>
    <w:p w14:paraId="05160A6E" w14:textId="50BDF7AA" w:rsidR="00C727F9" w:rsidRPr="00177203" w:rsidRDefault="008E5ECC" w:rsidP="00534D12">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34766397" wp14:editId="265A6552">
            <wp:extent cx="3600000" cy="2699134"/>
            <wp:effectExtent l="0" t="0" r="635"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00000" cy="2699134"/>
                    </a:xfrm>
                    <a:prstGeom prst="rect">
                      <a:avLst/>
                    </a:prstGeom>
                    <a:noFill/>
                    <a:ln>
                      <a:noFill/>
                    </a:ln>
                  </pic:spPr>
                </pic:pic>
              </a:graphicData>
            </a:graphic>
          </wp:inline>
        </w:drawing>
      </w:r>
    </w:p>
    <w:p w14:paraId="399ADD33" w14:textId="4E29AC8B" w:rsidR="00C727F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727F9"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24</w:t>
      </w:r>
      <w:r w:rsidR="00C727F9" w:rsidRPr="00177203">
        <w:rPr>
          <w:rFonts w:eastAsia="宋体" w:cs="Times New Roman"/>
          <w:color w:val="000000" w:themeColor="text1"/>
          <w:sz w:val="24"/>
          <w:szCs w:val="24"/>
        </w:rPr>
        <w:t xml:space="preserve">. </w:t>
      </w:r>
      <w:r w:rsidR="00BF0659" w:rsidRPr="00177203">
        <w:rPr>
          <w:rFonts w:eastAsia="宋体" w:cs="Times New Roman"/>
          <w:color w:val="000000" w:themeColor="text1"/>
          <w:sz w:val="24"/>
          <w:szCs w:val="24"/>
        </w:rPr>
        <w:t xml:space="preserve">Linear sweep voltammetry (LSV) curves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BF0659" w:rsidRPr="00177203">
        <w:rPr>
          <w:rFonts w:eastAsia="宋体" w:cs="Times New Roman"/>
          <w:color w:val="000000" w:themeColor="text1"/>
          <w:sz w:val="24"/>
          <w:szCs w:val="24"/>
        </w:rPr>
        <w:t xml:space="preserve"> in four electrolyte systems to verify the C-N co-reduction synergistic effect: (1) </w:t>
      </w:r>
      <w:proofErr w:type="spellStart"/>
      <w:r w:rsidR="00BF0659" w:rsidRPr="00177203">
        <w:rPr>
          <w:rFonts w:eastAsia="宋体" w:cs="Times New Roman"/>
          <w:color w:val="000000" w:themeColor="text1"/>
          <w:sz w:val="24"/>
          <w:szCs w:val="24"/>
        </w:rPr>
        <w:t>Ar</w:t>
      </w:r>
      <w:proofErr w:type="spellEnd"/>
      <w:r w:rsidR="00BF0659" w:rsidRPr="00177203">
        <w:rPr>
          <w:rFonts w:eastAsia="宋体" w:cs="Times New Roman"/>
          <w:color w:val="000000" w:themeColor="text1"/>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(2)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F0659" w:rsidRPr="00177203">
        <w:rPr>
          <w:rFonts w:eastAsia="宋体" w:cs="Times New Roman"/>
          <w:color w:val="000000" w:themeColor="text1"/>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(3) </w:t>
      </w:r>
      <w:proofErr w:type="spellStart"/>
      <w:r w:rsidR="00BF0659" w:rsidRPr="00177203">
        <w:rPr>
          <w:rFonts w:eastAsia="宋体" w:cs="Times New Roman"/>
          <w:color w:val="000000" w:themeColor="text1"/>
          <w:sz w:val="24"/>
          <w:szCs w:val="24"/>
        </w:rPr>
        <w:t>Ar</w:t>
      </w:r>
      <w:proofErr w:type="spellEnd"/>
      <w:r w:rsidR="00BF0659" w:rsidRPr="00177203">
        <w:rPr>
          <w:rFonts w:eastAsia="宋体" w:cs="Times New Roman"/>
          <w:color w:val="000000" w:themeColor="text1"/>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(4)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F0659" w:rsidRPr="00177203">
        <w:rPr>
          <w:rFonts w:eastAsia="宋体" w:cs="Times New Roman"/>
          <w:color w:val="000000" w:themeColor="text1"/>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D21EEB" w:rsidRPr="00177203">
        <w:rPr>
          <w:rFonts w:eastAsia="宋体" w:cs="Times New Roman"/>
          <w:color w:val="000000" w:themeColor="text1"/>
          <w:sz w:val="24"/>
          <w:szCs w:val="24"/>
        </w:rPr>
        <w:t>.</w:t>
      </w:r>
    </w:p>
    <w:p w14:paraId="6136386A" w14:textId="70534F14" w:rsidR="00996452" w:rsidRPr="00177203" w:rsidRDefault="00996452" w:rsidP="00996452">
      <w:pPr>
        <w:widowControl/>
        <w:spacing w:afterLines="50" w:after="156"/>
        <w:ind w:firstLine="420"/>
        <w:rPr>
          <w:rFonts w:eastAsia="宋体" w:cs="Times New Roman"/>
          <w:sz w:val="24"/>
          <w:szCs w:val="24"/>
        </w:rPr>
      </w:pPr>
      <w:r w:rsidRPr="00177203">
        <w:rPr>
          <w:rFonts w:eastAsia="宋体" w:cs="Times New Roman"/>
          <w:sz w:val="24"/>
          <w:szCs w:val="24"/>
        </w:rPr>
        <w:t>For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RR tested in </w:t>
      </w:r>
      <w:proofErr w:type="spellStart"/>
      <w:r w:rsidRPr="00177203">
        <w:rPr>
          <w:rFonts w:eastAsia="宋体" w:cs="Times New Roman"/>
          <w:sz w:val="24"/>
          <w:szCs w:val="24"/>
        </w:rPr>
        <w:t>Ar</w:t>
      </w:r>
      <w:proofErr w:type="spellEnd"/>
      <w:r w:rsidRPr="00177203">
        <w:rPr>
          <w:rFonts w:eastAsia="宋体" w:cs="Times New Roman"/>
          <w:sz w:val="24"/>
          <w:szCs w:val="24"/>
        </w:rPr>
        <w:t xml:space="preserve">-saturated 0.1 M </w:t>
      </w:r>
      <w:r w:rsidR="00E63B12" w:rsidRPr="00177203">
        <w:rPr>
          <w:rFonts w:eastAsia="宋体" w:cs="Times New Roman"/>
          <w:color w:val="000000" w:themeColor="text1"/>
          <w:sz w:val="24"/>
          <w:szCs w:val="24"/>
        </w:rPr>
        <w:t>K</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Pr="00177203">
        <w:rPr>
          <w:rFonts w:eastAsia="宋体" w:cs="Times New Roman"/>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electrolyte (</w:t>
      </w:r>
      <w:r w:rsidR="00306188" w:rsidRPr="00177203">
        <w:rPr>
          <w:rFonts w:eastAsia="宋体" w:cs="Times New Roman"/>
          <w:sz w:val="24"/>
          <w:szCs w:val="24"/>
        </w:rPr>
        <w:t>Supplementary</w:t>
      </w:r>
      <w:r w:rsidRPr="00177203">
        <w:rPr>
          <w:rFonts w:eastAsia="宋体" w:cs="Times New Roman"/>
          <w:sz w:val="24"/>
          <w:szCs w:val="24"/>
        </w:rPr>
        <w:t xml:space="preserve"> Fig. </w:t>
      </w:r>
      <w:r w:rsidR="00843313" w:rsidRPr="00177203">
        <w:rPr>
          <w:rFonts w:eastAsia="宋体" w:cs="Times New Roman"/>
          <w:sz w:val="24"/>
          <w:szCs w:val="24"/>
        </w:rPr>
        <w:t>20</w:t>
      </w:r>
      <w:r w:rsidRPr="00177203">
        <w:rPr>
          <w:rFonts w:eastAsia="宋体" w:cs="Times New Roman"/>
          <w:sz w:val="24"/>
          <w:szCs w:val="24"/>
        </w:rPr>
        <w:t xml:space="preserve">), at the same applied potential,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sz w:val="24"/>
          <w:szCs w:val="24"/>
        </w:rPr>
        <w:t xml:space="preserve"> </w:t>
      </w:r>
      <w:proofErr w:type="spellStart"/>
      <w:r w:rsidRPr="00177203">
        <w:rPr>
          <w:rFonts w:eastAsia="宋体" w:cs="Times New Roman"/>
          <w:sz w:val="24"/>
          <w:szCs w:val="24"/>
        </w:rPr>
        <w:t>exhibite</w:t>
      </w:r>
      <w:r w:rsidR="00534D12" w:rsidRPr="00177203">
        <w:rPr>
          <w:rFonts w:eastAsia="宋体" w:cs="Times New Roman"/>
          <w:sz w:val="24"/>
          <w:szCs w:val="24"/>
        </w:rPr>
        <w:t>s</w:t>
      </w:r>
      <w:proofErr w:type="spellEnd"/>
      <w:r w:rsidRPr="00177203">
        <w:rPr>
          <w:rFonts w:eastAsia="宋体" w:cs="Times New Roman"/>
          <w:sz w:val="24"/>
          <w:szCs w:val="24"/>
        </w:rPr>
        <w:t xml:space="preserve"> the highest current density and the most positive onset potential among all samples, indicating the best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RR electrochemical activity. This may be related to the material's pore structure, the exposure level of active sites, and the coordination environment of copper species. In comparison,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the lowest current density under the same potential, implying sluggish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RR reaction kinetics.</w:t>
      </w:r>
    </w:p>
    <w:p w14:paraId="781F2FD8" w14:textId="72F4BDCE" w:rsidR="00996452" w:rsidRPr="00177203" w:rsidRDefault="00996452" w:rsidP="00996452">
      <w:pPr>
        <w:widowControl/>
        <w:spacing w:afterLines="50" w:after="156"/>
        <w:ind w:firstLine="420"/>
        <w:rPr>
          <w:rFonts w:eastAsia="宋体" w:cs="Times New Roman"/>
          <w:sz w:val="24"/>
          <w:szCs w:val="24"/>
        </w:rPr>
      </w:pPr>
      <w:r w:rsidRPr="00177203">
        <w:rPr>
          <w:rFonts w:eastAsia="宋体" w:cs="Times New Roman"/>
          <w:sz w:val="24"/>
          <w:szCs w:val="24"/>
        </w:rPr>
        <w:t xml:space="preserve">For HER tested in 1.0 M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sz w:val="24"/>
          <w:szCs w:val="24"/>
        </w:rPr>
        <w:t>SO</w:t>
      </w:r>
      <w:r w:rsidR="00E63B12" w:rsidRPr="00177203">
        <w:rPr>
          <w:rFonts w:eastAsia="宋体" w:cs="Times New Roman"/>
          <w:sz w:val="24"/>
          <w:szCs w:val="24"/>
          <w:vertAlign w:val="subscript"/>
        </w:rPr>
        <w:t>4</w:t>
      </w:r>
      <w:r w:rsidRPr="00177203">
        <w:rPr>
          <w:rFonts w:eastAsia="宋体" w:cs="Times New Roman"/>
          <w:sz w:val="24"/>
          <w:szCs w:val="24"/>
        </w:rPr>
        <w:t xml:space="preserve"> electrolyte (</w:t>
      </w:r>
      <w:r w:rsidR="00306188" w:rsidRPr="00177203">
        <w:rPr>
          <w:rFonts w:eastAsia="宋体" w:cs="Times New Roman"/>
          <w:sz w:val="24"/>
          <w:szCs w:val="24"/>
        </w:rPr>
        <w:t>Supplementary</w:t>
      </w:r>
      <w:r w:rsidRPr="00177203">
        <w:rPr>
          <w:rFonts w:eastAsia="宋体" w:cs="Times New Roman"/>
          <w:sz w:val="24"/>
          <w:szCs w:val="24"/>
        </w:rPr>
        <w:t xml:space="preserve"> Fig. 21),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the highest current density at the same negative potential, indicating the strongest HER activity among the four samples, while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sz w:val="24"/>
          <w:szCs w:val="24"/>
        </w:rPr>
        <w:t xml:space="preserve"> exhibited the weakest HER response.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moderate HER activity, which may help avoid excessive competitive consumption of electrons and protons by the HER side reaction during the </w:t>
      </w:r>
      <w:r w:rsidR="00E63B12" w:rsidRPr="00177203">
        <w:rPr>
          <w:rFonts w:eastAsia="宋体" w:cs="Times New Roman"/>
          <w:color w:val="000000" w:themeColor="text1"/>
          <w:sz w:val="24"/>
          <w:szCs w:val="24"/>
        </w:rPr>
        <w:t>C–N coupling</w:t>
      </w:r>
      <w:r w:rsidRPr="00177203">
        <w:rPr>
          <w:rFonts w:eastAsia="宋体" w:cs="Times New Roman"/>
          <w:sz w:val="24"/>
          <w:szCs w:val="24"/>
        </w:rPr>
        <w:t xml:space="preserve"> process.</w:t>
      </w:r>
    </w:p>
    <w:p w14:paraId="5F7B5C8A" w14:textId="6F2637B2" w:rsidR="00996452" w:rsidRPr="00177203" w:rsidRDefault="00996452" w:rsidP="00996452">
      <w:pPr>
        <w:widowControl/>
        <w:spacing w:afterLines="50" w:after="156"/>
        <w:ind w:firstLine="420"/>
        <w:rPr>
          <w:rFonts w:eastAsia="宋体" w:cs="Times New Roman"/>
          <w:sz w:val="24"/>
          <w:szCs w:val="24"/>
        </w:rPr>
      </w:pPr>
      <w:r w:rsidRPr="00177203">
        <w:rPr>
          <w:rFonts w:eastAsia="宋体" w:cs="Times New Roman"/>
          <w:sz w:val="24"/>
          <w:szCs w:val="24"/>
        </w:rPr>
        <w:t xml:space="preserve">For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sz w:val="24"/>
          <w:szCs w:val="24"/>
        </w:rPr>
        <w:t xml:space="preserve"> tested in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 electrolyte (</w:t>
      </w:r>
      <w:r w:rsidR="00306188" w:rsidRPr="00177203">
        <w:rPr>
          <w:rFonts w:eastAsia="宋体" w:cs="Times New Roman"/>
          <w:sz w:val="24"/>
          <w:szCs w:val="24"/>
        </w:rPr>
        <w:t>Supplementary</w:t>
      </w:r>
      <w:r w:rsidRPr="00177203">
        <w:rPr>
          <w:rFonts w:eastAsia="宋体" w:cs="Times New Roman"/>
          <w:sz w:val="24"/>
          <w:szCs w:val="24"/>
        </w:rPr>
        <w:t xml:space="preserve"> Fig. 22),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the highest current density at the same applied potential, while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similar current response</w:t>
      </w:r>
      <w:r w:rsidR="00534D12" w:rsidRPr="00177203">
        <w:rPr>
          <w:rFonts w:eastAsia="宋体" w:cs="Times New Roman"/>
          <w:sz w:val="24"/>
          <w:szCs w:val="24"/>
        </w:rPr>
        <w:t>s</w:t>
      </w:r>
      <w:r w:rsidRPr="00177203">
        <w:rPr>
          <w:rFonts w:eastAsia="宋体" w:cs="Times New Roman"/>
          <w:sz w:val="24"/>
          <w:szCs w:val="24"/>
        </w:rPr>
        <w:t xml:space="preserve"> with no significant difference. This suggests that the structural differences of the tZIF-Cu series have a weaker regulatory effect on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sz w:val="24"/>
          <w:szCs w:val="24"/>
        </w:rPr>
        <w:t xml:space="preserve"> compared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RR.</w:t>
      </w:r>
    </w:p>
    <w:p w14:paraId="1A9A09B4" w14:textId="5C52144B" w:rsidR="00996452" w:rsidRPr="00177203" w:rsidRDefault="00996452" w:rsidP="00996452">
      <w:pPr>
        <w:widowControl/>
        <w:spacing w:afterLines="50" w:after="156"/>
        <w:ind w:firstLine="420"/>
        <w:rPr>
          <w:rFonts w:eastAsia="宋体" w:cs="Times New Roman"/>
          <w:sz w:val="24"/>
          <w:szCs w:val="24"/>
        </w:rPr>
      </w:pPr>
      <w:r w:rsidRPr="00177203">
        <w:rPr>
          <w:rFonts w:eastAsia="宋体" w:cs="Times New Roman"/>
          <w:sz w:val="24"/>
          <w:szCs w:val="24"/>
        </w:rPr>
        <w:t>The pH dependence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RR was tested in alkaline and neutral electrolyte systems (</w:t>
      </w:r>
      <w:r w:rsidR="00306188" w:rsidRPr="00177203">
        <w:rPr>
          <w:rFonts w:eastAsia="宋体" w:cs="Times New Roman"/>
          <w:sz w:val="24"/>
          <w:szCs w:val="24"/>
        </w:rPr>
        <w:t>Supplementary</w:t>
      </w:r>
      <w:r w:rsidRPr="00177203">
        <w:rPr>
          <w:rFonts w:eastAsia="宋体" w:cs="Times New Roman"/>
          <w:sz w:val="24"/>
          <w:szCs w:val="24"/>
        </w:rPr>
        <w:t xml:space="preserve"> Figs. 23–24).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sz w:val="24"/>
          <w:szCs w:val="24"/>
        </w:rPr>
        <w:t xml:space="preserve"> show</w:t>
      </w:r>
      <w:r w:rsidR="00534D12" w:rsidRPr="00177203">
        <w:rPr>
          <w:rFonts w:eastAsia="宋体" w:cs="Times New Roman"/>
          <w:sz w:val="24"/>
          <w:szCs w:val="24"/>
        </w:rPr>
        <w:t>s</w:t>
      </w:r>
      <w:r w:rsidRPr="00177203">
        <w:rPr>
          <w:rFonts w:eastAsia="宋体" w:cs="Times New Roman"/>
          <w:sz w:val="24"/>
          <w:szCs w:val="24"/>
        </w:rPr>
        <w:t xml:space="preserve"> higher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RR current density and more positive onset potential </w:t>
      </w:r>
      <w:r w:rsidR="00E4023F" w:rsidRPr="00177203">
        <w:rPr>
          <w:rFonts w:eastAsia="宋体" w:cs="Times New Roman"/>
          <w:sz w:val="24"/>
          <w:szCs w:val="24"/>
        </w:rPr>
        <w:t>in the alkaline 0.1 M KOH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E4023F" w:rsidRPr="00177203">
        <w:rPr>
          <w:rFonts w:eastAsia="宋体" w:cs="Times New Roman"/>
          <w:sz w:val="24"/>
          <w:szCs w:val="24"/>
        </w:rPr>
        <w:t xml:space="preserve"> system </w:t>
      </w:r>
      <w:r w:rsidRPr="00177203">
        <w:rPr>
          <w:rFonts w:eastAsia="宋体" w:cs="Times New Roman"/>
          <w:sz w:val="24"/>
          <w:szCs w:val="24"/>
        </w:rPr>
        <w:t>than</w:t>
      </w:r>
      <w:r w:rsidR="00E4023F" w:rsidRPr="00177203">
        <w:rPr>
          <w:rFonts w:eastAsia="宋体" w:cs="Times New Roman"/>
          <w:sz w:val="24"/>
          <w:szCs w:val="24"/>
        </w:rPr>
        <w:t xml:space="preserve"> in the neutral 0.1 M </w:t>
      </w:r>
      <w:r w:rsidR="00E63B12" w:rsidRPr="00177203">
        <w:rPr>
          <w:rFonts w:eastAsia="宋体" w:cs="Times New Roman"/>
          <w:color w:val="000000" w:themeColor="text1"/>
          <w:sz w:val="24"/>
          <w:szCs w:val="24"/>
        </w:rPr>
        <w:t>K</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00E4023F" w:rsidRPr="00177203">
        <w:rPr>
          <w:rFonts w:eastAsia="宋体" w:cs="Times New Roman"/>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E4023F" w:rsidRPr="00177203">
        <w:rPr>
          <w:rFonts w:eastAsia="宋体" w:cs="Times New Roman"/>
          <w:sz w:val="24"/>
          <w:szCs w:val="24"/>
        </w:rPr>
        <w:t xml:space="preserve"> system, </w:t>
      </w:r>
      <w:r w:rsidRPr="00177203">
        <w:rPr>
          <w:rFonts w:eastAsia="宋体" w:cs="Times New Roman"/>
          <w:sz w:val="24"/>
          <w:szCs w:val="24"/>
        </w:rPr>
        <w:t xml:space="preserve">which confirms that the </w:t>
      </w:r>
      <w:r w:rsidR="00E4023F" w:rsidRPr="00177203">
        <w:rPr>
          <w:rFonts w:eastAsia="宋体" w:cs="Times New Roman"/>
          <w:sz w:val="24"/>
          <w:szCs w:val="24"/>
        </w:rPr>
        <w:t xml:space="preserve">alkaline </w:t>
      </w:r>
      <w:r w:rsidRPr="00177203">
        <w:rPr>
          <w:rFonts w:eastAsia="宋体" w:cs="Times New Roman"/>
          <w:sz w:val="24"/>
          <w:szCs w:val="24"/>
        </w:rPr>
        <w:t>system is more favorable for the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sz w:val="24"/>
          <w:szCs w:val="24"/>
        </w:rPr>
        <w:t xml:space="preserve">RR process of the catalyst, and is compatible with the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sz w:val="24"/>
          <w:szCs w:val="24"/>
        </w:rPr>
        <w:t>-saturated C-N co-reduction system.</w:t>
      </w:r>
    </w:p>
    <w:p w14:paraId="72AC7A96" w14:textId="1B55F104" w:rsidR="00092E53" w:rsidRPr="00177203" w:rsidRDefault="00F632E7" w:rsidP="00F632E7">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When combined, these LSV results reveal that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possesses the optimal activity balance for selective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towards urea synthesis. The superior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RR activity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ensures efficient generation of *NO intermediates, the core nitrogen-containing building block for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Meanwhile, its moderate HER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activity, compared to the excessively high HER/</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activity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effectively suppresses the two major parasitic reactions that compete for electrons and active sites.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the dominant HER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lead to rapid consumption of protons and electrons, as well as excessive *CO generation that cannot be matched by *NO supply, resulting in low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selectivity and severe side reactions.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the sluggish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RR kinetics cannot generate sufficient *NO intermediates, limiting the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rate despite its low HER/</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activity. Only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achieves the optimal kinetic matching between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RR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while suppressing competitive HER, which is the key to its near-unity urea selectivity and benchmark yield rate.</w:t>
      </w:r>
    </w:p>
    <w:p w14:paraId="4B0BDC40" w14:textId="77777777" w:rsidR="00092E53" w:rsidRPr="00177203" w:rsidRDefault="00092E53">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0524D30F" w14:textId="215F0280" w:rsidR="00C727F9" w:rsidRPr="00177203" w:rsidRDefault="008E5ECC" w:rsidP="00C727F9">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11A2D37E" wp14:editId="34E1CF19">
            <wp:extent cx="5278120" cy="41167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120" cy="4116705"/>
                    </a:xfrm>
                    <a:prstGeom prst="rect">
                      <a:avLst/>
                    </a:prstGeom>
                    <a:noFill/>
                    <a:ln>
                      <a:noFill/>
                    </a:ln>
                  </pic:spPr>
                </pic:pic>
              </a:graphicData>
            </a:graphic>
          </wp:inline>
        </w:drawing>
      </w:r>
    </w:p>
    <w:p w14:paraId="70C19EA5" w14:textId="0AB4A709" w:rsidR="00C727F9" w:rsidRPr="00177203" w:rsidRDefault="00306188" w:rsidP="003C0293">
      <w:pPr>
        <w:spacing w:afterLines="50" w:after="156"/>
        <w:outlineLvl w:val="3"/>
        <w:rPr>
          <w:rFonts w:eastAsia="宋体" w:cs="Times New Roman"/>
          <w:b/>
          <w:bCs/>
          <w:color w:val="000000" w:themeColor="text1"/>
          <w:sz w:val="24"/>
          <w:szCs w:val="24"/>
        </w:rPr>
      </w:pPr>
      <w:r w:rsidRPr="00177203">
        <w:rPr>
          <w:rFonts w:eastAsia="宋体" w:cs="Times New Roman"/>
          <w:b/>
          <w:bCs/>
          <w:color w:val="000000" w:themeColor="text1"/>
          <w:sz w:val="24"/>
          <w:szCs w:val="24"/>
        </w:rPr>
        <w:t>Supplementary</w:t>
      </w:r>
      <w:r w:rsidR="00C727F9"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25</w:t>
      </w:r>
      <w:r w:rsidR="00C727F9" w:rsidRPr="00177203">
        <w:rPr>
          <w:rFonts w:eastAsia="宋体" w:cs="Times New Roman"/>
          <w:b/>
          <w:bCs/>
          <w:color w:val="000000" w:themeColor="text1"/>
          <w:sz w:val="24"/>
          <w:szCs w:val="24"/>
        </w:rPr>
        <w:t xml:space="preserve">. </w:t>
      </w:r>
      <w:r w:rsidR="00BF0659" w:rsidRPr="00177203">
        <w:rPr>
          <w:rFonts w:eastAsia="宋体" w:cs="Times New Roman"/>
          <w:color w:val="000000" w:themeColor="text1"/>
          <w:sz w:val="24"/>
          <w:szCs w:val="24"/>
        </w:rPr>
        <w:t xml:space="preserve">Cyclic voltammetry (CV) curves of (a)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BF0659" w:rsidRPr="00177203">
        <w:rPr>
          <w:rFonts w:eastAsia="宋体" w:cs="Times New Roman"/>
          <w:color w:val="000000" w:themeColor="text1"/>
          <w:sz w:val="24"/>
          <w:szCs w:val="24"/>
        </w:rPr>
        <w:t xml:space="preserve">, (b)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BF0659" w:rsidRPr="00177203">
        <w:rPr>
          <w:rFonts w:eastAsia="宋体" w:cs="Times New Roman"/>
          <w:color w:val="000000" w:themeColor="text1"/>
          <w:sz w:val="24"/>
          <w:szCs w:val="24"/>
        </w:rPr>
        <w:t xml:space="preserve">,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BF0659" w:rsidRPr="00177203">
        <w:rPr>
          <w:rFonts w:eastAsia="宋体" w:cs="Times New Roman"/>
          <w:color w:val="000000" w:themeColor="text1"/>
          <w:sz w:val="24"/>
          <w:szCs w:val="24"/>
        </w:rPr>
        <w:t xml:space="preserve"> and (d)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BF0659" w:rsidRPr="00177203">
        <w:rPr>
          <w:rFonts w:eastAsia="宋体" w:cs="Times New Roman"/>
          <w:color w:val="000000" w:themeColor="text1"/>
          <w:sz w:val="24"/>
          <w:szCs w:val="24"/>
        </w:rPr>
        <w:t xml:space="preserve"> collected in the non-Faradaic potential region (–0.16–0.16 V vs. SCE) at scan rates of 5, 10, 20, 30, 50, 100, </w:t>
      </w:r>
      <w:r w:rsidR="00E63B12" w:rsidRPr="00177203">
        <w:rPr>
          <w:rFonts w:eastAsia="宋体" w:cs="Times New Roman"/>
          <w:color w:val="000000" w:themeColor="text1"/>
          <w:sz w:val="24"/>
          <w:szCs w:val="24"/>
        </w:rPr>
        <w:t xml:space="preserve">and </w:t>
      </w:r>
      <w:r w:rsidR="00BF0659" w:rsidRPr="00177203">
        <w:rPr>
          <w:rFonts w:eastAsia="宋体" w:cs="Times New Roman"/>
          <w:color w:val="000000" w:themeColor="text1"/>
          <w:sz w:val="24"/>
          <w:szCs w:val="24"/>
        </w:rPr>
        <w:t xml:space="preserve">200 mV </w:t>
      </w:r>
      <w:r w:rsidR="00E63B12" w:rsidRPr="00177203">
        <w:rPr>
          <w:rFonts w:eastAsia="宋体" w:cs="Times New Roman"/>
          <w:sz w:val="24"/>
          <w:szCs w:val="24"/>
        </w:rPr>
        <w:t>s</w:t>
      </w:r>
      <w:r w:rsidR="00E63B12" w:rsidRPr="00177203">
        <w:rPr>
          <w:rFonts w:eastAsia="宋体" w:cs="Times New Roman"/>
          <w:sz w:val="24"/>
          <w:szCs w:val="24"/>
          <w:vertAlign w:val="superscript"/>
        </w:rPr>
        <w:t>–1</w:t>
      </w:r>
      <w:r w:rsidR="00C727F9" w:rsidRPr="00177203">
        <w:rPr>
          <w:rFonts w:eastAsia="宋体" w:cs="Times New Roman"/>
          <w:color w:val="000000" w:themeColor="text1"/>
          <w:sz w:val="24"/>
          <w:szCs w:val="24"/>
        </w:rPr>
        <w:t>.</w:t>
      </w:r>
    </w:p>
    <w:p w14:paraId="4EF0029F" w14:textId="09FFC235" w:rsidR="00C727F9" w:rsidRPr="00177203" w:rsidRDefault="00C727F9">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68A17024" w14:textId="6542E57A" w:rsidR="00C727F9" w:rsidRPr="00177203" w:rsidRDefault="008E5ECC" w:rsidP="00C727F9">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53E593F8" wp14:editId="54C4BD8C">
            <wp:extent cx="5278120" cy="209931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2099310"/>
                    </a:xfrm>
                    <a:prstGeom prst="rect">
                      <a:avLst/>
                    </a:prstGeom>
                    <a:noFill/>
                    <a:ln>
                      <a:noFill/>
                    </a:ln>
                  </pic:spPr>
                </pic:pic>
              </a:graphicData>
            </a:graphic>
          </wp:inline>
        </w:drawing>
      </w:r>
    </w:p>
    <w:p w14:paraId="0E2E48BA" w14:textId="639E5E08" w:rsidR="00C727F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727F9" w:rsidRPr="00177203">
        <w:rPr>
          <w:rFonts w:eastAsia="宋体" w:cs="Times New Roman"/>
          <w:b/>
          <w:bCs/>
          <w:color w:val="000000" w:themeColor="text1"/>
          <w:sz w:val="24"/>
          <w:szCs w:val="24"/>
        </w:rPr>
        <w:t xml:space="preserve"> Fig. </w:t>
      </w:r>
      <w:r w:rsidR="007547C2" w:rsidRPr="00177203">
        <w:rPr>
          <w:rFonts w:eastAsia="宋体" w:cs="Times New Roman"/>
          <w:b/>
          <w:bCs/>
          <w:color w:val="000000" w:themeColor="text1"/>
          <w:sz w:val="24"/>
          <w:szCs w:val="24"/>
        </w:rPr>
        <w:t>26</w:t>
      </w:r>
      <w:r w:rsidR="00C727F9" w:rsidRPr="00177203">
        <w:rPr>
          <w:rFonts w:eastAsia="宋体" w:cs="Times New Roman"/>
          <w:b/>
          <w:bCs/>
          <w:color w:val="000000" w:themeColor="text1"/>
          <w:sz w:val="24"/>
          <w:szCs w:val="24"/>
        </w:rPr>
        <w:t xml:space="preserve">. </w:t>
      </w:r>
      <w:r w:rsidR="00BF0659" w:rsidRPr="00177203">
        <w:rPr>
          <w:rFonts w:eastAsia="宋体" w:cs="Times New Roman"/>
          <w:color w:val="000000" w:themeColor="text1"/>
          <w:sz w:val="24"/>
          <w:szCs w:val="24"/>
        </w:rPr>
        <w:t xml:space="preserve">Electrochemical impedance spectroscopy (EIS) analysis of tZIF-Cu series catalysts in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F0659" w:rsidRPr="00177203">
        <w:rPr>
          <w:rFonts w:eastAsia="宋体" w:cs="Times New Roman"/>
          <w:color w:val="000000" w:themeColor="text1"/>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F0659" w:rsidRPr="00177203">
        <w:rPr>
          <w:rFonts w:eastAsia="宋体" w:cs="Times New Roman"/>
          <w:color w:val="000000" w:themeColor="text1"/>
          <w:sz w:val="24"/>
          <w:szCs w:val="24"/>
        </w:rPr>
        <w:t xml:space="preserve"> electrolyte: (a) Nyquist plots and fitting curves, (b) equivalent circuit diagram and corresponding fitting parameters. </w:t>
      </w:r>
      <w:r w:rsidR="00C727F9" w:rsidRPr="00177203">
        <w:rPr>
          <w:rFonts w:eastAsia="宋体" w:cs="Times New Roman"/>
          <w:color w:val="000000" w:themeColor="text1"/>
          <w:sz w:val="24"/>
          <w:szCs w:val="24"/>
        </w:rPr>
        <w:br w:type="page"/>
      </w:r>
    </w:p>
    <w:p w14:paraId="26C31A8C" w14:textId="2D5353D1" w:rsidR="008E04C2" w:rsidRPr="00177203" w:rsidRDefault="008E04C2"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3.</w:t>
      </w:r>
      <w:r w:rsidR="00C727F9" w:rsidRPr="00177203">
        <w:rPr>
          <w:rFonts w:eastAsia="宋体" w:cs="Times New Roman"/>
          <w:b/>
          <w:bCs/>
          <w:color w:val="000000" w:themeColor="text1"/>
          <w:sz w:val="24"/>
          <w:szCs w:val="24"/>
        </w:rPr>
        <w:t>2</w:t>
      </w:r>
      <w:r w:rsidRPr="00177203">
        <w:rPr>
          <w:rFonts w:eastAsia="宋体" w:cs="Times New Roman"/>
          <w:b/>
          <w:bCs/>
          <w:color w:val="000000" w:themeColor="text1"/>
          <w:sz w:val="24"/>
          <w:szCs w:val="24"/>
        </w:rPr>
        <w:t xml:space="preserve">. </w:t>
      </w:r>
      <w:r w:rsidR="00357EB4" w:rsidRPr="00177203">
        <w:rPr>
          <w:rFonts w:eastAsia="宋体" w:cs="Times New Roman"/>
          <w:b/>
          <w:bCs/>
          <w:color w:val="000000" w:themeColor="text1"/>
          <w:sz w:val="24"/>
          <w:szCs w:val="24"/>
        </w:rPr>
        <w:t>Reactors</w:t>
      </w:r>
      <w:r w:rsidRPr="00177203">
        <w:rPr>
          <w:rFonts w:eastAsia="宋体" w:cs="Times New Roman"/>
          <w:b/>
          <w:bCs/>
          <w:color w:val="000000" w:themeColor="text1"/>
          <w:sz w:val="24"/>
          <w:szCs w:val="24"/>
        </w:rPr>
        <w:t xml:space="preserve"> and electro</w:t>
      </w:r>
      <w:r w:rsidR="00357EB4" w:rsidRPr="00177203">
        <w:rPr>
          <w:rFonts w:eastAsia="宋体" w:cs="Times New Roman"/>
          <w:b/>
          <w:bCs/>
          <w:color w:val="000000" w:themeColor="text1"/>
          <w:sz w:val="24"/>
          <w:szCs w:val="24"/>
        </w:rPr>
        <w:t>synthesis</w:t>
      </w:r>
      <w:r w:rsidRPr="00177203">
        <w:rPr>
          <w:rFonts w:eastAsia="宋体" w:cs="Times New Roman"/>
          <w:b/>
          <w:bCs/>
          <w:color w:val="000000" w:themeColor="text1"/>
          <w:sz w:val="24"/>
          <w:szCs w:val="24"/>
        </w:rPr>
        <w:t xml:space="preserve"> methods</w:t>
      </w:r>
    </w:p>
    <w:p w14:paraId="4EA43AE5" w14:textId="5A352AD9" w:rsidR="00ED41E5" w:rsidRPr="00177203" w:rsidRDefault="00D100BB" w:rsidP="00ED41E5">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Detailed introduction of the H-type electrochemical cell: </w:t>
      </w:r>
      <w:r w:rsidR="00ED41E5" w:rsidRPr="00177203">
        <w:rPr>
          <w:rFonts w:eastAsia="宋体" w:cs="Times New Roman"/>
          <w:color w:val="000000" w:themeColor="text1"/>
          <w:sz w:val="24"/>
          <w:szCs w:val="24"/>
        </w:rPr>
        <w:t xml:space="preserve">All electrochemical screening experiments were performed in a custom-built two-compartment H-type electrochemical cell. Both anodic and cathodic chambers were fabricated from high-purity borosilicate glass, with a nominal working volume of 50 mL for each compartment. The two chambers were hermetically separated by a pre-treated Nafion N117 proton exchange membrane. The membrane was pretreated via sequential boiling in 5 wt%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ED41E5" w:rsidRPr="00177203">
        <w:rPr>
          <w:rFonts w:eastAsia="宋体" w:cs="Times New Roman"/>
          <w:color w:val="000000" w:themeColor="text1"/>
          <w:sz w:val="24"/>
          <w:szCs w:val="24"/>
        </w:rPr>
        <w:t>O</w:t>
      </w:r>
      <w:r w:rsidR="00092E53" w:rsidRPr="00177203">
        <w:rPr>
          <w:rFonts w:eastAsia="宋体" w:cs="Times New Roman"/>
          <w:color w:val="000000" w:themeColor="text1"/>
          <w:sz w:val="24"/>
          <w:szCs w:val="24"/>
          <w:vertAlign w:val="subscript"/>
        </w:rPr>
        <w:t>2</w:t>
      </w:r>
      <w:r w:rsidR="00092E53" w:rsidRPr="00177203">
        <w:rPr>
          <w:rFonts w:eastAsia="宋体" w:cs="Times New Roman"/>
          <w:color w:val="000000" w:themeColor="text1"/>
          <w:sz w:val="24"/>
          <w:szCs w:val="24"/>
        </w:rPr>
        <w:t xml:space="preserve"> </w:t>
      </w:r>
      <w:r w:rsidR="00ED41E5" w:rsidRPr="00177203">
        <w:rPr>
          <w:rFonts w:eastAsia="宋体" w:cs="Times New Roman"/>
          <w:color w:val="000000" w:themeColor="text1"/>
          <w:sz w:val="24"/>
          <w:szCs w:val="24"/>
        </w:rPr>
        <w:t>aqueous solution, 18.2 MΩ</w:t>
      </w:r>
      <w:r w:rsidR="00E63B12" w:rsidRPr="00177203">
        <w:rPr>
          <w:rFonts w:eastAsia="宋体" w:cs="Times New Roman"/>
          <w:color w:val="000000" w:themeColor="text1"/>
          <w:sz w:val="24"/>
          <w:szCs w:val="24"/>
        </w:rPr>
        <w:t xml:space="preserve"> </w:t>
      </w:r>
      <w:r w:rsidR="00ED41E5" w:rsidRPr="00177203">
        <w:rPr>
          <w:rFonts w:eastAsia="宋体" w:cs="Times New Roman"/>
          <w:color w:val="000000" w:themeColor="text1"/>
          <w:sz w:val="24"/>
          <w:szCs w:val="24"/>
        </w:rPr>
        <w:t xml:space="preserve">cm ultrapure deionized water, and 0.5 M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ED41E5" w:rsidRPr="00177203">
        <w:rPr>
          <w:rFonts w:eastAsia="宋体" w:cs="Times New Roman"/>
          <w:color w:val="000000" w:themeColor="text1"/>
          <w:sz w:val="24"/>
          <w:szCs w:val="24"/>
        </w:rPr>
        <w:t>SO</w:t>
      </w:r>
      <w:r w:rsidR="00E63B12" w:rsidRPr="00177203">
        <w:rPr>
          <w:rFonts w:eastAsia="宋体" w:cs="Times New Roman"/>
          <w:color w:val="000000" w:themeColor="text1"/>
          <w:sz w:val="24"/>
          <w:szCs w:val="24"/>
          <w:vertAlign w:val="subscript"/>
        </w:rPr>
        <w:t>4</w:t>
      </w:r>
      <w:r w:rsidR="00ED41E5" w:rsidRPr="00177203">
        <w:rPr>
          <w:rFonts w:eastAsia="宋体" w:cs="Times New Roman"/>
          <w:color w:val="000000" w:themeColor="text1"/>
          <w:sz w:val="24"/>
          <w:szCs w:val="24"/>
        </w:rPr>
        <w:t xml:space="preserve"> solution for 1 h each, to remove residual impurities and ensure complete proton conductivity.</w:t>
      </w:r>
    </w:p>
    <w:p w14:paraId="0D744E7E" w14:textId="76D5ABF2" w:rsidR="00ED41E5" w:rsidRPr="00177203" w:rsidRDefault="00ED41E5" w:rsidP="001D3F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A standard three-electrode configuration was adopted for all tests. A </w:t>
      </w:r>
      <w:r w:rsidR="00092E53" w:rsidRPr="00177203">
        <w:rPr>
          <w:rFonts w:eastAsia="宋体" w:cs="Times New Roman"/>
          <w:color w:val="000000" w:themeColor="text1"/>
          <w:sz w:val="24"/>
          <w:szCs w:val="24"/>
        </w:rPr>
        <w:t>SCE</w:t>
      </w:r>
      <w:r w:rsidRPr="00177203">
        <w:rPr>
          <w:rFonts w:eastAsia="宋体" w:cs="Times New Roman"/>
          <w:color w:val="000000" w:themeColor="text1"/>
          <w:sz w:val="24"/>
          <w:szCs w:val="24"/>
        </w:rPr>
        <w:t xml:space="preserve"> was fixed in the cathodic chamber as the reference electrode. A 99.99% high-purity platinum foil with dimensions of 1 cm × 2 cm was placed in the anodic chamber as the counter electrode. The working electrode was a 1 cm × 1 cm Toray TGP-H-060 carbon paper coated with uniform catalyst ink, secured by a corrosion-resistant electrode clamp. The catalyst ink was prepared by dispersing as-synthesized catalyst powder, 5 wt% Nafion</w:t>
      </w:r>
      <w:r w:rsidR="00E63B12"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ionomer, isopropanol and ultrapure water at a fixed stoichiometric ratio. The mixture was treated by bath sonication for 30 min to form a homogeneous suspension, which was quantitatively drop-casted onto the carbon paper and dried under vacuum at 60 °C for 2 h.</w:t>
      </w:r>
    </w:p>
    <w:p w14:paraId="41F3EF72" w14:textId="26EF34B1" w:rsidR="00092E53" w:rsidRPr="00177203" w:rsidRDefault="00ED41E5" w:rsidP="001D3F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The cathodic chamber was fully sealed and equipped with a polytetrafluoroethylene</w:t>
      </w:r>
      <w:r w:rsidR="00092E53" w:rsidRPr="00177203">
        <w:rPr>
          <w:rFonts w:eastAsia="宋体" w:cs="Times New Roman"/>
          <w:color w:val="000000" w:themeColor="text1"/>
          <w:sz w:val="24"/>
          <w:szCs w:val="24"/>
        </w:rPr>
        <w:t xml:space="preserve"> (PTFE) </w:t>
      </w:r>
      <w:r w:rsidRPr="00177203">
        <w:rPr>
          <w:rFonts w:eastAsia="宋体" w:cs="Times New Roman"/>
          <w:color w:val="000000" w:themeColor="text1"/>
          <w:sz w:val="24"/>
          <w:szCs w:val="24"/>
        </w:rPr>
        <w:t xml:space="preserve">coated magnetic stirring bar for continuous agitation at 400 rpm. Continuous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purging with a purity of </w:t>
      </w:r>
      <w:r w:rsidR="00C735C4" w:rsidRPr="00177203">
        <w:rPr>
          <w:rFonts w:eastAsia="宋体" w:cs="Times New Roman"/>
          <w:color w:val="000000" w:themeColor="text1"/>
          <w:sz w:val="24"/>
          <w:szCs w:val="24"/>
        </w:rPr>
        <w:t>99.99%</w:t>
      </w:r>
      <w:r w:rsidRPr="00177203">
        <w:rPr>
          <w:rFonts w:eastAsia="宋体" w:cs="Times New Roman"/>
          <w:color w:val="000000" w:themeColor="text1"/>
          <w:sz w:val="24"/>
          <w:szCs w:val="24"/>
        </w:rPr>
        <w:t xml:space="preserve"> was performed at a constant flow rate of 20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through the catholyte. Dedicated gastight liquid and gas sampling ports were installed on the cathodic chamber for periodic aliquot collection. All electrochemical measurements were conducted with 85% </w:t>
      </w:r>
      <w:proofErr w:type="spellStart"/>
      <w:r w:rsidRPr="00177203">
        <w:rPr>
          <w:rFonts w:eastAsia="宋体" w:cs="Times New Roman"/>
          <w:color w:val="000000" w:themeColor="text1"/>
          <w:sz w:val="24"/>
          <w:szCs w:val="24"/>
        </w:rPr>
        <w:t>iR</w:t>
      </w:r>
      <w:proofErr w:type="spellEnd"/>
      <w:r w:rsidRPr="00177203">
        <w:rPr>
          <w:rFonts w:eastAsia="宋体" w:cs="Times New Roman"/>
          <w:color w:val="000000" w:themeColor="text1"/>
          <w:sz w:val="24"/>
          <w:szCs w:val="24"/>
        </w:rPr>
        <w:t>-drop compensation to correct for the ohmic resistance of the electrolyte.</w:t>
      </w:r>
    </w:p>
    <w:p w14:paraId="41C53DC5" w14:textId="77777777" w:rsidR="00092E53" w:rsidRPr="00177203" w:rsidRDefault="00092E53">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07AF7537" w14:textId="7B6A03A9" w:rsidR="001D3F50" w:rsidRPr="00177203" w:rsidRDefault="00D100BB" w:rsidP="001D3F50">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Detailed introduction of the gas diffusion electrode (GDE) flow reactor</w:t>
      </w:r>
      <w:r w:rsidR="001D3F50" w:rsidRPr="00177203">
        <w:rPr>
          <w:rFonts w:eastAsia="宋体" w:cs="Times New Roman"/>
          <w:b/>
          <w:bCs/>
          <w:color w:val="000000" w:themeColor="text1"/>
          <w:sz w:val="24"/>
          <w:szCs w:val="24"/>
        </w:rPr>
        <w:t xml:space="preserve">: </w:t>
      </w:r>
      <w:r w:rsidR="001D3F50" w:rsidRPr="00177203">
        <w:rPr>
          <w:rFonts w:eastAsia="宋体" w:cs="Times New Roman"/>
          <w:color w:val="000000" w:themeColor="text1"/>
          <w:sz w:val="24"/>
          <w:szCs w:val="24"/>
        </w:rPr>
        <w:t>Subsequent performance validation and catalyst loading optimization were carried out in a custom</w:t>
      </w:r>
      <w:r w:rsidR="00092E53" w:rsidRPr="00177203">
        <w:rPr>
          <w:rFonts w:eastAsia="宋体" w:cs="Times New Roman"/>
          <w:color w:val="000000" w:themeColor="text1"/>
          <w:sz w:val="24"/>
          <w:szCs w:val="24"/>
        </w:rPr>
        <w:t xml:space="preserve"> </w:t>
      </w:r>
      <w:r w:rsidR="001D3F50" w:rsidRPr="00177203">
        <w:rPr>
          <w:rFonts w:eastAsia="宋体" w:cs="Times New Roman"/>
          <w:color w:val="000000" w:themeColor="text1"/>
          <w:sz w:val="24"/>
          <w:szCs w:val="24"/>
        </w:rPr>
        <w:t xml:space="preserve">designed </w:t>
      </w:r>
      <w:r w:rsidR="00092E53" w:rsidRPr="00177203">
        <w:rPr>
          <w:rFonts w:eastAsia="宋体" w:cs="Times New Roman"/>
          <w:color w:val="000000" w:themeColor="text1"/>
          <w:sz w:val="24"/>
          <w:szCs w:val="24"/>
        </w:rPr>
        <w:t xml:space="preserve">GDE </w:t>
      </w:r>
      <w:r w:rsidR="001D3F50" w:rsidRPr="00177203">
        <w:rPr>
          <w:rFonts w:eastAsia="宋体" w:cs="Times New Roman"/>
          <w:color w:val="000000" w:themeColor="text1"/>
          <w:sz w:val="24"/>
          <w:szCs w:val="24"/>
        </w:rPr>
        <w:t xml:space="preserve">flow </w:t>
      </w:r>
      <w:r w:rsidR="00092E53" w:rsidRPr="00177203">
        <w:rPr>
          <w:rFonts w:eastAsia="宋体" w:cs="Times New Roman"/>
          <w:color w:val="000000" w:themeColor="text1"/>
          <w:sz w:val="24"/>
          <w:szCs w:val="24"/>
        </w:rPr>
        <w:t>reactor</w:t>
      </w:r>
      <w:r w:rsidR="001D3F50" w:rsidRPr="00177203">
        <w:rPr>
          <w:rFonts w:eastAsia="宋体" w:cs="Times New Roman"/>
          <w:color w:val="000000" w:themeColor="text1"/>
          <w:sz w:val="24"/>
          <w:szCs w:val="24"/>
        </w:rPr>
        <w:t xml:space="preserve">. The main reactor body was fabricated from high-strength, chemically inert polymethyl methacrylate, to ensure excellent structural stability and visual process monitoring. The electrolyzer adopted a membrane-separated dual-compartment configuration consistent with the H-type cell. A single-flow cathodic chamber was coupled to a 50 mL external electrolyte reservoir filled with electrolyte, driven by a variable-speed peristaltic pump at a constant flow rate of 50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1D3F50" w:rsidRPr="00177203">
        <w:rPr>
          <w:rFonts w:eastAsia="宋体" w:cs="Times New Roman"/>
          <w:color w:val="000000" w:themeColor="text1"/>
          <w:sz w:val="24"/>
          <w:szCs w:val="24"/>
        </w:rPr>
        <w:t xml:space="preserve"> for closed-loop electrolyte circulation.</w:t>
      </w:r>
    </w:p>
    <w:p w14:paraId="713072FA" w14:textId="79353630" w:rsidR="001D3F50" w:rsidRPr="00177203" w:rsidRDefault="001D3F50" w:rsidP="001D3F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working electrode had an identical 1 cm × 1 cm geometric active area as the H-type cell counterpart, using the same Toray TGP-H-060 carbon paper substrate. The as-prepared catalyst layer was coated on the electrolyte-facing side, and a hydrophobic microporous layer was coated on the gas-facing side to facilitate gas transport and prevent electrolyte flooding. </w:t>
      </w:r>
      <w:r w:rsidR="00092E53" w:rsidRPr="00177203">
        <w:rPr>
          <w:rFonts w:eastAsia="宋体" w:cs="Times New Roman"/>
          <w:color w:val="000000" w:themeColor="text1"/>
          <w:sz w:val="24"/>
          <w:szCs w:val="24"/>
        </w:rPr>
        <w:t>Two</w:t>
      </w:r>
      <w:r w:rsidRPr="00177203">
        <w:rPr>
          <w:rFonts w:eastAsia="宋体" w:cs="Times New Roman"/>
          <w:color w:val="000000" w:themeColor="text1"/>
          <w:sz w:val="24"/>
          <w:szCs w:val="24"/>
        </w:rPr>
        <w:t xml:space="preserve"> precision</w:t>
      </w:r>
      <w:r w:rsidR="00092E53"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 xml:space="preserve">machined graphite serpentine flow field plate was integrated on the </w:t>
      </w:r>
      <w:r w:rsidR="00092E53" w:rsidRPr="00177203">
        <w:rPr>
          <w:rFonts w:eastAsia="宋体" w:cs="Times New Roman"/>
          <w:color w:val="000000" w:themeColor="text1"/>
          <w:sz w:val="24"/>
          <w:szCs w:val="24"/>
        </w:rPr>
        <w:t>both</w:t>
      </w:r>
      <w:r w:rsidRPr="00177203">
        <w:rPr>
          <w:rFonts w:eastAsia="宋体" w:cs="Times New Roman"/>
          <w:color w:val="000000" w:themeColor="text1"/>
          <w:sz w:val="24"/>
          <w:szCs w:val="24"/>
        </w:rPr>
        <w:t xml:space="preserve"> side of the </w:t>
      </w:r>
      <w:r w:rsidR="00092E53" w:rsidRPr="00177203">
        <w:rPr>
          <w:rFonts w:eastAsia="宋体" w:cs="Times New Roman"/>
          <w:color w:val="000000" w:themeColor="text1"/>
          <w:sz w:val="24"/>
          <w:szCs w:val="24"/>
        </w:rPr>
        <w:t>GDE</w:t>
      </w:r>
      <w:r w:rsidRPr="00177203">
        <w:rPr>
          <w:rFonts w:eastAsia="宋体" w:cs="Times New Roman"/>
          <w:color w:val="000000" w:themeColor="text1"/>
          <w:sz w:val="24"/>
          <w:szCs w:val="24"/>
        </w:rPr>
        <w:t xml:space="preserve">, with 1 mm-wide, </w:t>
      </w:r>
      <w:r w:rsidR="00092E53" w:rsidRPr="00177203">
        <w:rPr>
          <w:rFonts w:eastAsia="宋体" w:cs="Times New Roman"/>
          <w:color w:val="000000" w:themeColor="text1"/>
          <w:sz w:val="24"/>
          <w:szCs w:val="24"/>
        </w:rPr>
        <w:t>1</w:t>
      </w:r>
      <w:r w:rsidRPr="00177203">
        <w:rPr>
          <w:rFonts w:eastAsia="宋体" w:cs="Times New Roman"/>
          <w:color w:val="000000" w:themeColor="text1"/>
          <w:sz w:val="24"/>
          <w:szCs w:val="24"/>
        </w:rPr>
        <w:t xml:space="preserve"> mm-deep flow channels at a 1 mm pitch to ensure uniform </w:t>
      </w:r>
      <w:r w:rsidR="00092E53" w:rsidRPr="00177203">
        <w:rPr>
          <w:rFonts w:eastAsia="宋体" w:cs="Times New Roman"/>
          <w:color w:val="000000" w:themeColor="text1"/>
          <w:sz w:val="24"/>
          <w:szCs w:val="24"/>
        </w:rPr>
        <w:t xml:space="preserve">electrolyte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distribution across the electrode active area. 99.99%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was fed at a controlled flow rate of 20 mL min</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w:t>
      </w:r>
    </w:p>
    <w:p w14:paraId="68FF6734" w14:textId="636D1566" w:rsidR="00FE1D19" w:rsidRPr="00177203" w:rsidRDefault="001D3F50" w:rsidP="001D3F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three-electrode configuration was fully consistent with the H-type cell system. A saturated calomel electrode was inserted directly into the cathodic flow channel as the reference electrode. A </w:t>
      </w:r>
      <w:r w:rsidR="006738C3" w:rsidRPr="00177203">
        <w:rPr>
          <w:rFonts w:eastAsia="宋体" w:cs="Times New Roman"/>
          <w:color w:val="000000" w:themeColor="text1"/>
          <w:sz w:val="24"/>
          <w:szCs w:val="24"/>
        </w:rPr>
        <w:t>IrO</w:t>
      </w:r>
      <w:r w:rsidR="006738C3" w:rsidRPr="00177203">
        <w:rPr>
          <w:rFonts w:eastAsia="宋体" w:cs="Times New Roman"/>
          <w:color w:val="000000" w:themeColor="text1"/>
          <w:sz w:val="24"/>
          <w:szCs w:val="24"/>
          <w:vertAlign w:val="subscript"/>
        </w:rPr>
        <w:t>2</w:t>
      </w:r>
      <w:r w:rsidR="006738C3" w:rsidRPr="00177203">
        <w:rPr>
          <w:rFonts w:eastAsia="宋体" w:cs="Times New Roman"/>
          <w:color w:val="000000" w:themeColor="text1"/>
          <w:sz w:val="24"/>
          <w:szCs w:val="24"/>
        </w:rPr>
        <w:t>/Ti mesh counter electrode</w:t>
      </w:r>
      <w:r w:rsidRPr="00177203">
        <w:rPr>
          <w:rFonts w:eastAsia="宋体" w:cs="Times New Roman"/>
          <w:color w:val="000000" w:themeColor="text1"/>
          <w:sz w:val="24"/>
          <w:szCs w:val="24"/>
        </w:rPr>
        <w:t xml:space="preserve"> was positioned in the anodic chamber, separated by the same pre-treated Nafion</w:t>
      </w:r>
      <w:r w:rsidR="0085320F"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 xml:space="preserve">N117 proton exchange membrane. Dedicated gastight sampling ports were installed for real-time product quantification. All electrochemical tests were performed with the same </w:t>
      </w:r>
      <w:proofErr w:type="spellStart"/>
      <w:r w:rsidRPr="00177203">
        <w:rPr>
          <w:rFonts w:eastAsia="宋体" w:cs="Times New Roman"/>
          <w:color w:val="000000" w:themeColor="text1"/>
          <w:sz w:val="24"/>
          <w:szCs w:val="24"/>
        </w:rPr>
        <w:t>iR</w:t>
      </w:r>
      <w:proofErr w:type="spellEnd"/>
      <w:r w:rsidRPr="00177203">
        <w:rPr>
          <w:rFonts w:eastAsia="宋体" w:cs="Times New Roman"/>
          <w:color w:val="000000" w:themeColor="text1"/>
          <w:sz w:val="24"/>
          <w:szCs w:val="24"/>
        </w:rPr>
        <w:t>-drop compensation protocol as the H-type cell experiments, to ensure data consistency and cross-system comparability.</w:t>
      </w:r>
      <w:r w:rsidR="00FE1D19" w:rsidRPr="00177203">
        <w:rPr>
          <w:rFonts w:eastAsia="宋体" w:cs="Times New Roman"/>
          <w:color w:val="000000" w:themeColor="text1"/>
          <w:sz w:val="24"/>
          <w:szCs w:val="24"/>
        </w:rPr>
        <w:br w:type="page"/>
      </w:r>
    </w:p>
    <w:p w14:paraId="139B2F45" w14:textId="3528CC97" w:rsidR="00D100BB" w:rsidRPr="00177203" w:rsidRDefault="003502A9" w:rsidP="005438CC">
      <w:pPr>
        <w:spacing w:afterLines="50" w:after="156"/>
        <w:rPr>
          <w:rFonts w:eastAsia="宋体" w:cs="Times New Roman"/>
          <w:color w:val="000000" w:themeColor="text1"/>
          <w:sz w:val="24"/>
          <w:szCs w:val="24"/>
        </w:rPr>
      </w:pPr>
      <w:r w:rsidRPr="00177203">
        <w:rPr>
          <w:rFonts w:eastAsia="宋体" w:cs="Times New Roman"/>
          <w:noProof/>
          <w:sz w:val="24"/>
          <w:szCs w:val="24"/>
        </w:rPr>
        <w:drawing>
          <wp:inline distT="0" distB="0" distL="0" distR="0" wp14:anchorId="2C38F8DF" wp14:editId="3A9FB0AA">
            <wp:extent cx="5267960" cy="1774209"/>
            <wp:effectExtent l="0" t="0" r="8890" b="0"/>
            <wp:docPr id="158248914" name="图片 15824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74758"/>
                    <a:stretch/>
                  </pic:blipFill>
                  <pic:spPr bwMode="auto">
                    <a:xfrm>
                      <a:off x="0" y="0"/>
                      <a:ext cx="5267960" cy="1774209"/>
                    </a:xfrm>
                    <a:prstGeom prst="rect">
                      <a:avLst/>
                    </a:prstGeom>
                    <a:noFill/>
                    <a:ln>
                      <a:noFill/>
                    </a:ln>
                    <a:extLst>
                      <a:ext uri="{53640926-AAD7-44D8-BBD7-CCE9431645EC}">
                        <a14:shadowObscured xmlns:a14="http://schemas.microsoft.com/office/drawing/2010/main"/>
                      </a:ext>
                    </a:extLst>
                  </pic:spPr>
                </pic:pic>
              </a:graphicData>
            </a:graphic>
          </wp:inline>
        </w:drawing>
      </w:r>
    </w:p>
    <w:p w14:paraId="6A985654" w14:textId="4F137E25" w:rsidR="00C727F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727F9"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27</w:t>
      </w:r>
      <w:r w:rsidR="00C727F9" w:rsidRPr="00177203">
        <w:rPr>
          <w:rFonts w:eastAsia="宋体" w:cs="Times New Roman"/>
          <w:color w:val="000000" w:themeColor="text1"/>
          <w:sz w:val="24"/>
          <w:szCs w:val="24"/>
        </w:rPr>
        <w:t xml:space="preserve">. </w:t>
      </w:r>
      <w:r w:rsidR="00BF0659" w:rsidRPr="00177203">
        <w:rPr>
          <w:rFonts w:eastAsia="宋体" w:cs="Times New Roman"/>
          <w:color w:val="000000" w:themeColor="text1"/>
          <w:sz w:val="24"/>
          <w:szCs w:val="24"/>
        </w:rPr>
        <w:t>Schematic diagram of the electrocatalytic reactors used in this work: (a) two-compartment H-type electrolytic cell, (b) gas diffusion electrode (GDE) flow reactor.</w:t>
      </w:r>
    </w:p>
    <w:p w14:paraId="564FEF96" w14:textId="1BEEDD3A" w:rsidR="0085320F" w:rsidRPr="00177203" w:rsidRDefault="00D100BB" w:rsidP="002D7778">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Rationale and necessity of the two-step strategy: </w:t>
      </w:r>
      <w:r w:rsidRPr="00177203">
        <w:rPr>
          <w:rFonts w:eastAsia="宋体" w:cs="Times New Roman"/>
          <w:color w:val="000000" w:themeColor="text1"/>
          <w:sz w:val="24"/>
          <w:szCs w:val="24"/>
        </w:rPr>
        <w:t xml:space="preserve">This two-step experimental strategy </w:t>
      </w:r>
      <w:r w:rsidR="002D7778"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rationally designed to balance rigorous mechanistic validation and application-oriented performance optimization, addressing the intrinsic limitations of single-system testing for electrocatalytic C</w:t>
      </w:r>
      <w:r w:rsidR="00E63B12"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N coupling reactions. The H-type cell, as a well-defined, batch-operated system with fully controllable reaction parameters, enables high-throughput parallel screening of catalysts with gradient pore structures under identical mass transport and electrochemical conditions, eliminating interferences from flow field distribution and gas-phase diffusion. This ensures that the observed differences in activity and urea selectivity are exclusively attributed to the pore confinement effect of the catalysts, rather than extrinsic system factors, providing a highly credible intrinsic performance ranking of all candidate catalysts. The subsequent GDE flow cell testing is indispensable, as it mitigates the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solubility and mass transport limitations inherent to liquid-phase H-type cells</w:t>
      </w:r>
      <w:r w:rsidR="002954F8" w:rsidRPr="00177203">
        <w:rPr>
          <w:rFonts w:eastAsia="宋体" w:cs="Times New Roman"/>
          <w:noProof/>
          <w:color w:val="0070C0"/>
          <w:sz w:val="24"/>
          <w:szCs w:val="24"/>
          <w:vertAlign w:val="superscript"/>
        </w:rPr>
        <w:t>19</w:t>
      </w:r>
      <w:r w:rsidRPr="00177203">
        <w:rPr>
          <w:rFonts w:eastAsia="宋体" w:cs="Times New Roman"/>
          <w:color w:val="000000" w:themeColor="text1"/>
          <w:sz w:val="24"/>
          <w:szCs w:val="24"/>
        </w:rPr>
        <w:t>, closely mimicking the high-flux reaction conditions of practical industrial electrolysis. Catalyst loading optimization in the GDE system is critical to balance electron conduction, electrolyte penetration, gas diffusion, and active site accessibility, bridging the gap between lab-scale intrinsic activity screening and application-level performance validation, and ensuring the pre-screened optimal catalyst delivers stable and efficient performance under practically relevant operating conditions.</w:t>
      </w:r>
      <w:r w:rsidR="0085320F" w:rsidRPr="00177203">
        <w:rPr>
          <w:rFonts w:eastAsia="宋体" w:cs="Times New Roman"/>
          <w:color w:val="000000" w:themeColor="text1"/>
          <w:sz w:val="24"/>
          <w:szCs w:val="24"/>
        </w:rPr>
        <w:br w:type="page"/>
      </w:r>
    </w:p>
    <w:p w14:paraId="7C490601" w14:textId="20E38C1F" w:rsidR="009B58B8" w:rsidRPr="00177203" w:rsidRDefault="009B58B8"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3.3. Quantitative methods</w:t>
      </w:r>
    </w:p>
    <w:p w14:paraId="5334974B" w14:textId="01D24CDA" w:rsidR="008850C9" w:rsidRPr="00177203" w:rsidRDefault="006C3033" w:rsidP="0085320F">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Determination of urea</w:t>
      </w:r>
      <w:r w:rsidR="0064267F" w:rsidRPr="00177203">
        <w:rPr>
          <w:rFonts w:eastAsia="宋体" w:cs="Times New Roman"/>
          <w:b/>
          <w:bCs/>
          <w:color w:val="000000" w:themeColor="text1"/>
          <w:sz w:val="24"/>
          <w:szCs w:val="24"/>
        </w:rPr>
        <w:t xml:space="preserve"> by </w:t>
      </w:r>
      <w:proofErr w:type="spellStart"/>
      <w:r w:rsidR="0064267F" w:rsidRPr="00177203">
        <w:rPr>
          <w:rFonts w:eastAsia="宋体" w:cs="Times New Roman"/>
          <w:b/>
          <w:bCs/>
          <w:color w:val="000000" w:themeColor="text1"/>
          <w:sz w:val="24"/>
          <w:szCs w:val="24"/>
        </w:rPr>
        <w:t>diacetylmonoxime</w:t>
      </w:r>
      <w:proofErr w:type="spellEnd"/>
      <w:r w:rsidR="0064267F" w:rsidRPr="00177203">
        <w:rPr>
          <w:rFonts w:eastAsia="宋体" w:cs="Times New Roman"/>
          <w:b/>
          <w:bCs/>
          <w:color w:val="000000" w:themeColor="text1"/>
          <w:sz w:val="24"/>
          <w:szCs w:val="24"/>
        </w:rPr>
        <w:t xml:space="preserve"> method</w:t>
      </w:r>
      <w:r w:rsidR="009B58B8" w:rsidRPr="00177203">
        <w:rPr>
          <w:rFonts w:eastAsia="宋体" w:cs="Times New Roman"/>
          <w:b/>
          <w:bCs/>
          <w:color w:val="000000" w:themeColor="text1"/>
          <w:sz w:val="24"/>
          <w:szCs w:val="24"/>
        </w:rPr>
        <w:t>:</w:t>
      </w:r>
      <w:r w:rsidR="009B58B8" w:rsidRPr="00177203">
        <w:rPr>
          <w:rFonts w:eastAsia="宋体" w:cs="Times New Roman"/>
          <w:color w:val="000000" w:themeColor="text1"/>
          <w:sz w:val="24"/>
          <w:szCs w:val="24"/>
        </w:rPr>
        <w:t xml:space="preserve"> </w:t>
      </w:r>
      <w:r w:rsidR="0085320F" w:rsidRPr="00177203">
        <w:rPr>
          <w:rFonts w:eastAsia="宋体" w:cs="Times New Roman"/>
          <w:color w:val="000000" w:themeColor="text1"/>
          <w:sz w:val="24"/>
          <w:szCs w:val="24"/>
        </w:rPr>
        <w:t xml:space="preserve">The amount of urea produced in the electrolyte was determined by </w:t>
      </w:r>
      <w:proofErr w:type="spellStart"/>
      <w:r w:rsidR="0085320F" w:rsidRPr="00177203">
        <w:rPr>
          <w:rFonts w:eastAsia="宋体" w:cs="Times New Roman"/>
          <w:color w:val="000000" w:themeColor="text1"/>
          <w:sz w:val="24"/>
          <w:szCs w:val="24"/>
        </w:rPr>
        <w:t>diacetylmonoxime</w:t>
      </w:r>
      <w:proofErr w:type="spellEnd"/>
      <w:r w:rsidR="00803C4E" w:rsidRPr="00177203">
        <w:rPr>
          <w:rFonts w:eastAsia="宋体" w:cs="Times New Roman"/>
          <w:color w:val="000000" w:themeColor="text1"/>
          <w:sz w:val="24"/>
          <w:szCs w:val="24"/>
        </w:rPr>
        <w:t xml:space="preserve"> (DAMO)</w:t>
      </w:r>
      <w:r w:rsidR="0085320F" w:rsidRPr="00177203">
        <w:rPr>
          <w:rFonts w:eastAsia="宋体" w:cs="Times New Roman"/>
          <w:color w:val="000000" w:themeColor="text1"/>
          <w:sz w:val="24"/>
          <w:szCs w:val="24"/>
        </w:rPr>
        <w:t xml:space="preserve"> method</w:t>
      </w:r>
      <w:r w:rsidR="002954F8" w:rsidRPr="00177203">
        <w:rPr>
          <w:rFonts w:eastAsia="宋体" w:cs="Times New Roman"/>
          <w:noProof/>
          <w:color w:val="0070C0"/>
          <w:sz w:val="24"/>
          <w:szCs w:val="24"/>
          <w:vertAlign w:val="superscript"/>
        </w:rPr>
        <w:t>20</w:t>
      </w:r>
      <w:r w:rsidR="0085320F" w:rsidRPr="00177203">
        <w:rPr>
          <w:rFonts w:eastAsia="宋体" w:cs="Times New Roman"/>
          <w:color w:val="000000" w:themeColor="text1"/>
          <w:sz w:val="24"/>
          <w:szCs w:val="24"/>
        </w:rPr>
        <w:t xml:space="preserve">. Typically, 1 mL electrolyte was added into 2 mL acid-ferric solution (100 mL concentrated phosphoric acid, 300 mL concentrated sulfuric acid, 600 mL deionized water and 100 mg ferric chloride). And then 1 mL </w:t>
      </w:r>
      <w:r w:rsidR="00803C4E" w:rsidRPr="00177203">
        <w:rPr>
          <w:rFonts w:eastAsia="宋体" w:cs="Times New Roman"/>
          <w:color w:val="000000" w:themeColor="text1"/>
          <w:sz w:val="24"/>
          <w:szCs w:val="24"/>
        </w:rPr>
        <w:t>DAMO</w:t>
      </w:r>
      <w:r w:rsidR="0085320F" w:rsidRPr="00177203">
        <w:rPr>
          <w:rFonts w:eastAsia="宋体" w:cs="Times New Roman"/>
          <w:color w:val="000000" w:themeColor="text1"/>
          <w:sz w:val="24"/>
          <w:szCs w:val="24"/>
        </w:rPr>
        <w:t>-</w:t>
      </w:r>
      <w:proofErr w:type="spellStart"/>
      <w:r w:rsidR="0085320F" w:rsidRPr="00177203">
        <w:rPr>
          <w:rFonts w:eastAsia="宋体" w:cs="Times New Roman"/>
          <w:color w:val="000000" w:themeColor="text1"/>
          <w:sz w:val="24"/>
          <w:szCs w:val="24"/>
        </w:rPr>
        <w:t>thiosemicarbazide</w:t>
      </w:r>
      <w:proofErr w:type="spellEnd"/>
      <w:r w:rsidR="0085320F" w:rsidRPr="00177203">
        <w:rPr>
          <w:rFonts w:eastAsia="宋体" w:cs="Times New Roman"/>
          <w:color w:val="000000" w:themeColor="text1"/>
          <w:sz w:val="24"/>
          <w:szCs w:val="24"/>
        </w:rPr>
        <w:t xml:space="preserve"> (TSC) solution (5 g DAMO and 100 mg TSC were dissolved in 1000 mL deionized water) was added into the mixture. After that, the solution was heated to 100 °C and maintained for 20 min</w:t>
      </w:r>
      <w:r w:rsidR="002D7778" w:rsidRPr="00177203">
        <w:rPr>
          <w:rFonts w:eastAsia="宋体" w:cs="Times New Roman"/>
          <w:color w:val="000000" w:themeColor="text1"/>
          <w:sz w:val="24"/>
          <w:szCs w:val="24"/>
        </w:rPr>
        <w:t>, then</w:t>
      </w:r>
      <w:r w:rsidR="0085320F" w:rsidRPr="00177203">
        <w:rPr>
          <w:rFonts w:eastAsia="宋体" w:cs="Times New Roman"/>
          <w:color w:val="000000" w:themeColor="text1"/>
          <w:sz w:val="24"/>
          <w:szCs w:val="24"/>
        </w:rPr>
        <w:t xml:space="preserve"> cooled to room temperature, UV-vis absorption spectrum was performed and the absorbance at 525 nm was acquired. A series of standard urea solutions were used to obtain working curves for urea determination.</w:t>
      </w:r>
    </w:p>
    <w:p w14:paraId="4D5CD6AC" w14:textId="123667AB" w:rsidR="002E1F6C" w:rsidRPr="00177203" w:rsidRDefault="008E5ECC" w:rsidP="002E1F6C">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62D9AC58" wp14:editId="24BB6923">
            <wp:extent cx="5278120" cy="2240915"/>
            <wp:effectExtent l="0" t="0" r="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8120" cy="2240915"/>
                    </a:xfrm>
                    <a:prstGeom prst="rect">
                      <a:avLst/>
                    </a:prstGeom>
                    <a:noFill/>
                    <a:ln>
                      <a:noFill/>
                    </a:ln>
                  </pic:spPr>
                </pic:pic>
              </a:graphicData>
            </a:graphic>
          </wp:inline>
        </w:drawing>
      </w:r>
    </w:p>
    <w:p w14:paraId="239CFFB9" w14:textId="2A5A00D6" w:rsidR="008850C9" w:rsidRPr="00177203" w:rsidRDefault="00306188" w:rsidP="003C0293">
      <w:pPr>
        <w:spacing w:afterLines="50" w:after="156"/>
        <w:outlineLvl w:val="3"/>
        <w:rPr>
          <w:rFonts w:eastAsia="宋体" w:cs="Times New Roman"/>
          <w:b/>
          <w:bCs/>
          <w:color w:val="000000" w:themeColor="text1"/>
          <w:sz w:val="24"/>
          <w:szCs w:val="24"/>
        </w:rPr>
      </w:pPr>
      <w:r w:rsidRPr="00177203">
        <w:rPr>
          <w:rFonts w:eastAsia="宋体" w:cs="Times New Roman"/>
          <w:b/>
          <w:bCs/>
          <w:color w:val="000000" w:themeColor="text1"/>
          <w:sz w:val="24"/>
          <w:szCs w:val="24"/>
        </w:rPr>
        <w:t>Supplementary</w:t>
      </w:r>
      <w:r w:rsidR="008850C9"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28</w:t>
      </w:r>
      <w:r w:rsidR="008850C9" w:rsidRPr="00177203">
        <w:rPr>
          <w:rFonts w:eastAsia="宋体" w:cs="Times New Roman"/>
          <w:b/>
          <w:bCs/>
          <w:color w:val="000000" w:themeColor="text1"/>
          <w:sz w:val="24"/>
          <w:szCs w:val="24"/>
        </w:rPr>
        <w:t xml:space="preserve">. </w:t>
      </w:r>
      <w:r w:rsidR="008E0B64" w:rsidRPr="00177203">
        <w:rPr>
          <w:rFonts w:eastAsia="宋体" w:cs="Times New Roman"/>
          <w:color w:val="000000" w:themeColor="text1"/>
          <w:sz w:val="24"/>
          <w:szCs w:val="24"/>
        </w:rPr>
        <w:t xml:space="preserve">Calibration of the </w:t>
      </w:r>
      <w:proofErr w:type="spellStart"/>
      <w:r w:rsidR="008E0B64" w:rsidRPr="00177203">
        <w:rPr>
          <w:rFonts w:eastAsia="宋体" w:cs="Times New Roman"/>
          <w:color w:val="000000" w:themeColor="text1"/>
          <w:sz w:val="24"/>
          <w:szCs w:val="24"/>
        </w:rPr>
        <w:t>diacetylmonoxime-thiosemicarbazide</w:t>
      </w:r>
      <w:proofErr w:type="spellEnd"/>
      <w:r w:rsidR="008E0B64" w:rsidRPr="00177203">
        <w:rPr>
          <w:rFonts w:eastAsia="宋体" w:cs="Times New Roman"/>
          <w:color w:val="000000" w:themeColor="text1"/>
          <w:sz w:val="24"/>
          <w:szCs w:val="24"/>
        </w:rPr>
        <w:t xml:space="preserve"> (DAMO-TSC) colorimetric method for urea quantification: (a) UV-vis absorption spectra of urea standard solutions with gradient concentrations, (b) linear calibration curve.</w:t>
      </w:r>
      <w:r w:rsidR="008850C9" w:rsidRPr="00177203">
        <w:rPr>
          <w:rFonts w:eastAsia="宋体" w:cs="Times New Roman"/>
          <w:color w:val="000000" w:themeColor="text1"/>
          <w:sz w:val="24"/>
          <w:szCs w:val="24"/>
        </w:rPr>
        <w:t xml:space="preserve"> </w:t>
      </w:r>
    </w:p>
    <w:p w14:paraId="37CFB36D" w14:textId="7EA89A03" w:rsidR="0064267F" w:rsidRPr="00177203" w:rsidRDefault="0064267F" w:rsidP="003C029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Determination of urea by 1H-NMR: </w:t>
      </w:r>
      <w:r w:rsidRPr="00177203">
        <w:rPr>
          <w:rFonts w:eastAsia="宋体" w:cs="Times New Roman"/>
          <w:color w:val="000000" w:themeColor="text1"/>
          <w:sz w:val="24"/>
          <w:szCs w:val="24"/>
        </w:rPr>
        <w:t xml:space="preserve">The detailed procedure for urea quantification using </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H-NMR spectroscopy is summarized as follows: 50 μL of the electrolyte was added to 600 μL of DMSO-d6. Subsequently, the solution underwent </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H-NMR measurement on a Bruker AVIII 400 MHz NMR spectrometer with water suppression using the excitation sculpting method to obtain an accumulated result of 512 scans.</w:t>
      </w:r>
    </w:p>
    <w:p w14:paraId="25F46F64" w14:textId="3061373F" w:rsidR="008850C9" w:rsidRPr="00177203" w:rsidRDefault="008E5ECC" w:rsidP="00B36B72">
      <w:pPr>
        <w:spacing w:afterLines="50" w:after="156"/>
        <w:rPr>
          <w:rFonts w:eastAsia="宋体" w:cs="Times New Roman"/>
          <w:b/>
          <w:bCs/>
          <w:color w:val="000000" w:themeColor="text1"/>
          <w:sz w:val="24"/>
          <w:szCs w:val="24"/>
        </w:rPr>
      </w:pPr>
      <w:r w:rsidRPr="00177203">
        <w:rPr>
          <w:rFonts w:cs="Times New Roman"/>
          <w:noProof/>
        </w:rPr>
        <w:drawing>
          <wp:inline distT="0" distB="0" distL="0" distR="0" wp14:anchorId="15CA9D19" wp14:editId="304FBD5D">
            <wp:extent cx="5278120" cy="4055110"/>
            <wp:effectExtent l="0" t="0" r="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120" cy="4055110"/>
                    </a:xfrm>
                    <a:prstGeom prst="rect">
                      <a:avLst/>
                    </a:prstGeom>
                    <a:noFill/>
                    <a:ln>
                      <a:noFill/>
                    </a:ln>
                  </pic:spPr>
                </pic:pic>
              </a:graphicData>
            </a:graphic>
          </wp:inline>
        </w:drawing>
      </w:r>
    </w:p>
    <w:p w14:paraId="4EAA40C6" w14:textId="54884CC3" w:rsidR="008850C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8850C9"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29</w:t>
      </w:r>
      <w:r w:rsidR="008850C9" w:rsidRPr="00177203">
        <w:rPr>
          <w:rFonts w:eastAsia="宋体" w:cs="Times New Roman"/>
          <w:b/>
          <w:bCs/>
          <w:color w:val="000000" w:themeColor="text1"/>
          <w:sz w:val="24"/>
          <w:szCs w:val="24"/>
        </w:rPr>
        <w:t xml:space="preserve">. </w:t>
      </w:r>
      <w:r w:rsidR="008E0B64" w:rsidRPr="00177203">
        <w:rPr>
          <w:rFonts w:eastAsia="宋体" w:cs="Times New Roman"/>
          <w:color w:val="000000" w:themeColor="text1"/>
          <w:sz w:val="24"/>
          <w:szCs w:val="24"/>
        </w:rPr>
        <w:t>Quantitative ¹H NMR analysis of urea and isotope labeling verification: (a)</w:t>
      </w:r>
      <w:r w:rsidR="00E63B12"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vertAlign w:val="superscript"/>
        </w:rPr>
        <w:t>1</w:t>
      </w:r>
      <w:r w:rsidR="008E0B64" w:rsidRPr="00177203">
        <w:rPr>
          <w:rFonts w:eastAsia="宋体" w:cs="Times New Roman"/>
          <w:color w:val="000000" w:themeColor="text1"/>
          <w:sz w:val="24"/>
          <w:szCs w:val="24"/>
        </w:rPr>
        <w:t xml:space="preserve">H NMR spectra of urea standard solutions with gradient concentrations, (b) linear calibration curve for urea quantification, (c)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008E0B64" w:rsidRPr="00177203">
        <w:rPr>
          <w:rFonts w:eastAsia="宋体" w:cs="Times New Roman"/>
          <w:color w:val="000000" w:themeColor="text1"/>
          <w:sz w:val="24"/>
          <w:szCs w:val="24"/>
        </w:rPr>
        <w:t xml:space="preserve"> NMR spectra of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008E0B64" w:rsidRPr="00177203">
        <w:rPr>
          <w:rFonts w:eastAsia="宋体" w:cs="Times New Roman"/>
          <w:color w:val="000000" w:themeColor="text1"/>
          <w:sz w:val="24"/>
          <w:szCs w:val="24"/>
        </w:rPr>
        <w:t xml:space="preserve">-urea and </w:t>
      </w:r>
      <w:r w:rsidR="00E63B12" w:rsidRPr="00177203">
        <w:rPr>
          <w:rFonts w:eastAsia="宋体" w:cs="Times New Roman"/>
          <w:color w:val="000000" w:themeColor="text1"/>
          <w:sz w:val="24"/>
          <w:szCs w:val="24"/>
          <w:vertAlign w:val="superscript"/>
        </w:rPr>
        <w:t>14</w:t>
      </w:r>
      <w:r w:rsidR="008E0B64" w:rsidRPr="00177203">
        <w:rPr>
          <w:rFonts w:eastAsia="宋体" w:cs="Times New Roman"/>
          <w:color w:val="000000" w:themeColor="text1"/>
          <w:sz w:val="24"/>
          <w:szCs w:val="24"/>
        </w:rPr>
        <w:t xml:space="preserve">N-urea, (d)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008E0B64" w:rsidRPr="00177203">
        <w:rPr>
          <w:rFonts w:eastAsia="宋体" w:cs="Times New Roman"/>
          <w:color w:val="000000" w:themeColor="text1"/>
          <w:sz w:val="24"/>
          <w:szCs w:val="24"/>
        </w:rPr>
        <w:t xml:space="preserve"> NMR spectra of the electrolyte after electrolysis at 0 V and –1.1 V vs. RHE with </w:t>
      </w:r>
      <w:r w:rsidR="00E63B12" w:rsidRPr="00177203">
        <w:rPr>
          <w:rFonts w:eastAsia="宋体" w:cs="Times New Roman"/>
          <w:sz w:val="24"/>
          <w:szCs w:val="24"/>
          <w:vertAlign w:val="superscript"/>
        </w:rPr>
        <w:t>15</w:t>
      </w:r>
      <w:r w:rsidR="00E63B12" w:rsidRPr="00177203">
        <w:rPr>
          <w:rFonts w:eastAsia="宋体" w:cs="Times New Roman"/>
          <w:sz w:val="24"/>
          <w:szCs w:val="24"/>
        </w:rPr>
        <w:t>N</w:t>
      </w:r>
      <w:r w:rsidR="008E0B64" w:rsidRPr="00177203">
        <w:rPr>
          <w:rFonts w:eastAsia="宋体" w:cs="Times New Roman"/>
          <w:color w:val="000000" w:themeColor="text1"/>
          <w:sz w:val="24"/>
          <w:szCs w:val="24"/>
        </w:rPr>
        <w:t>-labeled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8E0B64" w:rsidRPr="00177203">
        <w:rPr>
          <w:rFonts w:eastAsia="宋体" w:cs="Times New Roman"/>
          <w:color w:val="000000" w:themeColor="text1"/>
          <w:sz w:val="24"/>
          <w:szCs w:val="24"/>
        </w:rPr>
        <w:t xml:space="preserve"> as the nitrogen source.</w:t>
      </w:r>
    </w:p>
    <w:p w14:paraId="7AEDE041" w14:textId="6096168A" w:rsidR="000F7634" w:rsidRPr="00177203" w:rsidRDefault="000F7634" w:rsidP="003C029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Determination of urea by urease decomposition</w:t>
      </w:r>
      <w:r w:rsidR="002954F8" w:rsidRPr="00177203">
        <w:rPr>
          <w:rFonts w:eastAsia="宋体" w:cs="Times New Roman"/>
          <w:noProof/>
          <w:color w:val="0070C0"/>
          <w:sz w:val="24"/>
          <w:szCs w:val="24"/>
          <w:vertAlign w:val="superscript"/>
        </w:rPr>
        <w:t>21</w:t>
      </w:r>
      <w:r w:rsidRPr="00177203">
        <w:rPr>
          <w:rFonts w:eastAsia="宋体" w:cs="Times New Roman"/>
          <w:b/>
          <w:bCs/>
          <w:color w:val="000000" w:themeColor="text1"/>
          <w:sz w:val="24"/>
          <w:szCs w:val="24"/>
        </w:rPr>
        <w:t>:</w:t>
      </w:r>
      <w:r w:rsidRPr="00177203">
        <w:rPr>
          <w:rFonts w:eastAsia="宋体" w:cs="Times New Roman"/>
          <w:color w:val="000000" w:themeColor="text1"/>
          <w:sz w:val="24"/>
          <w:szCs w:val="24"/>
        </w:rPr>
        <w:t xml:space="preserve"> EDTA (0.1 g) was dissolved in a urease solution (10 mL, 5 mg mL</w:t>
      </w:r>
      <w:r w:rsidR="00E63B12" w:rsidRPr="00177203">
        <w:rPr>
          <w:rFonts w:eastAsia="宋体" w:cs="Times New Roman"/>
          <w:color w:val="000000" w:themeColor="text1"/>
          <w:sz w:val="24"/>
          <w:szCs w:val="24"/>
          <w:vertAlign w:val="superscript"/>
        </w:rPr>
        <w:t>–</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Subsequently, an electrolyte solution (1.8 mL) was added to the mixture (0.2 mL). The resulting solution was then incubated for 40 min at 37 °C on a shaker. The ammonia produced was quantified using the spectrophotometric indophenol blue method. </w:t>
      </w:r>
    </w:p>
    <w:p w14:paraId="5D4819DD" w14:textId="190900A7" w:rsidR="009B58B8" w:rsidRPr="00177203" w:rsidRDefault="000F7634" w:rsidP="003C029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Determination of ammonia (</w:t>
      </w:r>
      <w:r w:rsidR="000C65B5" w:rsidRPr="00177203">
        <w:rPr>
          <w:rFonts w:eastAsia="宋体" w:cs="Times New Roman"/>
          <w:color w:val="000000" w:themeColor="text1"/>
          <w:sz w:val="24"/>
          <w:szCs w:val="24"/>
        </w:rPr>
        <w:t>NH</w:t>
      </w:r>
      <w:r w:rsidR="000C65B5" w:rsidRPr="00177203">
        <w:rPr>
          <w:rFonts w:eastAsia="宋体" w:cs="Times New Roman"/>
          <w:color w:val="000000" w:themeColor="text1"/>
          <w:sz w:val="24"/>
          <w:szCs w:val="24"/>
          <w:vertAlign w:val="subscript"/>
        </w:rPr>
        <w:t>3</w:t>
      </w:r>
      <w:r w:rsidRPr="00177203">
        <w:rPr>
          <w:rFonts w:eastAsia="宋体" w:cs="Times New Roman"/>
          <w:b/>
          <w:bCs/>
          <w:color w:val="000000" w:themeColor="text1"/>
          <w:sz w:val="24"/>
          <w:szCs w:val="24"/>
        </w:rPr>
        <w:t>)</w:t>
      </w:r>
      <w:r w:rsidR="002954F8" w:rsidRPr="00177203">
        <w:rPr>
          <w:rFonts w:eastAsia="宋体" w:cs="Times New Roman"/>
          <w:b/>
          <w:bCs/>
          <w:noProof/>
          <w:color w:val="000000" w:themeColor="text1"/>
          <w:sz w:val="24"/>
          <w:szCs w:val="24"/>
          <w:vertAlign w:val="superscript"/>
        </w:rPr>
        <w:t>22</w:t>
      </w:r>
      <w:r w:rsidRPr="00177203">
        <w:rPr>
          <w:rFonts w:eastAsia="宋体" w:cs="Times New Roman"/>
          <w:b/>
          <w:bCs/>
          <w:color w:val="000000" w:themeColor="text1"/>
          <w:sz w:val="24"/>
          <w:szCs w:val="24"/>
        </w:rPr>
        <w:t xml:space="preserve">: </w:t>
      </w:r>
      <w:r w:rsidRPr="00177203">
        <w:rPr>
          <w:rFonts w:eastAsia="宋体" w:cs="Times New Roman"/>
          <w:color w:val="000000" w:themeColor="text1"/>
          <w:sz w:val="24"/>
          <w:szCs w:val="24"/>
        </w:rPr>
        <w:t>To 10 mL of the collected electrolyte, 1 mL of potassium sodium tartrate (NaKC</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H</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6</w:t>
      </w:r>
      <w:r w:rsidRPr="00177203">
        <w:rPr>
          <w:rFonts w:eastAsia="宋体" w:cs="Times New Roman"/>
          <w:color w:val="000000" w:themeColor="text1"/>
          <w:sz w:val="24"/>
          <w:szCs w:val="24"/>
        </w:rPr>
        <w:t>) and 1 mL of alkaline mercuric iodide solution (</w:t>
      </w:r>
      <w:proofErr w:type="spellStart"/>
      <w:r w:rsidRPr="00177203">
        <w:rPr>
          <w:rFonts w:eastAsia="宋体" w:cs="Times New Roman"/>
          <w:color w:val="000000" w:themeColor="text1"/>
          <w:sz w:val="24"/>
          <w:szCs w:val="24"/>
        </w:rPr>
        <w:t>HgI</w:t>
      </w:r>
      <w:proofErr w:type="spellEnd"/>
      <w:r w:rsidRPr="00177203">
        <w:rPr>
          <w:rFonts w:eastAsia="宋体" w:cs="Times New Roman"/>
          <w:color w:val="000000" w:themeColor="text1"/>
          <w:sz w:val="24"/>
          <w:szCs w:val="24"/>
        </w:rPr>
        <w:t xml:space="preserve">-KI-NaOH) </w:t>
      </w:r>
      <w:r w:rsidR="00404B4D" w:rsidRPr="00177203">
        <w:rPr>
          <w:rFonts w:eastAsia="宋体" w:cs="Times New Roman"/>
          <w:color w:val="000000" w:themeColor="text1"/>
          <w:sz w:val="24"/>
          <w:szCs w:val="24"/>
        </w:rPr>
        <w:t>were</w:t>
      </w:r>
      <w:r w:rsidRPr="00177203">
        <w:rPr>
          <w:rFonts w:eastAsia="宋体" w:cs="Times New Roman"/>
          <w:color w:val="000000" w:themeColor="text1"/>
          <w:sz w:val="24"/>
          <w:szCs w:val="24"/>
        </w:rPr>
        <w:t xml:space="preserve"> added sequentially. The mixture </w:t>
      </w:r>
      <w:r w:rsidR="00404B4D"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shaken thoroughly and left to stand for 10 </w:t>
      </w:r>
      <w:r w:rsidR="00E63B12" w:rsidRPr="00177203">
        <w:rPr>
          <w:rFonts w:eastAsia="宋体" w:cs="Times New Roman"/>
          <w:color w:val="000000" w:themeColor="text1"/>
          <w:sz w:val="24"/>
          <w:szCs w:val="24"/>
        </w:rPr>
        <w:t>min</w:t>
      </w:r>
      <w:r w:rsidRPr="00177203">
        <w:rPr>
          <w:rFonts w:eastAsia="宋体" w:cs="Times New Roman"/>
          <w:color w:val="000000" w:themeColor="text1"/>
          <w:sz w:val="24"/>
          <w:szCs w:val="24"/>
        </w:rPr>
        <w:t xml:space="preserve"> to complete chromogenic reaction. Absorbance of the final solution </w:t>
      </w:r>
      <w:r w:rsidR="00404B4D"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measured at 420 nm via a UV-</w:t>
      </w:r>
      <w:r w:rsidR="00160F61" w:rsidRPr="00177203">
        <w:rPr>
          <w:rFonts w:eastAsia="宋体" w:cs="Times New Roman"/>
          <w:color w:val="000000" w:themeColor="text1"/>
          <w:sz w:val="24"/>
          <w:szCs w:val="24"/>
        </w:rPr>
        <w:t>v</w:t>
      </w:r>
      <w:r w:rsidRPr="00177203">
        <w:rPr>
          <w:rFonts w:eastAsia="宋体" w:cs="Times New Roman"/>
          <w:color w:val="000000" w:themeColor="text1"/>
          <w:sz w:val="24"/>
          <w:szCs w:val="24"/>
        </w:rPr>
        <w:t xml:space="preserve">is spectrophotometer. A calibration curve is established using a series of standard ammonia solutions with absorbance recorded at the identical wavelength, and the curve </w:t>
      </w:r>
      <w:r w:rsidR="00404B4D"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utilized to quantify the ammonia concentration in the test sample.</w:t>
      </w:r>
    </w:p>
    <w:p w14:paraId="1FC3C4E0" w14:textId="6DF6B871" w:rsidR="008850C9" w:rsidRPr="00177203" w:rsidRDefault="008E5ECC" w:rsidP="00B36B72">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0536D7ED" wp14:editId="7CFED5B1">
            <wp:extent cx="5278120" cy="2187575"/>
            <wp:effectExtent l="0" t="0" r="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2187575"/>
                    </a:xfrm>
                    <a:prstGeom prst="rect">
                      <a:avLst/>
                    </a:prstGeom>
                    <a:noFill/>
                    <a:ln>
                      <a:noFill/>
                    </a:ln>
                  </pic:spPr>
                </pic:pic>
              </a:graphicData>
            </a:graphic>
          </wp:inline>
        </w:drawing>
      </w:r>
    </w:p>
    <w:p w14:paraId="34648776" w14:textId="6C466EDA" w:rsidR="008850C9"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8850C9"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30</w:t>
      </w:r>
      <w:r w:rsidR="008850C9" w:rsidRPr="00177203">
        <w:rPr>
          <w:rFonts w:eastAsia="宋体" w:cs="Times New Roman"/>
          <w:color w:val="000000" w:themeColor="text1"/>
          <w:sz w:val="24"/>
          <w:szCs w:val="24"/>
        </w:rPr>
        <w:t xml:space="preserve">. </w:t>
      </w:r>
      <w:r w:rsidR="008E0B64" w:rsidRPr="00177203">
        <w:rPr>
          <w:rFonts w:eastAsia="宋体" w:cs="Times New Roman"/>
          <w:color w:val="000000" w:themeColor="text1"/>
          <w:sz w:val="24"/>
          <w:szCs w:val="24"/>
        </w:rPr>
        <w:t>Calibration of the Nessler's reagent colorimetric method for ammonium (</w:t>
      </w:r>
      <w:r w:rsidR="00E63B12" w:rsidRPr="00177203">
        <w:rPr>
          <w:rFonts w:eastAsia="宋体" w:cs="Times New Roman"/>
          <w:sz w:val="24"/>
          <w:szCs w:val="24"/>
        </w:rPr>
        <w:t>NH</w:t>
      </w:r>
      <w:r w:rsidR="00E63B12" w:rsidRPr="00177203">
        <w:rPr>
          <w:rFonts w:eastAsia="宋体" w:cs="Times New Roman"/>
          <w:sz w:val="24"/>
          <w:szCs w:val="24"/>
          <w:vertAlign w:val="subscript"/>
        </w:rPr>
        <w:t>4</w:t>
      </w:r>
      <w:r w:rsidR="00E63B12" w:rsidRPr="00177203">
        <w:rPr>
          <w:rFonts w:eastAsia="宋体" w:cs="Times New Roman"/>
          <w:sz w:val="24"/>
          <w:szCs w:val="24"/>
          <w:vertAlign w:val="superscript"/>
        </w:rPr>
        <w:t>+</w:t>
      </w:r>
      <w:r w:rsidR="008E0B64" w:rsidRPr="00177203">
        <w:rPr>
          <w:rFonts w:eastAsia="宋体" w:cs="Times New Roman"/>
          <w:color w:val="000000" w:themeColor="text1"/>
          <w:sz w:val="24"/>
          <w:szCs w:val="24"/>
        </w:rPr>
        <w:t xml:space="preserve">) quantification: (a) UV-vis absorption spectra of </w:t>
      </w:r>
      <w:r w:rsidR="00E63B12" w:rsidRPr="00177203">
        <w:rPr>
          <w:rFonts w:eastAsia="宋体" w:cs="Times New Roman"/>
          <w:sz w:val="24"/>
          <w:szCs w:val="24"/>
        </w:rPr>
        <w:t>NH</w:t>
      </w:r>
      <w:r w:rsidR="00E63B12" w:rsidRPr="00177203">
        <w:rPr>
          <w:rFonts w:eastAsia="宋体" w:cs="Times New Roman"/>
          <w:sz w:val="24"/>
          <w:szCs w:val="24"/>
          <w:vertAlign w:val="subscript"/>
        </w:rPr>
        <w:t>4</w:t>
      </w:r>
      <w:r w:rsidR="00E63B12" w:rsidRPr="00177203">
        <w:rPr>
          <w:rFonts w:eastAsia="宋体" w:cs="Times New Roman"/>
          <w:sz w:val="24"/>
          <w:szCs w:val="24"/>
          <w:vertAlign w:val="superscript"/>
        </w:rPr>
        <w:t>+</w:t>
      </w:r>
      <w:r w:rsidR="008E0B64" w:rsidRPr="00177203">
        <w:rPr>
          <w:rFonts w:eastAsia="宋体" w:cs="Times New Roman"/>
          <w:color w:val="000000" w:themeColor="text1"/>
          <w:sz w:val="24"/>
          <w:szCs w:val="24"/>
        </w:rPr>
        <w:t xml:space="preserve"> standard solutions with gradient concentrations, (b) linear calibration curve (0–10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8E0B64" w:rsidRPr="00177203">
        <w:rPr>
          <w:rFonts w:eastAsia="宋体" w:cs="Times New Roman"/>
          <w:color w:val="000000" w:themeColor="text1"/>
          <w:sz w:val="24"/>
          <w:szCs w:val="24"/>
        </w:rPr>
        <w:t>).</w:t>
      </w:r>
    </w:p>
    <w:p w14:paraId="7CAAF76A" w14:textId="48A87B3A" w:rsidR="000F7634" w:rsidRPr="00177203" w:rsidRDefault="000F7634" w:rsidP="003C0293">
      <w:pPr>
        <w:spacing w:afterLines="50" w:after="156"/>
        <w:outlineLvl w:val="2"/>
        <w:rPr>
          <w:rFonts w:eastAsia="宋体" w:cs="Times New Roman"/>
          <w:b/>
          <w:bCs/>
          <w:color w:val="000000" w:themeColor="text1"/>
          <w:sz w:val="24"/>
          <w:szCs w:val="24"/>
        </w:rPr>
      </w:pPr>
      <w:r w:rsidRPr="00177203">
        <w:rPr>
          <w:rFonts w:eastAsia="宋体" w:cs="Times New Roman"/>
          <w:b/>
          <w:bCs/>
          <w:color w:val="000000" w:themeColor="text1"/>
          <w:sz w:val="24"/>
          <w:szCs w:val="24"/>
        </w:rPr>
        <w:t>Determination of nitrite ions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Pr="00177203">
        <w:rPr>
          <w:rFonts w:eastAsia="宋体" w:cs="Times New Roman"/>
          <w:b/>
          <w:bCs/>
          <w:color w:val="000000" w:themeColor="text1"/>
          <w:sz w:val="24"/>
          <w:szCs w:val="24"/>
        </w:rPr>
        <w:t xml:space="preserve">): </w:t>
      </w:r>
      <w:r w:rsidRPr="00177203">
        <w:rPr>
          <w:rFonts w:eastAsia="宋体" w:cs="Times New Roman"/>
          <w:color w:val="000000" w:themeColor="text1"/>
          <w:sz w:val="24"/>
          <w:szCs w:val="24"/>
        </w:rPr>
        <w:t xml:space="preserve">First chromogenic reagent </w:t>
      </w:r>
      <w:r w:rsidR="008031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prepared by dissolving 0.15 g of sulfanilamide in 50.0 mL of 2.0 M HCl solution, while the second chromogenic reagent </w:t>
      </w:r>
      <w:r w:rsidR="008031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prepared by dissolving 20.0 mg of </w:t>
      </w:r>
      <w:r w:rsidRPr="00177203">
        <w:rPr>
          <w:rFonts w:eastAsia="宋体" w:cs="Times New Roman"/>
          <w:i/>
          <w:iCs/>
          <w:color w:val="000000" w:themeColor="text1"/>
          <w:sz w:val="24"/>
          <w:szCs w:val="24"/>
        </w:rPr>
        <w:t>N</w:t>
      </w:r>
      <w:r w:rsidRPr="00177203">
        <w:rPr>
          <w:rFonts w:eastAsia="宋体" w:cs="Times New Roman"/>
          <w:color w:val="000000" w:themeColor="text1"/>
          <w:sz w:val="24"/>
          <w:szCs w:val="24"/>
        </w:rPr>
        <w:t xml:space="preserve">-(1-naphthyl) ethylenediamine dihydrochloride in 20.0 mL of ultrapure water. 3.0 mL of standard solution or test electrolyte </w:t>
      </w:r>
      <w:r w:rsidR="00AB09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transferred into a test tube, followed by the addition of 200 μL of the first chromogenic reagent. After mixing, the solution </w:t>
      </w:r>
      <w:r w:rsidR="00AB09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left to stand for 10 </w:t>
      </w:r>
      <w:r w:rsidR="00E63B12" w:rsidRPr="00177203">
        <w:rPr>
          <w:rFonts w:eastAsia="宋体" w:cs="Times New Roman"/>
          <w:color w:val="000000" w:themeColor="text1"/>
          <w:sz w:val="24"/>
          <w:szCs w:val="24"/>
        </w:rPr>
        <w:t>min</w:t>
      </w:r>
      <w:r w:rsidRPr="00177203">
        <w:rPr>
          <w:rFonts w:eastAsia="宋体" w:cs="Times New Roman"/>
          <w:color w:val="000000" w:themeColor="text1"/>
          <w:sz w:val="24"/>
          <w:szCs w:val="24"/>
        </w:rPr>
        <w:t xml:space="preserve">, then the second chromogenic reagent </w:t>
      </w:r>
      <w:r w:rsidR="00AB09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added, and the mixture is shaken fully and incubated for 30 </w:t>
      </w:r>
      <w:r w:rsidR="00E63B12" w:rsidRPr="00177203">
        <w:rPr>
          <w:rFonts w:eastAsia="宋体" w:cs="Times New Roman"/>
          <w:color w:val="000000" w:themeColor="text1"/>
          <w:sz w:val="24"/>
          <w:szCs w:val="24"/>
        </w:rPr>
        <w:t>min</w:t>
      </w:r>
      <w:r w:rsidRPr="00177203">
        <w:rPr>
          <w:rFonts w:eastAsia="宋体" w:cs="Times New Roman"/>
          <w:color w:val="000000" w:themeColor="text1"/>
          <w:sz w:val="24"/>
          <w:szCs w:val="24"/>
        </w:rPr>
        <w:t xml:space="preserve">. Absorbance </w:t>
      </w:r>
      <w:r w:rsidR="00AB09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measured at 540 nm with a UV-Vis spectrophotometer, and a pre-constructed calibration curve from standard nitrite solutions </w:t>
      </w:r>
      <w:r w:rsidR="00AB09C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adopted to determine the nitrite ion concentration.</w:t>
      </w:r>
    </w:p>
    <w:p w14:paraId="32152254" w14:textId="1BD90CB7" w:rsidR="009B58B8" w:rsidRPr="00177203" w:rsidRDefault="009B58B8" w:rsidP="005438CC">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w:t>
      </w:r>
    </w:p>
    <w:p w14:paraId="417A20C8" w14:textId="66474B4C" w:rsidR="008850C9" w:rsidRPr="00177203" w:rsidRDefault="00A077F3" w:rsidP="002E1F6C">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64AAFA0E" wp14:editId="33151526">
            <wp:extent cx="5278120" cy="2090420"/>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120" cy="2090420"/>
                    </a:xfrm>
                    <a:prstGeom prst="rect">
                      <a:avLst/>
                    </a:prstGeom>
                    <a:noFill/>
                    <a:ln>
                      <a:noFill/>
                    </a:ln>
                  </pic:spPr>
                </pic:pic>
              </a:graphicData>
            </a:graphic>
          </wp:inline>
        </w:drawing>
      </w:r>
    </w:p>
    <w:p w14:paraId="05486C21" w14:textId="5694B801" w:rsidR="008850C9" w:rsidRPr="00177203" w:rsidRDefault="00306188" w:rsidP="003C0293">
      <w:pPr>
        <w:spacing w:afterLines="50" w:after="156"/>
        <w:outlineLvl w:val="3"/>
        <w:rPr>
          <w:rFonts w:eastAsia="宋体" w:cs="Times New Roman"/>
          <w:b/>
          <w:bCs/>
          <w:color w:val="000000" w:themeColor="text1"/>
          <w:sz w:val="24"/>
          <w:szCs w:val="24"/>
        </w:rPr>
      </w:pPr>
      <w:r w:rsidRPr="00177203">
        <w:rPr>
          <w:rFonts w:eastAsia="宋体" w:cs="Times New Roman"/>
          <w:b/>
          <w:bCs/>
          <w:color w:val="000000" w:themeColor="text1"/>
          <w:sz w:val="24"/>
          <w:szCs w:val="24"/>
        </w:rPr>
        <w:t>Supplementary</w:t>
      </w:r>
      <w:r w:rsidR="008850C9"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31</w:t>
      </w:r>
      <w:r w:rsidR="008850C9" w:rsidRPr="00177203">
        <w:rPr>
          <w:rFonts w:eastAsia="宋体" w:cs="Times New Roman"/>
          <w:b/>
          <w:bCs/>
          <w:color w:val="000000" w:themeColor="text1"/>
          <w:sz w:val="24"/>
          <w:szCs w:val="24"/>
        </w:rPr>
        <w:t xml:space="preserve">. </w:t>
      </w:r>
      <w:r w:rsidR="008E0B64" w:rsidRPr="00177203">
        <w:rPr>
          <w:rFonts w:eastAsia="宋体" w:cs="Times New Roman"/>
          <w:color w:val="000000" w:themeColor="text1"/>
          <w:sz w:val="24"/>
          <w:szCs w:val="24"/>
        </w:rPr>
        <w:t>Calibration of the Saltzman colorimetric method for nitrite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8E0B64" w:rsidRPr="00177203">
        <w:rPr>
          <w:rFonts w:eastAsia="宋体" w:cs="Times New Roman"/>
          <w:color w:val="000000" w:themeColor="text1"/>
          <w:sz w:val="24"/>
          <w:szCs w:val="24"/>
        </w:rPr>
        <w:t xml:space="preserve">) quantification: (a) UV-vis absorption spectra of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8E0B64" w:rsidRPr="00177203">
        <w:rPr>
          <w:rFonts w:eastAsia="宋体" w:cs="Times New Roman"/>
          <w:color w:val="000000" w:themeColor="text1"/>
          <w:sz w:val="24"/>
          <w:szCs w:val="24"/>
        </w:rPr>
        <w:t xml:space="preserve"> standard solutions with gradient concentrations, (b) linear calibration curve (detection wavelength 540 nm).</w:t>
      </w:r>
    </w:p>
    <w:p w14:paraId="4F3959AA" w14:textId="53B4ABC8" w:rsidR="0094125A" w:rsidRPr="00177203" w:rsidRDefault="0064267F" w:rsidP="003C029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Determination of N</w:t>
      </w:r>
      <w:r w:rsidRPr="00177203">
        <w:rPr>
          <w:rFonts w:eastAsia="宋体" w:cs="Times New Roman"/>
          <w:b/>
          <w:bCs/>
          <w:color w:val="000000" w:themeColor="text1"/>
          <w:sz w:val="24"/>
          <w:szCs w:val="24"/>
          <w:vertAlign w:val="subscript"/>
        </w:rPr>
        <w:t>2</w:t>
      </w:r>
      <w:r w:rsidRPr="00177203">
        <w:rPr>
          <w:rFonts w:eastAsia="宋体" w:cs="Times New Roman"/>
          <w:b/>
          <w:bCs/>
          <w:color w:val="000000" w:themeColor="text1"/>
          <w:sz w:val="24"/>
          <w:szCs w:val="24"/>
        </w:rPr>
        <w:t xml:space="preserve"> and H</w:t>
      </w:r>
      <w:r w:rsidRPr="00177203">
        <w:rPr>
          <w:rFonts w:eastAsia="宋体" w:cs="Times New Roman"/>
          <w:b/>
          <w:bCs/>
          <w:color w:val="000000" w:themeColor="text1"/>
          <w:sz w:val="24"/>
          <w:szCs w:val="24"/>
          <w:vertAlign w:val="subscript"/>
        </w:rPr>
        <w:t>2</w:t>
      </w:r>
      <w:r w:rsidRPr="00177203">
        <w:rPr>
          <w:rFonts w:eastAsia="宋体" w:cs="Times New Roman"/>
          <w:b/>
          <w:bCs/>
          <w:color w:val="000000" w:themeColor="text1"/>
          <w:sz w:val="24"/>
          <w:szCs w:val="24"/>
        </w:rPr>
        <w:t>:</w:t>
      </w:r>
      <w:r w:rsidRPr="00177203">
        <w:rPr>
          <w:rFonts w:eastAsia="宋体" w:cs="Times New Roman"/>
          <w:color w:val="000000" w:themeColor="text1"/>
          <w:sz w:val="24"/>
          <w:szCs w:val="24"/>
        </w:rPr>
        <w:t xml:space="preserve"> </w:t>
      </w:r>
      <w:r w:rsidR="00384737" w:rsidRPr="00177203">
        <w:rPr>
          <w:rFonts w:eastAsia="宋体" w:cs="Times New Roman"/>
          <w:color w:val="000000" w:themeColor="text1"/>
          <w:sz w:val="24"/>
          <w:szCs w:val="24"/>
        </w:rPr>
        <w:t xml:space="preserve">Gaseous products generated during urea synthesis </w:t>
      </w:r>
      <w:r w:rsidR="00AB09C4" w:rsidRPr="00177203">
        <w:rPr>
          <w:rFonts w:eastAsia="宋体" w:cs="Times New Roman"/>
          <w:color w:val="000000" w:themeColor="text1"/>
          <w:sz w:val="24"/>
          <w:szCs w:val="24"/>
        </w:rPr>
        <w:t>were</w:t>
      </w:r>
      <w:r w:rsidR="00384737" w:rsidRPr="00177203">
        <w:rPr>
          <w:rFonts w:eastAsia="宋体" w:cs="Times New Roman"/>
          <w:color w:val="000000" w:themeColor="text1"/>
          <w:sz w:val="24"/>
          <w:szCs w:val="24"/>
        </w:rPr>
        <w:t xml:space="preserve"> quantified via gas chromatography (GC, Agilent 7890A) equipped with thermal conductivity detector (TCD) and flame ionization detector (FID). A HP-PLOT Q capillary column (30 m × 0.32 mm × 20 μm) </w:t>
      </w:r>
      <w:r w:rsidR="00AB09C4" w:rsidRPr="00177203">
        <w:rPr>
          <w:rFonts w:eastAsia="宋体" w:cs="Times New Roman"/>
          <w:color w:val="000000" w:themeColor="text1"/>
          <w:sz w:val="24"/>
          <w:szCs w:val="24"/>
        </w:rPr>
        <w:t>was</w:t>
      </w:r>
      <w:r w:rsidR="00384737" w:rsidRPr="00177203">
        <w:rPr>
          <w:rFonts w:eastAsia="宋体" w:cs="Times New Roman"/>
          <w:color w:val="000000" w:themeColor="text1"/>
          <w:sz w:val="24"/>
          <w:szCs w:val="24"/>
        </w:rPr>
        <w:t xml:space="preserve"> employed for component separation, with high-purity argon as the carrier gas at a constant flow rate of 1.0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384737" w:rsidRPr="00177203">
        <w:rPr>
          <w:rFonts w:eastAsia="宋体" w:cs="Times New Roman"/>
          <w:color w:val="000000" w:themeColor="text1"/>
          <w:sz w:val="24"/>
          <w:szCs w:val="24"/>
        </w:rPr>
        <w:t xml:space="preserve">. The column temperature program </w:t>
      </w:r>
      <w:r w:rsidR="00AB09C4" w:rsidRPr="00177203">
        <w:rPr>
          <w:rFonts w:eastAsia="宋体" w:cs="Times New Roman"/>
          <w:color w:val="000000" w:themeColor="text1"/>
          <w:sz w:val="24"/>
          <w:szCs w:val="24"/>
        </w:rPr>
        <w:t>was</w:t>
      </w:r>
      <w:r w:rsidR="00384737" w:rsidRPr="00177203">
        <w:rPr>
          <w:rFonts w:eastAsia="宋体" w:cs="Times New Roman"/>
          <w:color w:val="000000" w:themeColor="text1"/>
          <w:sz w:val="24"/>
          <w:szCs w:val="24"/>
        </w:rPr>
        <w:t xml:space="preserve"> set as follows: held at 40 °C for 2 min, ramped to 180 °C at 10 °C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384737" w:rsidRPr="00177203">
        <w:rPr>
          <w:rFonts w:eastAsia="宋体" w:cs="Times New Roman"/>
          <w:color w:val="000000" w:themeColor="text1"/>
          <w:sz w:val="24"/>
          <w:szCs w:val="24"/>
        </w:rPr>
        <w:t xml:space="preserve">, and maintained for 5 min. Injector and detector temperatures </w:t>
      </w:r>
      <w:r w:rsidR="00AB09C4" w:rsidRPr="00177203">
        <w:rPr>
          <w:rFonts w:eastAsia="宋体" w:cs="Times New Roman"/>
          <w:color w:val="000000" w:themeColor="text1"/>
          <w:sz w:val="24"/>
          <w:szCs w:val="24"/>
        </w:rPr>
        <w:t>were</w:t>
      </w:r>
      <w:r w:rsidR="00384737" w:rsidRPr="00177203">
        <w:rPr>
          <w:rFonts w:eastAsia="宋体" w:cs="Times New Roman"/>
          <w:color w:val="000000" w:themeColor="text1"/>
          <w:sz w:val="24"/>
          <w:szCs w:val="24"/>
        </w:rPr>
        <w:t xml:space="preserve"> fixed at 200 °C and 250 °C, respectively</w:t>
      </w:r>
      <w:r w:rsidRPr="00177203">
        <w:rPr>
          <w:rFonts w:eastAsia="宋体" w:cs="Times New Roman"/>
          <w:color w:val="000000" w:themeColor="text1"/>
          <w:sz w:val="24"/>
          <w:szCs w:val="24"/>
        </w:rPr>
        <w:t>.</w:t>
      </w:r>
    </w:p>
    <w:p w14:paraId="51E7957D" w14:textId="77777777" w:rsidR="0094125A" w:rsidRPr="00177203" w:rsidRDefault="0094125A">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158686C5" w14:textId="77777777" w:rsidR="00A077F3" w:rsidRPr="00177203" w:rsidRDefault="00A077F3" w:rsidP="00B77D36">
      <w:pPr>
        <w:spacing w:afterLines="50" w:after="156"/>
        <w:rPr>
          <w:rFonts w:eastAsia="宋体" w:cs="Times New Roman"/>
          <w:b/>
          <w:bCs/>
          <w:color w:val="000000" w:themeColor="text1"/>
          <w:sz w:val="24"/>
          <w:szCs w:val="24"/>
        </w:rPr>
      </w:pPr>
      <w:r w:rsidRPr="00177203">
        <w:rPr>
          <w:rFonts w:cs="Times New Roman"/>
          <w:noProof/>
        </w:rPr>
        <w:drawing>
          <wp:inline distT="0" distB="0" distL="0" distR="0" wp14:anchorId="6248D6DD" wp14:editId="356AC5B4">
            <wp:extent cx="5278120" cy="22758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2275840"/>
                    </a:xfrm>
                    <a:prstGeom prst="rect">
                      <a:avLst/>
                    </a:prstGeom>
                    <a:noFill/>
                    <a:ln>
                      <a:noFill/>
                    </a:ln>
                  </pic:spPr>
                </pic:pic>
              </a:graphicData>
            </a:graphic>
          </wp:inline>
        </w:drawing>
      </w:r>
      <w:r w:rsidR="00AB09C4" w:rsidRPr="00177203">
        <w:rPr>
          <w:rFonts w:eastAsia="宋体" w:cs="Times New Roman"/>
          <w:b/>
          <w:bCs/>
          <w:color w:val="000000" w:themeColor="text1"/>
          <w:sz w:val="24"/>
          <w:szCs w:val="24"/>
        </w:rPr>
        <w:t xml:space="preserve"> </w:t>
      </w:r>
    </w:p>
    <w:p w14:paraId="2F0C6BF2" w14:textId="6ACEAB17" w:rsidR="00C735C4" w:rsidRPr="00177203" w:rsidRDefault="00306188" w:rsidP="00A077F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C735C4" w:rsidRPr="00177203">
        <w:rPr>
          <w:rFonts w:eastAsia="宋体" w:cs="Times New Roman"/>
          <w:b/>
          <w:bCs/>
          <w:color w:val="000000" w:themeColor="text1"/>
          <w:sz w:val="24"/>
          <w:szCs w:val="24"/>
        </w:rPr>
        <w:t xml:space="preserve"> Fig. 32.</w:t>
      </w:r>
      <w:r w:rsidR="00C735C4" w:rsidRPr="00177203">
        <w:rPr>
          <w:rFonts w:eastAsia="宋体" w:cs="Times New Roman"/>
          <w:color w:val="000000" w:themeColor="text1"/>
          <w:sz w:val="24"/>
          <w:szCs w:val="24"/>
        </w:rPr>
        <w:t xml:space="preserve"> Anti-interference validation of the urea colorimetric quantification method: effect of co-existing 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C735C4" w:rsidRPr="00177203">
        <w:rPr>
          <w:rFonts w:eastAsia="宋体" w:cs="Times New Roman"/>
          <w:color w:val="000000" w:themeColor="text1"/>
          <w:sz w:val="24"/>
          <w:szCs w:val="24"/>
        </w:rPr>
        <w:t xml:space="preserve"> on the absorbance of urea at 525 nm. (a)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C735C4" w:rsidRPr="00177203">
        <w:rPr>
          <w:rFonts w:eastAsia="宋体" w:cs="Times New Roman"/>
          <w:color w:val="000000" w:themeColor="text1"/>
          <w:sz w:val="24"/>
          <w:szCs w:val="24"/>
        </w:rPr>
        <w:t xml:space="preserve"> concentration range 0–10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C735C4" w:rsidRPr="00177203">
        <w:rPr>
          <w:rFonts w:eastAsia="宋体" w:cs="Times New Roman"/>
          <w:color w:val="000000" w:themeColor="text1"/>
          <w:sz w:val="24"/>
          <w:szCs w:val="24"/>
        </w:rPr>
        <w:t xml:space="preserve">, (b)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C735C4" w:rsidRPr="00177203">
        <w:rPr>
          <w:rFonts w:eastAsia="宋体" w:cs="Times New Roman"/>
          <w:color w:val="000000" w:themeColor="text1"/>
          <w:sz w:val="24"/>
          <w:szCs w:val="24"/>
        </w:rPr>
        <w:t xml:space="preserve"> concentration range 0–100 mg L</w:t>
      </w:r>
      <w:r w:rsidR="00E63B12" w:rsidRPr="00177203">
        <w:rPr>
          <w:rFonts w:eastAsia="宋体" w:cs="Times New Roman"/>
          <w:color w:val="000000" w:themeColor="text1"/>
          <w:sz w:val="24"/>
          <w:szCs w:val="24"/>
          <w:vertAlign w:val="superscript"/>
        </w:rPr>
        <w:t>–1</w:t>
      </w:r>
      <w:r w:rsidR="00C735C4" w:rsidRPr="00177203">
        <w:rPr>
          <w:rFonts w:eastAsia="宋体" w:cs="Times New Roman"/>
          <w:color w:val="000000" w:themeColor="text1"/>
          <w:sz w:val="24"/>
          <w:szCs w:val="24"/>
        </w:rPr>
        <w:t xml:space="preserve">. </w:t>
      </w:r>
    </w:p>
    <w:p w14:paraId="38831501" w14:textId="2CF2B444" w:rsidR="00B36B72" w:rsidRPr="00177203" w:rsidRDefault="00954CDC" w:rsidP="00C735C4">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Anti-interference validation of urea colorimetric quantification </w:t>
      </w:r>
      <w:r w:rsidR="000E5479" w:rsidRPr="00177203">
        <w:rPr>
          <w:rFonts w:eastAsia="宋体" w:cs="Times New Roman"/>
          <w:color w:val="000000" w:themeColor="text1"/>
          <w:sz w:val="24"/>
          <w:szCs w:val="24"/>
        </w:rPr>
        <w:t>was performed via controlled experiments, to evaluate the interference of nitrite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the primary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0E5479" w:rsidRPr="00177203">
        <w:rPr>
          <w:rFonts w:eastAsia="宋体" w:cs="Times New Roman"/>
          <w:color w:val="000000" w:themeColor="text1"/>
          <w:sz w:val="24"/>
          <w:szCs w:val="24"/>
        </w:rPr>
        <w:t>RR intermediate) on urea quantification via the diacetyl monoxime-</w:t>
      </w:r>
      <w:proofErr w:type="spellStart"/>
      <w:r w:rsidR="000E5479" w:rsidRPr="00177203">
        <w:rPr>
          <w:rFonts w:eastAsia="宋体" w:cs="Times New Roman"/>
          <w:color w:val="000000" w:themeColor="text1"/>
          <w:sz w:val="24"/>
          <w:szCs w:val="24"/>
        </w:rPr>
        <w:t>thiosemicarbazide</w:t>
      </w:r>
      <w:proofErr w:type="spellEnd"/>
      <w:r w:rsidR="000E5479" w:rsidRPr="00177203">
        <w:rPr>
          <w:rFonts w:eastAsia="宋体" w:cs="Times New Roman"/>
          <w:color w:val="000000" w:themeColor="text1"/>
          <w:sz w:val="24"/>
          <w:szCs w:val="24"/>
        </w:rPr>
        <w:t xml:space="preserve"> method, and verify the accuracy and reliability of the quantitative protocol.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xml:space="preserve"> interference was tested at concentrations of 0–10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0E5479" w:rsidRPr="00177203">
        <w:rPr>
          <w:rFonts w:eastAsia="宋体" w:cs="Times New Roman"/>
          <w:color w:val="000000" w:themeColor="text1"/>
          <w:sz w:val="24"/>
          <w:szCs w:val="24"/>
        </w:rPr>
        <w:t xml:space="preserve"> (covering the full range detected in post-electrolysis electrolytes, maximum Faradaic efficiency &lt;2%) and 100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0E5479" w:rsidRPr="00177203">
        <w:rPr>
          <w:rFonts w:eastAsia="宋体" w:cs="Times New Roman"/>
          <w:color w:val="000000" w:themeColor="text1"/>
          <w:sz w:val="24"/>
          <w:szCs w:val="24"/>
        </w:rPr>
        <w:t xml:space="preserve"> (100 times the actual detected level, </w:t>
      </w:r>
      <w:r w:rsidR="00306188" w:rsidRPr="00177203">
        <w:rPr>
          <w:rFonts w:eastAsia="宋体" w:cs="Times New Roman"/>
          <w:color w:val="000000" w:themeColor="text1"/>
          <w:sz w:val="24"/>
          <w:szCs w:val="24"/>
        </w:rPr>
        <w:t>Supplementary</w:t>
      </w:r>
      <w:r w:rsidR="000E5479" w:rsidRPr="00177203">
        <w:rPr>
          <w:rFonts w:eastAsia="宋体" w:cs="Times New Roman"/>
          <w:color w:val="000000" w:themeColor="text1"/>
          <w:sz w:val="24"/>
          <w:szCs w:val="24"/>
        </w:rPr>
        <w:t xml:space="preserve"> Fig. 32). At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xml:space="preserve"> concentrations below 10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0E5479" w:rsidRPr="00177203">
        <w:rPr>
          <w:rFonts w:eastAsia="宋体" w:cs="Times New Roman"/>
          <w:color w:val="000000" w:themeColor="text1"/>
          <w:sz w:val="24"/>
          <w:szCs w:val="24"/>
        </w:rPr>
        <w:t xml:space="preserve">, the absorbance deviation of urea at 525 nm was less than 1.2% with no significant change in peak shape or position. Even at 100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000E5479"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the absorbance deviation remained below 4.5%, with the linear relationship between urea concentration and absorbance well maintained (R</w:t>
      </w:r>
      <w:r w:rsidR="00E63B12" w:rsidRPr="00177203">
        <w:rPr>
          <w:rFonts w:eastAsia="宋体" w:cs="Times New Roman"/>
          <w:color w:val="000000" w:themeColor="text1"/>
          <w:sz w:val="24"/>
          <w:szCs w:val="24"/>
          <w:vertAlign w:val="superscript"/>
        </w:rPr>
        <w:t>2</w:t>
      </w:r>
      <w:r w:rsidR="000E5479" w:rsidRPr="00177203">
        <w:rPr>
          <w:rFonts w:eastAsia="宋体" w:cs="Times New Roman"/>
          <w:color w:val="000000" w:themeColor="text1"/>
          <w:sz w:val="24"/>
          <w:szCs w:val="24"/>
        </w:rPr>
        <w:t xml:space="preserve"> &gt; 0.999). No characteristic absorption peak of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xml:space="preserve"> was observed at 525 nm, indicating no reaction between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xml:space="preserve"> and the chromogenic reagent or interfering by-products. These results confirm that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00E63B12" w:rsidRPr="00177203">
        <w:rPr>
          <w:rFonts w:eastAsia="宋体" w:cs="Times New Roman"/>
          <w:color w:val="000000" w:themeColor="text1"/>
          <w:sz w:val="24"/>
          <w:szCs w:val="24"/>
          <w:vertAlign w:val="superscript"/>
        </w:rPr>
        <w:t>–</w:t>
      </w:r>
      <w:r w:rsidR="000E5479" w:rsidRPr="00177203">
        <w:rPr>
          <w:rFonts w:eastAsia="宋体" w:cs="Times New Roman"/>
          <w:color w:val="000000" w:themeColor="text1"/>
          <w:sz w:val="24"/>
          <w:szCs w:val="24"/>
        </w:rPr>
        <w:t xml:space="preserve"> exerts negligible interference on urea quantification in the actual electrolysis system, ensuring the accuracy of the reported urea yield and Faradaic efficiency data.</w:t>
      </w:r>
      <w:r w:rsidR="00B36B72" w:rsidRPr="00177203">
        <w:rPr>
          <w:rFonts w:eastAsia="宋体" w:cs="Times New Roman"/>
          <w:color w:val="000000" w:themeColor="text1"/>
          <w:sz w:val="24"/>
          <w:szCs w:val="24"/>
        </w:rPr>
        <w:br w:type="page"/>
      </w:r>
    </w:p>
    <w:p w14:paraId="521175B1" w14:textId="285D59DB" w:rsidR="009B58B8" w:rsidRPr="00177203" w:rsidRDefault="009B58B8"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3.4. Electrocatalytic performance</w:t>
      </w:r>
    </w:p>
    <w:p w14:paraId="727EA82A" w14:textId="0D7C3A0A" w:rsidR="009B58B8" w:rsidRPr="00177203" w:rsidRDefault="009B58B8" w:rsidP="00C735C4">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The yield rate of urea and </w:t>
      </w:r>
      <w:r w:rsidR="00412B83" w:rsidRPr="00177203">
        <w:rPr>
          <w:rFonts w:eastAsia="宋体" w:cs="Times New Roman"/>
          <w:color w:val="000000" w:themeColor="text1"/>
          <w:sz w:val="24"/>
          <w:szCs w:val="24"/>
        </w:rPr>
        <w:t>byproducts (NH</w:t>
      </w:r>
      <w:r w:rsidR="001C13DF" w:rsidRPr="00177203">
        <w:rPr>
          <w:rFonts w:eastAsia="宋体" w:cs="Times New Roman"/>
          <w:color w:val="000000" w:themeColor="text1"/>
          <w:sz w:val="24"/>
          <w:szCs w:val="24"/>
          <w:vertAlign w:val="subscript"/>
        </w:rPr>
        <w:t>4</w:t>
      </w:r>
      <w:r w:rsidR="001C13DF" w:rsidRPr="00177203">
        <w:rPr>
          <w:rFonts w:eastAsia="宋体" w:cs="Times New Roman"/>
          <w:color w:val="000000" w:themeColor="text1"/>
          <w:sz w:val="24"/>
          <w:szCs w:val="24"/>
          <w:vertAlign w:val="superscript"/>
        </w:rPr>
        <w:t>+</w:t>
      </w:r>
      <w:r w:rsidR="00412B83" w:rsidRPr="00177203">
        <w:rPr>
          <w:rFonts w:eastAsia="宋体" w:cs="Times New Roman"/>
          <w:color w:val="000000" w:themeColor="text1"/>
          <w:sz w:val="24"/>
          <w:szCs w:val="24"/>
        </w:rPr>
        <w:t xml:space="preserve">, </w:t>
      </w:r>
      <w:r w:rsidR="001C13DF" w:rsidRPr="00177203">
        <w:rPr>
          <w:rFonts w:eastAsia="宋体" w:cs="Times New Roman"/>
          <w:color w:val="000000" w:themeColor="text1"/>
          <w:sz w:val="24"/>
          <w:szCs w:val="24"/>
        </w:rPr>
        <w:t>NO</w:t>
      </w:r>
      <w:r w:rsidR="001C13DF" w:rsidRPr="00177203">
        <w:rPr>
          <w:rFonts w:eastAsia="宋体" w:cs="Times New Roman"/>
          <w:color w:val="000000" w:themeColor="text1"/>
          <w:sz w:val="24"/>
          <w:szCs w:val="24"/>
          <w:vertAlign w:val="subscript"/>
        </w:rPr>
        <w:t>2</w:t>
      </w:r>
      <w:r w:rsidR="001C13DF" w:rsidRPr="00177203">
        <w:rPr>
          <w:rFonts w:eastAsia="宋体" w:cs="Times New Roman"/>
          <w:color w:val="000000" w:themeColor="text1"/>
          <w:sz w:val="24"/>
          <w:szCs w:val="24"/>
          <w:vertAlign w:val="superscript"/>
        </w:rPr>
        <w:t>–</w:t>
      </w:r>
      <w:r w:rsidR="001C13DF" w:rsidRPr="00177203">
        <w:rPr>
          <w:rFonts w:eastAsia="宋体" w:cs="Times New Roman"/>
          <w:color w:val="000000" w:themeColor="text1"/>
          <w:sz w:val="24"/>
          <w:szCs w:val="24"/>
        </w:rPr>
        <w:t>, H</w:t>
      </w:r>
      <w:r w:rsidR="001C13DF" w:rsidRPr="00177203">
        <w:rPr>
          <w:rFonts w:eastAsia="宋体" w:cs="Times New Roman"/>
          <w:color w:val="000000" w:themeColor="text1"/>
          <w:sz w:val="24"/>
          <w:szCs w:val="24"/>
          <w:vertAlign w:val="subscript"/>
        </w:rPr>
        <w:t>2</w:t>
      </w:r>
      <w:r w:rsidR="001C13DF" w:rsidRPr="00177203">
        <w:rPr>
          <w:rFonts w:eastAsia="宋体" w:cs="Times New Roman"/>
          <w:color w:val="000000" w:themeColor="text1"/>
          <w:sz w:val="24"/>
          <w:szCs w:val="24"/>
        </w:rPr>
        <w:t>, CO, NO, etc.</w:t>
      </w:r>
      <w:r w:rsidR="00412B83" w:rsidRPr="00177203">
        <w:rPr>
          <w:rFonts w:eastAsia="宋体" w:cs="Times New Roman"/>
          <w:color w:val="000000" w:themeColor="text1"/>
          <w:sz w:val="24"/>
          <w:szCs w:val="24"/>
        </w:rPr>
        <w:t>)</w:t>
      </w:r>
      <w:r w:rsidR="001C13DF" w:rsidRPr="00177203">
        <w:rPr>
          <w:rFonts w:eastAsia="宋体" w:cs="Times New Roman"/>
          <w:color w:val="000000" w:themeColor="text1"/>
          <w:sz w:val="24"/>
          <w:szCs w:val="24"/>
        </w:rPr>
        <w:t xml:space="preserve"> </w:t>
      </w:r>
      <w:r w:rsidR="0094125A"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calculated according following formula:</w:t>
      </w:r>
    </w:p>
    <w:p w14:paraId="00064B4D" w14:textId="3E51DD95" w:rsidR="009B58B8" w:rsidRPr="00177203" w:rsidRDefault="00000000" w:rsidP="005438CC">
      <w:pPr>
        <w:spacing w:afterLines="50" w:after="156"/>
        <w:ind w:firstLine="348"/>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 xml:space="preserve">= </m:t>
              </m:r>
              <m:f>
                <m:fPr>
                  <m:ctrlPr>
                    <w:rPr>
                      <w:rFonts w:ascii="Cambria Math" w:eastAsia="宋体" w:hAnsi="Cambria Math" w:cs="Times New Roman"/>
                      <w:i/>
                      <w:color w:val="000000" w:themeColor="text1"/>
                      <w:sz w:val="24"/>
                      <w:szCs w:val="24"/>
                    </w:rPr>
                  </m:ctrlPr>
                </m:fPr>
                <m:num>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×V</m:t>
                  </m:r>
                </m:num>
                <m:den>
                  <m:r>
                    <w:rPr>
                      <w:rFonts w:ascii="Cambria Math" w:eastAsia="宋体" w:hAnsi="Cambria Math" w:cs="Times New Roman"/>
                      <w:color w:val="000000" w:themeColor="text1"/>
                      <w:sz w:val="24"/>
                      <w:szCs w:val="24"/>
                    </w:rPr>
                    <m:t>t×m</m:t>
                  </m:r>
                </m:den>
              </m:f>
              <m:r>
                <w:rPr>
                  <w:rFonts w:ascii="Cambria Math" w:eastAsia="宋体" w:hAnsi="Cambria Math" w:cs="Times New Roman"/>
                  <w:color w:val="000000" w:themeColor="text1"/>
                  <w:sz w:val="24"/>
                  <w:szCs w:val="24"/>
                </w:rPr>
                <m:t>#</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4</m:t>
                  </m:r>
                </m:e>
              </m:d>
            </m:e>
          </m:eqArr>
        </m:oMath>
      </m:oMathPara>
    </w:p>
    <w:p w14:paraId="28EE749C" w14:textId="1E0BA2DF" w:rsidR="009B58B8" w:rsidRPr="00177203" w:rsidRDefault="00000000" w:rsidP="005438CC">
      <w:pPr>
        <w:spacing w:afterLines="50" w:after="156"/>
        <w:ind w:firstLine="348"/>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byproduct</m:t>
                  </m:r>
                </m:sub>
              </m:sSub>
              <m:r>
                <w:rPr>
                  <w:rFonts w:ascii="Cambria Math" w:eastAsia="宋体" w:hAnsi="Cambria Math" w:cs="Times New Roman"/>
                  <w:color w:val="000000" w:themeColor="text1"/>
                  <w:sz w:val="24"/>
                  <w:szCs w:val="24"/>
                </w:rPr>
                <m:t xml:space="preserve">= </m:t>
              </m:r>
              <m:f>
                <m:fPr>
                  <m:ctrlPr>
                    <w:rPr>
                      <w:rFonts w:ascii="Cambria Math" w:eastAsia="宋体" w:hAnsi="Cambria Math" w:cs="Times New Roman"/>
                      <w:i/>
                      <w:color w:val="000000" w:themeColor="text1"/>
                      <w:sz w:val="24"/>
                      <w:szCs w:val="24"/>
                    </w:rPr>
                  </m:ctrlPr>
                </m:fPr>
                <m:num>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byproduct</m:t>
                      </m:r>
                    </m:sub>
                  </m:sSub>
                  <m:r>
                    <w:rPr>
                      <w:rFonts w:ascii="Cambria Math" w:eastAsia="宋体" w:hAnsi="Cambria Math" w:cs="Times New Roman"/>
                      <w:color w:val="000000" w:themeColor="text1"/>
                      <w:sz w:val="24"/>
                      <w:szCs w:val="24"/>
                    </w:rPr>
                    <m:t>×V</m:t>
                  </m:r>
                </m:num>
                <m:den>
                  <m:r>
                    <w:rPr>
                      <w:rFonts w:ascii="Cambria Math" w:eastAsia="宋体" w:hAnsi="Cambria Math" w:cs="Times New Roman"/>
                      <w:color w:val="000000" w:themeColor="text1"/>
                      <w:sz w:val="24"/>
                      <w:szCs w:val="24"/>
                    </w:rPr>
                    <m:t>t×m</m:t>
                  </m:r>
                </m:den>
              </m:f>
              <m:r>
                <w:rPr>
                  <w:rFonts w:ascii="Cambria Math" w:eastAsia="宋体" w:hAnsi="Cambria Math" w:cs="Times New Roman"/>
                  <w:color w:val="000000" w:themeColor="text1"/>
                  <w:sz w:val="24"/>
                  <w:szCs w:val="24"/>
                </w:rPr>
                <m:t>#</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5</m:t>
                  </m:r>
                </m:e>
              </m:d>
            </m:e>
          </m:eqArr>
        </m:oMath>
      </m:oMathPara>
    </w:p>
    <w:p w14:paraId="5EFC5AC8" w14:textId="2634B0DF" w:rsidR="009B58B8" w:rsidRPr="00177203" w:rsidRDefault="009B58B8" w:rsidP="00631635">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urea</m:t>
            </m:r>
          </m:sub>
        </m:sSub>
      </m:oMath>
      <w:r w:rsidRPr="00177203">
        <w:rPr>
          <w:rFonts w:eastAsia="宋体" w:cs="Times New Roman"/>
          <w:color w:val="000000" w:themeColor="text1"/>
          <w:sz w:val="24"/>
          <w:szCs w:val="24"/>
        </w:rPr>
        <w:t xml:space="preserve">and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NH</m:t>
                </m:r>
              </m:e>
              <m:sub>
                <m:r>
                  <w:rPr>
                    <w:rFonts w:ascii="Cambria Math" w:eastAsia="宋体" w:hAnsi="Cambria Math" w:cs="Times New Roman"/>
                    <w:color w:val="000000" w:themeColor="text1"/>
                    <w:sz w:val="24"/>
                    <w:szCs w:val="24"/>
                  </w:rPr>
                  <m:t>3</m:t>
                </m:r>
              </m:sub>
            </m:sSub>
          </m:sub>
        </m:sSub>
      </m:oMath>
      <w:r w:rsidRPr="00177203">
        <w:rPr>
          <w:rFonts w:eastAsia="宋体" w:cs="Times New Roman"/>
          <w:color w:val="000000" w:themeColor="text1"/>
          <w:sz w:val="24"/>
          <w:szCs w:val="24"/>
        </w:rPr>
        <w:t>are the yield of urea and NH</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g g</w:t>
      </w:r>
      <w:r w:rsidRPr="00177203">
        <w:rPr>
          <w:rFonts w:eastAsia="宋体" w:cs="Times New Roman"/>
          <w:color w:val="000000" w:themeColor="text1"/>
          <w:sz w:val="24"/>
          <w:szCs w:val="24"/>
          <w:vertAlign w:val="subscript"/>
        </w:rPr>
        <w:t>cat</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h</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urea</m:t>
            </m:r>
          </m:sub>
        </m:sSub>
      </m:oMath>
      <w:r w:rsidRPr="00177203">
        <w:rPr>
          <w:rFonts w:eastAsia="宋体" w:cs="Times New Roman"/>
          <w:color w:val="000000" w:themeColor="text1"/>
          <w:sz w:val="24"/>
          <w:szCs w:val="24"/>
        </w:rPr>
        <w:t xml:space="preserve">and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byproduct</m:t>
            </m:r>
          </m:sub>
        </m:sSub>
        <m:r>
          <w:rPr>
            <w:rFonts w:ascii="Cambria Math" w:eastAsia="宋体" w:hAnsi="Cambria Math" w:cs="Times New Roman"/>
            <w:color w:val="000000" w:themeColor="text1"/>
            <w:sz w:val="24"/>
            <w:szCs w:val="24"/>
          </w:rPr>
          <m:t xml:space="preserve"> </m:t>
        </m:r>
      </m:oMath>
      <w:r w:rsidRPr="00177203">
        <w:rPr>
          <w:rFonts w:eastAsia="宋体" w:cs="Times New Roman"/>
          <w:color w:val="000000" w:themeColor="text1"/>
          <w:sz w:val="24"/>
          <w:szCs w:val="24"/>
        </w:rPr>
        <w:t xml:space="preserve">are the measured concentration of urea and </w:t>
      </w:r>
      <w:r w:rsidR="001C13DF" w:rsidRPr="00177203">
        <w:rPr>
          <w:rFonts w:eastAsia="宋体" w:cs="Times New Roman"/>
          <w:color w:val="000000" w:themeColor="text1"/>
          <w:sz w:val="24"/>
          <w:szCs w:val="24"/>
        </w:rPr>
        <w:t>byproducts</w:t>
      </w:r>
      <w:r w:rsidRPr="00177203">
        <w:rPr>
          <w:rFonts w:eastAsia="宋体" w:cs="Times New Roman"/>
          <w:color w:val="000000" w:themeColor="text1"/>
          <w:sz w:val="24"/>
          <w:szCs w:val="24"/>
        </w:rPr>
        <w:t>, g L</w:t>
      </w:r>
      <w:r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m:oMath>
        <m:r>
          <w:rPr>
            <w:rFonts w:ascii="Cambria Math" w:eastAsia="宋体" w:hAnsi="Cambria Math" w:cs="Times New Roman"/>
            <w:color w:val="000000" w:themeColor="text1"/>
            <w:sz w:val="24"/>
            <w:szCs w:val="24"/>
          </w:rPr>
          <m:t>V</m:t>
        </m:r>
      </m:oMath>
      <w:r w:rsidRPr="00177203">
        <w:rPr>
          <w:rFonts w:eastAsia="宋体" w:cs="Times New Roman"/>
          <w:color w:val="000000" w:themeColor="text1"/>
          <w:sz w:val="24"/>
          <w:szCs w:val="24"/>
        </w:rPr>
        <w:t xml:space="preserve"> is the volume of the cathode electrolyte, L; </w:t>
      </w:r>
      <m:oMath>
        <m:r>
          <w:rPr>
            <w:rFonts w:ascii="Cambria Math" w:eastAsia="宋体" w:hAnsi="Cambria Math" w:cs="Times New Roman"/>
            <w:color w:val="000000" w:themeColor="text1"/>
            <w:sz w:val="24"/>
            <w:szCs w:val="24"/>
          </w:rPr>
          <m:t>t</m:t>
        </m:r>
      </m:oMath>
      <w:r w:rsidRPr="00177203">
        <w:rPr>
          <w:rFonts w:eastAsia="宋体" w:cs="Times New Roman"/>
          <w:color w:val="000000" w:themeColor="text1"/>
          <w:sz w:val="24"/>
          <w:szCs w:val="24"/>
        </w:rPr>
        <w:t xml:space="preserve"> is the electrolysis time, h; </w:t>
      </w:r>
      <m:oMath>
        <m:r>
          <w:rPr>
            <w:rFonts w:ascii="Cambria Math" w:eastAsia="宋体" w:hAnsi="Cambria Math" w:cs="Times New Roman"/>
            <w:color w:val="000000" w:themeColor="text1"/>
            <w:sz w:val="24"/>
            <w:szCs w:val="24"/>
          </w:rPr>
          <m:t>m</m:t>
        </m:r>
      </m:oMath>
      <w:r w:rsidRPr="00177203">
        <w:rPr>
          <w:rFonts w:eastAsia="宋体" w:cs="Times New Roman"/>
          <w:color w:val="000000" w:themeColor="text1"/>
          <w:sz w:val="24"/>
          <w:szCs w:val="24"/>
        </w:rPr>
        <w:t xml:space="preserve"> is the mass of catalyst, g.</w:t>
      </w:r>
    </w:p>
    <w:p w14:paraId="123397AE" w14:textId="28CAE4EE" w:rsidR="009B58B8" w:rsidRPr="00177203" w:rsidRDefault="009B58B8" w:rsidP="00631635">
      <w:pPr>
        <w:spacing w:afterLines="50" w:after="156"/>
        <w:ind w:firstLine="348"/>
        <w:rPr>
          <w:rFonts w:eastAsia="宋体" w:cs="Times New Roman"/>
          <w:color w:val="000000" w:themeColor="text1"/>
          <w:sz w:val="24"/>
          <w:szCs w:val="24"/>
        </w:rPr>
      </w:pPr>
      <w:r w:rsidRPr="00177203">
        <w:rPr>
          <w:rFonts w:eastAsia="宋体" w:cs="Times New Roman"/>
          <w:color w:val="000000" w:themeColor="text1"/>
          <w:sz w:val="24"/>
          <w:szCs w:val="24"/>
        </w:rPr>
        <w:t>The Faradaic efficiency (FE) quantifie</w:t>
      </w:r>
      <w:r w:rsidR="0094125A"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 the efficiency of an electrochemical reaction by comparing the actual charge utilized for product formation to the total charge passed through the system. The FE of urea</w:t>
      </w:r>
      <w:r w:rsidR="00706E93" w:rsidRPr="00177203">
        <w:rPr>
          <w:rFonts w:eastAsia="宋体" w:cs="Times New Roman"/>
          <w:color w:val="000000" w:themeColor="text1"/>
          <w:sz w:val="24"/>
          <w:szCs w:val="24"/>
        </w:rPr>
        <w:t xml:space="preserve"> and byproducts </w:t>
      </w:r>
      <w:r w:rsidR="0094125A"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calculated using the following equations</w:t>
      </w:r>
      <w:r w:rsidR="002954F8" w:rsidRPr="00177203">
        <w:rPr>
          <w:rFonts w:eastAsia="宋体" w:cs="Times New Roman"/>
          <w:noProof/>
          <w:color w:val="0070C0"/>
          <w:sz w:val="24"/>
          <w:szCs w:val="24"/>
          <w:vertAlign w:val="superscript"/>
        </w:rPr>
        <w:t>23</w:t>
      </w:r>
      <w:r w:rsidRPr="00177203">
        <w:rPr>
          <w:rFonts w:eastAsia="宋体" w:cs="Times New Roman"/>
          <w:color w:val="000000" w:themeColor="text1"/>
          <w:sz w:val="24"/>
          <w:szCs w:val="24"/>
        </w:rPr>
        <w:t>:</w:t>
      </w:r>
    </w:p>
    <w:p w14:paraId="604EACB3" w14:textId="582F2424" w:rsidR="009B58B8" w:rsidRPr="00177203" w:rsidRDefault="00000000" w:rsidP="005438CC">
      <w:pPr>
        <w:spacing w:afterLines="50" w:after="156"/>
        <w:ind w:firstLine="348"/>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FE</m:t>
                  </m:r>
                </m:e>
                <m:sub>
                  <m:r>
                    <w:rPr>
                      <w:rFonts w:ascii="Cambria Math" w:eastAsia="宋体" w:hAnsi="Cambria Math" w:cs="Times New Roman"/>
                      <w:color w:val="000000" w:themeColor="text1"/>
                      <w:sz w:val="24"/>
                      <w:szCs w:val="24"/>
                    </w:rPr>
                    <m:t>urea</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m:t>
                  </m:r>
                </m:e>
              </m:d>
              <m:r>
                <w:rPr>
                  <w:rFonts w:ascii="Cambria Math" w:eastAsia="宋体" w:hAnsi="Cambria Math" w:cs="Times New Roman"/>
                  <w:color w:val="000000" w:themeColor="text1"/>
                  <w:sz w:val="24"/>
                  <w:szCs w:val="24"/>
                </w:rPr>
                <m:t xml:space="preserve">= </m:t>
              </m:r>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16×F×</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×V</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M</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×Q</m:t>
                  </m:r>
                </m:den>
              </m:f>
              <m:r>
                <w:rPr>
                  <w:rFonts w:ascii="Cambria Math" w:eastAsia="宋体" w:hAnsi="Cambria Math" w:cs="Times New Roman"/>
                  <w:color w:val="000000" w:themeColor="text1"/>
                  <w:sz w:val="24"/>
                  <w:szCs w:val="24"/>
                </w:rPr>
                <m:t>×100%#</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6</m:t>
                  </m:r>
                </m:e>
              </m:d>
            </m:e>
          </m:eqArr>
        </m:oMath>
      </m:oMathPara>
    </w:p>
    <w:p w14:paraId="65AF3DFD" w14:textId="063AA500" w:rsidR="009B58B8" w:rsidRPr="00177203" w:rsidRDefault="00000000" w:rsidP="005438CC">
      <w:pPr>
        <w:spacing w:afterLines="50" w:after="156"/>
        <w:ind w:firstLine="348"/>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FE</m:t>
                  </m:r>
                </m:e>
                <m:sub>
                  <m:r>
                    <w:rPr>
                      <w:rFonts w:ascii="Cambria Math" w:eastAsia="宋体" w:hAnsi="Cambria Math" w:cs="Times New Roman"/>
                      <w:color w:val="000000" w:themeColor="text1"/>
                      <w:sz w:val="24"/>
                      <w:szCs w:val="24"/>
                    </w:rPr>
                    <m:t>byproduct</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m:t>
                  </m:r>
                </m:e>
              </m:d>
              <m:r>
                <w:rPr>
                  <w:rFonts w:ascii="Cambria Math" w:eastAsia="宋体" w:hAnsi="Cambria Math" w:cs="Times New Roman"/>
                  <w:color w:val="000000" w:themeColor="text1"/>
                  <w:sz w:val="24"/>
                  <w:szCs w:val="24"/>
                </w:rPr>
                <m:t xml:space="preserve">= </m:t>
              </m:r>
              <m:f>
                <m:fPr>
                  <m:ctrlPr>
                    <w:rPr>
                      <w:rFonts w:ascii="Cambria Math" w:eastAsia="宋体" w:hAnsi="Cambria Math" w:cs="Times New Roman"/>
                      <w:i/>
                      <w:color w:val="000000" w:themeColor="text1"/>
                      <w:sz w:val="24"/>
                      <w:szCs w:val="24"/>
                    </w:rPr>
                  </m:ctrlPr>
                </m:fPr>
                <m:num>
                  <m:r>
                    <w:rPr>
                      <w:rFonts w:ascii="Cambria Math" w:eastAsia="宋体" w:hAnsi="Cambria Math" w:cs="Times New Roman"/>
                      <w:color w:val="000000" w:themeColor="text1"/>
                      <w:sz w:val="24"/>
                      <w:szCs w:val="24"/>
                    </w:rPr>
                    <m:t>n</m:t>
                  </m:r>
                  <m:r>
                    <w:rPr>
                      <w:rFonts w:ascii="Cambria Math" w:eastAsia="宋体" w:hAnsi="Cambria Math" w:cs="Times New Roman"/>
                      <w:color w:val="000000" w:themeColor="text1"/>
                      <w:sz w:val="24"/>
                      <w:szCs w:val="24"/>
                    </w:rPr>
                    <m:t>×F×</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byproduct</m:t>
                      </m:r>
                    </m:sub>
                  </m:sSub>
                  <m:r>
                    <w:rPr>
                      <w:rFonts w:ascii="Cambria Math" w:eastAsia="宋体" w:hAnsi="Cambria Math" w:cs="Times New Roman"/>
                      <w:color w:val="000000" w:themeColor="text1"/>
                      <w:sz w:val="24"/>
                      <w:szCs w:val="24"/>
                    </w:rPr>
                    <m:t>×V</m:t>
                  </m:r>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M</m:t>
                      </m:r>
                    </m:e>
                    <m:sub>
                      <m:r>
                        <w:rPr>
                          <w:rFonts w:ascii="Cambria Math" w:eastAsia="宋体" w:hAnsi="Cambria Math" w:cs="Times New Roman"/>
                          <w:color w:val="000000" w:themeColor="text1"/>
                          <w:sz w:val="24"/>
                          <w:szCs w:val="24"/>
                        </w:rPr>
                        <m:t>byproduct</m:t>
                      </m:r>
                    </m:sub>
                  </m:sSub>
                  <m:r>
                    <w:rPr>
                      <w:rFonts w:ascii="Cambria Math" w:eastAsia="宋体" w:hAnsi="Cambria Math" w:cs="Times New Roman"/>
                      <w:color w:val="000000" w:themeColor="text1"/>
                      <w:sz w:val="24"/>
                      <w:szCs w:val="24"/>
                    </w:rPr>
                    <m:t>×Q</m:t>
                  </m:r>
                </m:den>
              </m:f>
              <m:r>
                <w:rPr>
                  <w:rFonts w:ascii="Cambria Math" w:eastAsia="宋体" w:hAnsi="Cambria Math" w:cs="Times New Roman"/>
                  <w:color w:val="000000" w:themeColor="text1"/>
                  <w:sz w:val="24"/>
                  <w:szCs w:val="24"/>
                </w:rPr>
                <m:t>×100%#</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7</m:t>
                  </m:r>
                </m:e>
              </m:d>
            </m:e>
          </m:eqArr>
        </m:oMath>
      </m:oMathPara>
    </w:p>
    <w:p w14:paraId="643A2923" w14:textId="742C4769" w:rsidR="009B58B8" w:rsidRPr="00177203" w:rsidRDefault="00F02E28" w:rsidP="0094125A">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w</w:t>
      </w:r>
      <w:r w:rsidR="009B58B8" w:rsidRPr="00177203">
        <w:rPr>
          <w:rFonts w:eastAsia="宋体" w:cs="Times New Roman"/>
          <w:color w:val="000000" w:themeColor="text1"/>
          <w:sz w:val="24"/>
          <w:szCs w:val="24"/>
        </w:rPr>
        <w:t>here</w:t>
      </w:r>
      <w:r w:rsidRPr="00177203">
        <w:rPr>
          <w:rFonts w:eastAsia="宋体" w:cs="Times New Roman"/>
          <w:color w:val="000000" w:themeColor="text1"/>
          <w:sz w:val="24"/>
          <w:szCs w:val="24"/>
        </w:rPr>
        <w:t xml:space="preserve"> </w:t>
      </w:r>
      <m:oMath>
        <m:r>
          <w:rPr>
            <w:rFonts w:ascii="Cambria Math" w:eastAsia="宋体" w:hAnsi="Cambria Math" w:cs="Times New Roman"/>
            <w:color w:val="000000" w:themeColor="text1"/>
            <w:sz w:val="24"/>
            <w:szCs w:val="24"/>
          </w:rPr>
          <m:t>n</m:t>
        </m:r>
      </m:oMath>
      <w:r w:rsidRPr="00177203">
        <w:rPr>
          <w:rFonts w:eastAsia="宋体" w:cs="Times New Roman"/>
          <w:color w:val="000000" w:themeColor="text1"/>
          <w:sz w:val="24"/>
          <w:szCs w:val="24"/>
        </w:rPr>
        <w:t xml:space="preserve"> is the electron transfer number,</w:t>
      </w:r>
      <w:r w:rsidR="009B58B8" w:rsidRPr="00177203">
        <w:rPr>
          <w:rFonts w:eastAsia="宋体" w:cs="Times New Roman"/>
          <w:color w:val="000000" w:themeColor="text1"/>
          <w:sz w:val="24"/>
          <w:szCs w:val="24"/>
        </w:rPr>
        <w:t xml:space="preserve"> </w:t>
      </w:r>
      <w:r w:rsidR="009B58B8" w:rsidRPr="00177203">
        <w:rPr>
          <w:rFonts w:eastAsia="宋体" w:cs="Times New Roman"/>
          <w:i/>
          <w:iCs/>
          <w:color w:val="000000" w:themeColor="text1"/>
          <w:sz w:val="24"/>
          <w:szCs w:val="24"/>
        </w:rPr>
        <w:t>F</w:t>
      </w:r>
      <w:r w:rsidR="009B58B8" w:rsidRPr="00177203">
        <w:rPr>
          <w:rFonts w:eastAsia="宋体" w:cs="Times New Roman"/>
          <w:color w:val="000000" w:themeColor="text1"/>
          <w:sz w:val="24"/>
          <w:szCs w:val="24"/>
        </w:rPr>
        <w:t xml:space="preserve"> is the Faradaic constant (96,485 C mol</w:t>
      </w:r>
      <w:r w:rsidR="009B58B8" w:rsidRPr="00177203">
        <w:rPr>
          <w:rFonts w:eastAsia="宋体" w:cs="Times New Roman"/>
          <w:color w:val="000000" w:themeColor="text1"/>
          <w:sz w:val="24"/>
          <w:szCs w:val="24"/>
          <w:vertAlign w:val="superscript"/>
        </w:rPr>
        <w:t>–1</w:t>
      </w:r>
      <w:r w:rsidR="009B58B8" w:rsidRPr="00177203">
        <w:rPr>
          <w:rFonts w:eastAsia="宋体" w:cs="Times New Roman"/>
          <w:color w:val="000000" w:themeColor="text1"/>
          <w:sz w:val="24"/>
          <w:szCs w:val="24"/>
        </w:rPr>
        <w:t xml:space="preserv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urea</m:t>
            </m:r>
          </m:sub>
        </m:sSub>
      </m:oMath>
      <w:r w:rsidR="001C13DF" w:rsidRPr="00177203">
        <w:rPr>
          <w:rFonts w:eastAsia="宋体" w:cs="Times New Roman"/>
          <w:color w:val="000000" w:themeColor="text1"/>
          <w:sz w:val="24"/>
          <w:szCs w:val="24"/>
        </w:rPr>
        <w:t xml:space="preserve"> and</w:t>
      </w:r>
      <w:r w:rsidR="009B58B8" w:rsidRPr="00177203">
        <w:rPr>
          <w:rFonts w:eastAsia="宋体" w:cs="Times New Roman"/>
          <w:color w:val="000000" w:themeColor="text1"/>
          <w:sz w:val="24"/>
          <w:szCs w:val="24"/>
        </w:rPr>
        <w:t xml:space="preserv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byproduct</m:t>
            </m:r>
          </m:sub>
        </m:sSub>
      </m:oMath>
      <w:r w:rsidR="009B58B8" w:rsidRPr="00177203">
        <w:rPr>
          <w:rFonts w:eastAsia="宋体" w:cs="Times New Roman"/>
          <w:color w:val="000000" w:themeColor="text1"/>
          <w:sz w:val="24"/>
          <w:szCs w:val="24"/>
        </w:rPr>
        <w:t xml:space="preserve"> are the measured concentration of urea and </w:t>
      </w:r>
      <w:r w:rsidR="001C13DF" w:rsidRPr="00177203">
        <w:rPr>
          <w:rFonts w:eastAsia="宋体" w:cs="Times New Roman"/>
          <w:color w:val="000000" w:themeColor="text1"/>
          <w:sz w:val="24"/>
          <w:szCs w:val="24"/>
        </w:rPr>
        <w:t>byproducts</w:t>
      </w:r>
      <w:r w:rsidR="009B58B8" w:rsidRPr="00177203">
        <w:rPr>
          <w:rFonts w:eastAsia="宋体" w:cs="Times New Roman"/>
          <w:color w:val="000000" w:themeColor="text1"/>
          <w:sz w:val="24"/>
          <w:szCs w:val="24"/>
        </w:rPr>
        <w:t>, g L</w:t>
      </w:r>
      <w:r w:rsidR="009B58B8" w:rsidRPr="00177203">
        <w:rPr>
          <w:rFonts w:eastAsia="宋体" w:cs="Times New Roman"/>
          <w:color w:val="000000" w:themeColor="text1"/>
          <w:sz w:val="24"/>
          <w:szCs w:val="24"/>
          <w:vertAlign w:val="superscript"/>
        </w:rPr>
        <w:t>−1</w:t>
      </w:r>
      <w:r w:rsidR="009B58B8" w:rsidRPr="00177203">
        <w:rPr>
          <w:rFonts w:eastAsia="宋体" w:cs="Times New Roman"/>
          <w:color w:val="000000" w:themeColor="text1"/>
          <w:sz w:val="24"/>
          <w:szCs w:val="24"/>
        </w:rPr>
        <w:t xml:space="preserve">; </w:t>
      </w:r>
      <m:oMath>
        <m:r>
          <w:rPr>
            <w:rFonts w:ascii="Cambria Math" w:eastAsia="宋体" w:hAnsi="Cambria Math" w:cs="Times New Roman"/>
            <w:color w:val="000000" w:themeColor="text1"/>
            <w:sz w:val="24"/>
            <w:szCs w:val="24"/>
          </w:rPr>
          <m:t>V</m:t>
        </m:r>
      </m:oMath>
      <w:r w:rsidR="009B58B8" w:rsidRPr="00177203">
        <w:rPr>
          <w:rFonts w:eastAsia="宋体" w:cs="Times New Roman"/>
          <w:color w:val="000000" w:themeColor="text1"/>
          <w:sz w:val="24"/>
          <w:szCs w:val="24"/>
        </w:rPr>
        <w:t xml:space="preserve"> is the volume of the cathode electrolyte, L;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M</m:t>
            </m:r>
          </m:e>
          <m:sub>
            <m:r>
              <w:rPr>
                <w:rFonts w:ascii="Cambria Math" w:eastAsia="宋体" w:hAnsi="Cambria Math" w:cs="Times New Roman"/>
                <w:color w:val="000000" w:themeColor="text1"/>
                <w:sz w:val="24"/>
                <w:szCs w:val="24"/>
              </w:rPr>
              <m:t>urea</m:t>
            </m:r>
          </m:sub>
        </m:sSub>
      </m:oMath>
      <w:r w:rsidR="009B58B8" w:rsidRPr="00177203">
        <w:rPr>
          <w:rFonts w:eastAsia="宋体" w:cs="Times New Roman"/>
          <w:color w:val="000000" w:themeColor="text1"/>
          <w:sz w:val="24"/>
          <w:szCs w:val="24"/>
        </w:rPr>
        <w:t xml:space="preserve"> and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M</m:t>
            </m:r>
          </m:e>
          <m:sub>
            <m:r>
              <w:rPr>
                <w:rFonts w:ascii="Cambria Math" w:eastAsia="宋体" w:hAnsi="Cambria Math" w:cs="Times New Roman"/>
                <w:color w:val="000000" w:themeColor="text1"/>
                <w:sz w:val="24"/>
                <w:szCs w:val="24"/>
              </w:rPr>
              <m:t>byproduct</m:t>
            </m:r>
          </m:sub>
        </m:sSub>
      </m:oMath>
      <w:r w:rsidR="009B58B8" w:rsidRPr="00177203">
        <w:rPr>
          <w:rFonts w:eastAsia="宋体" w:cs="Times New Roman"/>
          <w:color w:val="000000" w:themeColor="text1"/>
          <w:sz w:val="24"/>
          <w:szCs w:val="24"/>
        </w:rPr>
        <w:t xml:space="preserve"> are the relative molar mass, g mol</w:t>
      </w:r>
      <w:r w:rsidR="009B58B8" w:rsidRPr="00177203">
        <w:rPr>
          <w:rFonts w:eastAsia="宋体" w:cs="Times New Roman"/>
          <w:color w:val="000000" w:themeColor="text1"/>
          <w:sz w:val="24"/>
          <w:szCs w:val="24"/>
          <w:vertAlign w:val="superscript"/>
        </w:rPr>
        <w:t>−1</w:t>
      </w:r>
      <w:r w:rsidR="009B58B8" w:rsidRPr="00177203">
        <w:rPr>
          <w:rFonts w:eastAsia="宋体" w:cs="Times New Roman"/>
          <w:color w:val="000000" w:themeColor="text1"/>
          <w:sz w:val="24"/>
          <w:szCs w:val="24"/>
        </w:rPr>
        <w:t xml:space="preserve">; </w:t>
      </w:r>
      <m:oMath>
        <m:r>
          <w:rPr>
            <w:rFonts w:ascii="Cambria Math" w:eastAsia="宋体" w:hAnsi="Cambria Math" w:cs="Times New Roman"/>
            <w:color w:val="000000" w:themeColor="text1"/>
            <w:sz w:val="24"/>
            <w:szCs w:val="24"/>
          </w:rPr>
          <m:t>Q</m:t>
        </m:r>
      </m:oMath>
      <w:r w:rsidR="009B58B8" w:rsidRPr="00177203">
        <w:rPr>
          <w:rFonts w:eastAsia="宋体" w:cs="Times New Roman"/>
          <w:color w:val="000000" w:themeColor="text1"/>
          <w:sz w:val="24"/>
          <w:szCs w:val="24"/>
        </w:rPr>
        <w:t xml:space="preserve"> is the total charge flowing through the working electrode.</w:t>
      </w:r>
    </w:p>
    <w:p w14:paraId="4D850C14" w14:textId="4489DEEE" w:rsidR="00384737" w:rsidRPr="00177203" w:rsidRDefault="0064267F" w:rsidP="006025E2">
      <w:pPr>
        <w:spacing w:afterLines="50" w:after="156"/>
        <w:rPr>
          <w:rFonts w:eastAsia="宋体" w:cs="Times New Roman"/>
          <w:color w:val="000000" w:themeColor="text1"/>
          <w:sz w:val="24"/>
          <w:szCs w:val="24"/>
        </w:rPr>
      </w:pPr>
      <w:r w:rsidRPr="00177203">
        <w:rPr>
          <w:rFonts w:eastAsia="宋体" w:cs="Times New Roman"/>
          <w:b/>
          <w:bCs/>
          <w:color w:val="000000" w:themeColor="text1"/>
          <w:sz w:val="24"/>
          <w:szCs w:val="24"/>
        </w:rPr>
        <w:t>Turnover frequency (TOF):</w:t>
      </w:r>
      <w:r w:rsidR="006025E2" w:rsidRPr="00177203">
        <w:rPr>
          <w:rFonts w:eastAsia="宋体" w:cs="Times New Roman"/>
          <w:color w:val="000000" w:themeColor="text1"/>
          <w:sz w:val="24"/>
          <w:szCs w:val="24"/>
        </w:rPr>
        <w:t xml:space="preserve"> </w:t>
      </w:r>
      <w:r w:rsidR="00384737" w:rsidRPr="00177203">
        <w:rPr>
          <w:rFonts w:eastAsia="宋体" w:cs="Times New Roman"/>
          <w:color w:val="000000" w:themeColor="text1"/>
          <w:sz w:val="24"/>
          <w:szCs w:val="24"/>
        </w:rPr>
        <w:t xml:space="preserve">TOF is defined as the number of target urea molecules formed per active site per hour, representing the intrinsic activity of single-atom active sites. The calculation formula is given as: </w:t>
      </w:r>
    </w:p>
    <w:p w14:paraId="5AAFDFD4" w14:textId="7627C746" w:rsidR="00AB51B3" w:rsidRPr="00177203" w:rsidRDefault="00000000" w:rsidP="00BF6D15">
      <w:pPr>
        <w:spacing w:afterLines="50" w:after="156"/>
        <w:jc w:val="center"/>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TOF=</m:t>
              </m:r>
              <m:f>
                <m:fPr>
                  <m:ctrlPr>
                    <w:rPr>
                      <w:rFonts w:ascii="Cambria Math" w:eastAsia="宋体" w:hAnsi="Cambria Math" w:cs="Times New Roman"/>
                      <w:i/>
                      <w:color w:val="000000" w:themeColor="text1"/>
                      <w:sz w:val="24"/>
                      <w:szCs w:val="24"/>
                    </w:rPr>
                  </m:ctrlPr>
                </m:fPr>
                <m:num>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A</m:t>
                      </m:r>
                    </m:sub>
                  </m:sSub>
                </m:num>
                <m:den>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Cu</m:t>
                      </m:r>
                    </m:sub>
                  </m:sSub>
                  <m:r>
                    <w:rPr>
                      <w:rFonts w:ascii="Cambria Math" w:eastAsia="宋体" w:hAnsi="Cambria Math" w:cs="Times New Roman"/>
                      <w:color w:val="000000" w:themeColor="text1"/>
                      <w:sz w:val="24"/>
                      <w:szCs w:val="24"/>
                    </w:rPr>
                    <m:t>×t</m:t>
                  </m:r>
                </m:den>
              </m:f>
              <m:r>
                <w:rPr>
                  <w:rFonts w:ascii="Cambria Math" w:eastAsia="宋体" w:hAnsi="Cambria Math" w:cs="Times New Roman"/>
                  <w:color w:val="000000" w:themeColor="text1"/>
                  <w:sz w:val="24"/>
                  <w:szCs w:val="24"/>
                </w:rPr>
                <m:t>#(8)</m:t>
              </m:r>
            </m:e>
          </m:eqArr>
        </m:oMath>
      </m:oMathPara>
    </w:p>
    <w:p w14:paraId="4AFCE7FB" w14:textId="416D6C60" w:rsidR="00927962" w:rsidRDefault="00384737" w:rsidP="00400916">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urea</m:t>
            </m:r>
          </m:sub>
        </m:sSub>
        <m:r>
          <w:rPr>
            <w:rFonts w:ascii="Cambria Math" w:eastAsia="宋体" w:hAnsi="Cambria Math" w:cs="Times New Roman"/>
            <w:color w:val="000000" w:themeColor="text1"/>
            <w:sz w:val="24"/>
            <w:szCs w:val="24"/>
          </w:rPr>
          <m:t xml:space="preserve"> </m:t>
        </m:r>
      </m:oMath>
      <w:r w:rsidRPr="00177203">
        <w:rPr>
          <w:rFonts w:eastAsia="宋体" w:cs="Times New Roman"/>
          <w:color w:val="000000" w:themeColor="text1"/>
          <w:sz w:val="24"/>
          <w:szCs w:val="24"/>
        </w:rPr>
        <w:t>is the molar amount of synthesized urea</w:t>
      </w:r>
      <w:r w:rsidR="00FA0777"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 xml:space="preserve">mol,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A</m:t>
            </m:r>
          </m:sub>
        </m:sSub>
        <m:r>
          <w:rPr>
            <w:rFonts w:ascii="Cambria Math" w:eastAsia="宋体" w:hAnsi="Cambria Math" w:cs="Times New Roman"/>
            <w:color w:val="000000" w:themeColor="text1"/>
            <w:sz w:val="24"/>
            <w:szCs w:val="24"/>
          </w:rPr>
          <m:t xml:space="preserve"> </m:t>
        </m:r>
      </m:oMath>
      <w:r w:rsidRPr="00177203">
        <w:rPr>
          <w:rFonts w:eastAsia="宋体" w:cs="Times New Roman"/>
          <w:color w:val="000000" w:themeColor="text1"/>
          <w:sz w:val="24"/>
          <w:szCs w:val="24"/>
        </w:rPr>
        <w:t>is Avogadro’s constant</w:t>
      </w:r>
      <w:r w:rsidR="00FA0777"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6.022×10</w:t>
      </w:r>
      <w:r w:rsidR="001C13DF" w:rsidRPr="00177203">
        <w:rPr>
          <w:rFonts w:eastAsia="宋体" w:cs="Times New Roman"/>
          <w:color w:val="000000" w:themeColor="text1"/>
          <w:sz w:val="24"/>
          <w:szCs w:val="24"/>
          <w:vertAlign w:val="superscript"/>
        </w:rPr>
        <w:t>23</w:t>
      </w:r>
      <w:r w:rsidRPr="00177203">
        <w:rPr>
          <w:rFonts w:eastAsia="宋体" w:cs="Times New Roman"/>
          <w:color w:val="000000" w:themeColor="text1"/>
          <w:sz w:val="24"/>
          <w:szCs w:val="24"/>
        </w:rPr>
        <w:t xml:space="preserve">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n</m:t>
            </m:r>
          </m:e>
          <m:sub>
            <m:r>
              <w:rPr>
                <w:rFonts w:ascii="Cambria Math" w:eastAsia="宋体" w:hAnsi="Cambria Math" w:cs="Times New Roman"/>
                <w:color w:val="000000" w:themeColor="text1"/>
                <w:sz w:val="24"/>
                <w:szCs w:val="24"/>
              </w:rPr>
              <m:t>Cu</m:t>
            </m:r>
          </m:sub>
        </m:sSub>
      </m:oMath>
      <w:r w:rsidRPr="00177203">
        <w:rPr>
          <w:rFonts w:eastAsia="宋体" w:cs="Times New Roman"/>
          <w:color w:val="000000" w:themeColor="text1"/>
          <w:sz w:val="24"/>
          <w:szCs w:val="24"/>
        </w:rPr>
        <w:t xml:space="preserve"> is the molar amount of effective </w:t>
      </w:r>
      <w:r w:rsidR="00E63B12"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active sites, and </w:t>
      </w:r>
      <m:oMath>
        <m:r>
          <w:rPr>
            <w:rFonts w:ascii="Cambria Math" w:eastAsia="宋体" w:hAnsi="Cambria Math" w:cs="Times New Roman"/>
            <w:color w:val="000000" w:themeColor="text1"/>
            <w:sz w:val="24"/>
            <w:szCs w:val="24"/>
          </w:rPr>
          <m:t>t</m:t>
        </m:r>
      </m:oMath>
      <w:r w:rsidRPr="00177203">
        <w:rPr>
          <w:rFonts w:eastAsia="宋体" w:cs="Times New Roman"/>
          <w:color w:val="000000" w:themeColor="text1"/>
          <w:sz w:val="24"/>
          <w:szCs w:val="24"/>
        </w:rPr>
        <w:t xml:space="preserve"> is the reaction time</w:t>
      </w:r>
      <w:r w:rsidR="00FA0777"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h.</w:t>
      </w:r>
    </w:p>
    <w:p w14:paraId="67B79938" w14:textId="23B03AF4" w:rsidR="00FA0777" w:rsidRPr="00177203" w:rsidRDefault="00927962" w:rsidP="00927962">
      <w:pPr>
        <w:spacing w:afterLines="50" w:after="156"/>
        <w:ind w:firstLine="420"/>
        <w:rPr>
          <w:rFonts w:eastAsia="宋体" w:cs="Times New Roman"/>
          <w:color w:val="000000" w:themeColor="text1"/>
          <w:sz w:val="24"/>
          <w:szCs w:val="24"/>
        </w:rPr>
      </w:pPr>
      <w:r w:rsidRPr="00927962">
        <w:rPr>
          <w:rFonts w:eastAsia="宋体" w:cs="Times New Roman"/>
          <w:color w:val="000000" w:themeColor="text1"/>
          <w:sz w:val="24"/>
          <w:szCs w:val="24"/>
        </w:rPr>
        <w:t>The TOF value of tZIF-Cu</w:t>
      </w:r>
      <w:r w:rsidRPr="00927962">
        <w:rPr>
          <w:rFonts w:eastAsia="宋体" w:cs="Times New Roman"/>
          <w:color w:val="000000" w:themeColor="text1"/>
          <w:sz w:val="24"/>
          <w:szCs w:val="24"/>
          <w:vertAlign w:val="subscript"/>
        </w:rPr>
        <w:t>900</w:t>
      </w:r>
      <w:r w:rsidRPr="00927962">
        <w:rPr>
          <w:rFonts w:eastAsia="宋体" w:cs="Times New Roman"/>
          <w:color w:val="000000" w:themeColor="text1"/>
          <w:sz w:val="24"/>
          <w:szCs w:val="24"/>
        </w:rPr>
        <w:t xml:space="preserve"> was calculated based on experimentally measured parameters in this work. The Cu mass fraction of tZIF-Cu</w:t>
      </w:r>
      <w:r w:rsidRPr="00927962">
        <w:rPr>
          <w:rFonts w:eastAsia="宋体" w:cs="Times New Roman"/>
          <w:color w:val="000000" w:themeColor="text1"/>
          <w:sz w:val="24"/>
          <w:szCs w:val="24"/>
          <w:vertAlign w:val="subscript"/>
        </w:rPr>
        <w:t>900</w:t>
      </w:r>
      <w:r w:rsidRPr="00927962">
        <w:rPr>
          <w:rFonts w:eastAsia="宋体" w:cs="Times New Roman"/>
          <w:color w:val="000000" w:themeColor="text1"/>
          <w:sz w:val="24"/>
          <w:szCs w:val="24"/>
        </w:rPr>
        <w:t xml:space="preserve"> was determined to be 0.22 wt% by ICP-OES, and AC HAADF-STEM characterization confirmed that Cu species were fully atomically dispersed without agglomeration, so the total molar amount of Cu was adopted as the molar amount of effective Cu–</w:t>
      </w:r>
      <w:r>
        <w:rPr>
          <w:rFonts w:eastAsia="宋体" w:cs="Times New Roman"/>
          <w:color w:val="000000" w:themeColor="text1"/>
          <w:sz w:val="24"/>
          <w:szCs w:val="24"/>
        </w:rPr>
        <w:t>N</w:t>
      </w:r>
      <w:r w:rsidRPr="00927962">
        <w:rPr>
          <w:rFonts w:eastAsia="宋体" w:cs="Times New Roman"/>
          <w:color w:val="000000" w:themeColor="text1"/>
          <w:sz w:val="24"/>
          <w:szCs w:val="24"/>
          <w:vertAlign w:val="subscript"/>
        </w:rPr>
        <w:t>4</w:t>
      </w:r>
      <w:r w:rsidRPr="00927962">
        <w:rPr>
          <w:rFonts w:eastAsia="宋体" w:cs="Times New Roman"/>
          <w:color w:val="000000" w:themeColor="text1"/>
          <w:sz w:val="24"/>
          <w:szCs w:val="24"/>
        </w:rPr>
        <w:t xml:space="preserve"> active sites. The TOF value was calculated using the urea yield rate of 10.97 g g</w:t>
      </w:r>
      <w:r w:rsidRPr="00927962">
        <w:rPr>
          <w:rFonts w:eastAsia="宋体" w:cs="Times New Roman"/>
          <w:color w:val="000000" w:themeColor="text1"/>
          <w:sz w:val="24"/>
          <w:szCs w:val="24"/>
          <w:vertAlign w:val="subscript"/>
        </w:rPr>
        <w:t>cat</w:t>
      </w:r>
      <w:r w:rsidRPr="00927962">
        <w:rPr>
          <w:rFonts w:eastAsia="宋体" w:cs="Times New Roman"/>
          <w:color w:val="000000" w:themeColor="text1"/>
          <w:sz w:val="24"/>
          <w:szCs w:val="24"/>
          <w:vertAlign w:val="superscript"/>
        </w:rPr>
        <w:t>–1</w:t>
      </w:r>
      <w:r>
        <w:rPr>
          <w:rFonts w:eastAsia="宋体" w:cs="Times New Roman"/>
          <w:color w:val="000000" w:themeColor="text1"/>
          <w:sz w:val="24"/>
          <w:szCs w:val="24"/>
        </w:rPr>
        <w:t xml:space="preserve"> </w:t>
      </w:r>
      <w:r w:rsidRPr="00927962">
        <w:rPr>
          <w:rFonts w:eastAsia="宋体" w:cs="Times New Roman"/>
          <w:color w:val="000000" w:themeColor="text1"/>
          <w:sz w:val="24"/>
          <w:szCs w:val="24"/>
        </w:rPr>
        <w:t>h</w:t>
      </w:r>
      <w:r w:rsidRPr="00927962">
        <w:rPr>
          <w:rFonts w:eastAsia="宋体" w:cs="Times New Roman"/>
          <w:color w:val="000000" w:themeColor="text1"/>
          <w:sz w:val="24"/>
          <w:szCs w:val="24"/>
          <w:vertAlign w:val="superscript"/>
        </w:rPr>
        <w:t>–1</w:t>
      </w:r>
      <w:r>
        <w:rPr>
          <w:rFonts w:eastAsia="宋体" w:cs="Times New Roman"/>
          <w:color w:val="000000" w:themeColor="text1"/>
          <w:sz w:val="24"/>
          <w:szCs w:val="24"/>
        </w:rPr>
        <w:t xml:space="preserve"> </w:t>
      </w:r>
      <w:r w:rsidRPr="00927962">
        <w:rPr>
          <w:rFonts w:eastAsia="宋体" w:cs="Times New Roman"/>
          <w:color w:val="000000" w:themeColor="text1"/>
          <w:sz w:val="24"/>
          <w:szCs w:val="24"/>
        </w:rPr>
        <w:t>obtained in the H-type cell at –0.7 V vs. RHE, with a final result of 5277 h</w:t>
      </w:r>
      <w:r w:rsidRPr="00927962">
        <w:rPr>
          <w:rFonts w:eastAsia="宋体" w:cs="Times New Roman"/>
          <w:color w:val="000000" w:themeColor="text1"/>
          <w:sz w:val="24"/>
          <w:szCs w:val="24"/>
          <w:vertAlign w:val="superscript"/>
        </w:rPr>
        <w:t>–1</w:t>
      </w:r>
      <w:r w:rsidRPr="00927962">
        <w:rPr>
          <w:rFonts w:eastAsia="宋体" w:cs="Times New Roman"/>
          <w:color w:val="000000" w:themeColor="text1"/>
          <w:sz w:val="24"/>
          <w:szCs w:val="24"/>
        </w:rPr>
        <w:t>.</w:t>
      </w:r>
      <w:r w:rsidR="00FA0777" w:rsidRPr="00177203">
        <w:rPr>
          <w:rFonts w:eastAsia="宋体" w:cs="Times New Roman"/>
          <w:color w:val="000000" w:themeColor="text1"/>
          <w:sz w:val="24"/>
          <w:szCs w:val="24"/>
        </w:rPr>
        <w:br w:type="page"/>
      </w:r>
    </w:p>
    <w:p w14:paraId="75735CE9" w14:textId="37935DD5" w:rsidR="00D1521F" w:rsidRPr="00177203" w:rsidRDefault="00A077F3" w:rsidP="00D1521F">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4E839C4B" wp14:editId="3E20F664">
            <wp:extent cx="5278120" cy="2108200"/>
            <wp:effectExtent l="0" t="0" r="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8120" cy="2108200"/>
                    </a:xfrm>
                    <a:prstGeom prst="rect">
                      <a:avLst/>
                    </a:prstGeom>
                    <a:noFill/>
                    <a:ln>
                      <a:noFill/>
                    </a:ln>
                  </pic:spPr>
                </pic:pic>
              </a:graphicData>
            </a:graphic>
          </wp:inline>
        </w:drawing>
      </w:r>
    </w:p>
    <w:p w14:paraId="65C04B61" w14:textId="23C8B829" w:rsidR="00D1521F"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1521F"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33</w:t>
      </w:r>
      <w:r w:rsidR="00D1521F" w:rsidRPr="00177203">
        <w:rPr>
          <w:rFonts w:eastAsia="宋体" w:cs="Times New Roman"/>
          <w:color w:val="000000" w:themeColor="text1"/>
          <w:sz w:val="24"/>
          <w:szCs w:val="24"/>
        </w:rPr>
        <w:t>.</w:t>
      </w:r>
      <w:r w:rsidR="008E0B64" w:rsidRPr="00177203">
        <w:rPr>
          <w:rFonts w:eastAsia="宋体" w:cs="Times New Roman"/>
        </w:rPr>
        <w:t xml:space="preserve"> </w:t>
      </w:r>
      <w:r w:rsidR="008E0B64" w:rsidRPr="00177203">
        <w:rPr>
          <w:rFonts w:eastAsia="宋体" w:cs="Times New Roman"/>
          <w:color w:val="000000" w:themeColor="text1"/>
          <w:sz w:val="24"/>
          <w:szCs w:val="24"/>
        </w:rPr>
        <w:t xml:space="preserve">Potential-dependent (a) yield rate and (b) Faradaic efficiency (FE) of </w:t>
      </w:r>
      <w:r w:rsidR="00E63B12" w:rsidRPr="00177203">
        <w:rPr>
          <w:rFonts w:eastAsia="宋体" w:cs="Times New Roman"/>
          <w:sz w:val="24"/>
          <w:szCs w:val="24"/>
        </w:rPr>
        <w:t>NH</w:t>
      </w:r>
      <w:r w:rsidR="00E63B12" w:rsidRPr="00177203">
        <w:rPr>
          <w:rFonts w:eastAsia="宋体" w:cs="Times New Roman"/>
          <w:sz w:val="24"/>
          <w:szCs w:val="24"/>
          <w:vertAlign w:val="subscript"/>
        </w:rPr>
        <w:t>4</w:t>
      </w:r>
      <w:r w:rsidR="00E63B12" w:rsidRPr="00177203">
        <w:rPr>
          <w:rFonts w:eastAsia="宋体" w:cs="Times New Roman"/>
          <w:sz w:val="24"/>
          <w:szCs w:val="24"/>
          <w:vertAlign w:val="superscript"/>
        </w:rPr>
        <w:t>+</w:t>
      </w:r>
      <w:r w:rsidR="008E0B64" w:rsidRPr="00177203">
        <w:rPr>
          <w:rFonts w:eastAsia="宋体" w:cs="Times New Roman"/>
          <w:color w:val="000000" w:themeColor="text1"/>
          <w:sz w:val="24"/>
          <w:szCs w:val="24"/>
        </w:rPr>
        <w:t xml:space="preserve"> byproduct over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8E0B64"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8E0B64"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8E0B64"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8E0B64" w:rsidRPr="00177203">
        <w:rPr>
          <w:rFonts w:eastAsia="宋体" w:cs="Times New Roman"/>
          <w:color w:val="000000" w:themeColor="text1"/>
          <w:sz w:val="24"/>
          <w:szCs w:val="24"/>
        </w:rPr>
        <w:t>. All potentials are vs. RHE.</w:t>
      </w:r>
    </w:p>
    <w:p w14:paraId="63A95805" w14:textId="49C4D8DD" w:rsidR="00FA0777" w:rsidRPr="00177203" w:rsidRDefault="00FA0777" w:rsidP="00FA0777">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Potential-dependent evolution of NH</w:t>
      </w:r>
      <w:r w:rsidRPr="00177203">
        <w:rPr>
          <w:rFonts w:eastAsia="宋体" w:cs="Times New Roman"/>
          <w:b/>
          <w:bCs/>
          <w:color w:val="000000" w:themeColor="text1"/>
          <w:sz w:val="24"/>
          <w:szCs w:val="24"/>
          <w:vertAlign w:val="subscript"/>
        </w:rPr>
        <w:t>4</w:t>
      </w:r>
      <w:r w:rsidRPr="00177203">
        <w:rPr>
          <w:rFonts w:eastAsia="宋体" w:cs="Times New Roman"/>
          <w:b/>
          <w:bCs/>
          <w:color w:val="000000" w:themeColor="text1"/>
          <w:sz w:val="24"/>
          <w:szCs w:val="24"/>
        </w:rPr>
        <w:t xml:space="preserve">⁺ formation over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was analyzed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33)</w:t>
      </w:r>
      <w:r w:rsidR="00365877" w:rsidRPr="00177203">
        <w:rPr>
          <w:rFonts w:eastAsia="宋体" w:cs="Times New Roman"/>
          <w:color w:val="000000" w:themeColor="text1"/>
          <w:sz w:val="24"/>
          <w:szCs w:val="24"/>
        </w:rPr>
        <w:t xml:space="preserve"> during urea synthesis at –0.4 to </w:t>
      </w:r>
      <w:r w:rsidR="00D8427B" w:rsidRPr="00177203">
        <w:rPr>
          <w:rFonts w:eastAsia="宋体" w:cs="Times New Roman"/>
          <w:color w:val="000000" w:themeColor="text1"/>
          <w:sz w:val="24"/>
          <w:szCs w:val="24"/>
        </w:rPr>
        <w:t>–</w:t>
      </w:r>
      <w:r w:rsidR="00365877" w:rsidRPr="00177203">
        <w:rPr>
          <w:rFonts w:eastAsia="宋体" w:cs="Times New Roman"/>
          <w:color w:val="000000" w:themeColor="text1"/>
          <w:sz w:val="24"/>
          <w:szCs w:val="24"/>
        </w:rPr>
        <w:t>1.1 V vs. RHE</w:t>
      </w:r>
      <w:r w:rsidRPr="00177203">
        <w:rPr>
          <w:rFonts w:eastAsia="宋体" w:cs="Times New Roman"/>
          <w:color w:val="000000" w:themeColor="text1"/>
          <w:sz w:val="24"/>
          <w:szCs w:val="24"/>
        </w:rPr>
        <w:t>.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yield and FE rise monotonically with increasingly negative potential, driven by the kinetically facile 8-electron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RR. In contrast, urea performance shows a volcano trend peaking at –0.7 V vs. RHE; excessive overpotential accelerates NH</w:t>
      </w:r>
      <w:r w:rsidRPr="00177203">
        <w:rPr>
          <w:rFonts w:eastAsia="宋体" w:cs="Times New Roman"/>
          <w:color w:val="000000" w:themeColor="text1"/>
          <w:sz w:val="24"/>
          <w:szCs w:val="24"/>
          <w:vertAlign w:val="subscript"/>
        </w:rPr>
        <w:t>4</w:t>
      </w:r>
      <w:r w:rsidR="00BD7897" w:rsidRPr="00177203">
        <w:rPr>
          <w:rFonts w:eastAsia="宋体" w:cs="Times New Roman"/>
          <w:color w:val="000000" w:themeColor="text1"/>
          <w:sz w:val="24"/>
          <w:szCs w:val="24"/>
          <w:vertAlign w:val="superscript"/>
        </w:rPr>
        <w:t>+</w:t>
      </w:r>
      <w:r w:rsidRPr="00177203">
        <w:rPr>
          <w:rFonts w:eastAsia="宋体" w:cs="Times New Roman"/>
          <w:color w:val="000000" w:themeColor="text1"/>
          <w:sz w:val="24"/>
          <w:szCs w:val="24"/>
        </w:rPr>
        <w:t xml:space="preserve"> generation and competitive HER, depleting key intermediates and inhibiting C–N coupling. This contrast confirms a narrow optimal potential window for urea synthesis, where suppressing deep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RR to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is critical for high selectivity.</w:t>
      </w:r>
    </w:p>
    <w:p w14:paraId="1D18C871" w14:textId="77777777" w:rsidR="00FA0777" w:rsidRPr="00177203" w:rsidRDefault="00FA0777" w:rsidP="00D1521F">
      <w:pPr>
        <w:spacing w:afterLines="50" w:after="156"/>
        <w:outlineLvl w:val="2"/>
        <w:rPr>
          <w:rFonts w:eastAsia="宋体" w:cs="Times New Roman"/>
          <w:color w:val="000000" w:themeColor="text1"/>
          <w:sz w:val="24"/>
          <w:szCs w:val="24"/>
        </w:rPr>
        <w:sectPr w:rsidR="00FA0777" w:rsidRPr="00177203" w:rsidSect="00F65C78">
          <w:footerReference w:type="default" r:id="rId41"/>
          <w:pgSz w:w="11906" w:h="16838" w:code="9"/>
          <w:pgMar w:top="1440" w:right="1797" w:bottom="1440" w:left="1797" w:header="851" w:footer="992" w:gutter="0"/>
          <w:lnNumType w:countBy="1" w:restart="continuous"/>
          <w:cols w:space="425"/>
          <w:docGrid w:type="lines" w:linePitch="312"/>
        </w:sectPr>
      </w:pPr>
    </w:p>
    <w:p w14:paraId="6395E192" w14:textId="4EC0D53F" w:rsidR="00D1521F" w:rsidRPr="00177203" w:rsidRDefault="00A077F3" w:rsidP="000D21AE">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7552B629" wp14:editId="42AFD598">
            <wp:extent cx="5274310" cy="1953895"/>
            <wp:effectExtent l="0" t="0" r="2540"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1953895"/>
                    </a:xfrm>
                    <a:prstGeom prst="rect">
                      <a:avLst/>
                    </a:prstGeom>
                    <a:noFill/>
                    <a:ln>
                      <a:noFill/>
                    </a:ln>
                  </pic:spPr>
                </pic:pic>
              </a:graphicData>
            </a:graphic>
          </wp:inline>
        </w:drawing>
      </w:r>
    </w:p>
    <w:p w14:paraId="775BA49F" w14:textId="72714889" w:rsidR="00FA0777" w:rsidRPr="00177203" w:rsidRDefault="00306188" w:rsidP="00FA0777">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1521F"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34</w:t>
      </w:r>
      <w:r w:rsidR="00D1521F" w:rsidRPr="00177203">
        <w:rPr>
          <w:rFonts w:eastAsia="宋体" w:cs="Times New Roman"/>
          <w:b/>
          <w:bCs/>
          <w:color w:val="000000" w:themeColor="text1"/>
          <w:sz w:val="24"/>
          <w:szCs w:val="24"/>
        </w:rPr>
        <w:t>.</w:t>
      </w:r>
      <w:r w:rsidR="00D1521F" w:rsidRPr="00177203">
        <w:rPr>
          <w:rFonts w:eastAsia="宋体" w:cs="Times New Roman"/>
          <w:color w:val="000000" w:themeColor="text1"/>
          <w:sz w:val="24"/>
          <w:szCs w:val="24"/>
        </w:rPr>
        <w:t xml:space="preserve"> </w:t>
      </w:r>
      <w:r w:rsidR="008E0B64" w:rsidRPr="00177203">
        <w:rPr>
          <w:rFonts w:eastAsia="宋体" w:cs="Times New Roman"/>
          <w:color w:val="000000" w:themeColor="text1"/>
          <w:sz w:val="24"/>
          <w:szCs w:val="24"/>
        </w:rPr>
        <w:t xml:space="preserve">Effect of (a)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8E0B64" w:rsidRPr="00177203">
        <w:rPr>
          <w:rFonts w:eastAsia="宋体" w:cs="Times New Roman"/>
          <w:color w:val="000000" w:themeColor="text1"/>
          <w:sz w:val="24"/>
          <w:szCs w:val="24"/>
        </w:rPr>
        <w:t xml:space="preserve"> flow rate and (b)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8E0B64" w:rsidRPr="00177203">
        <w:rPr>
          <w:rFonts w:eastAsia="宋体" w:cs="Times New Roman"/>
          <w:color w:val="000000" w:themeColor="text1"/>
          <w:sz w:val="24"/>
          <w:szCs w:val="24"/>
        </w:rPr>
        <w:t xml:space="preserve">⁻ concentration on the urea yield rate and Faradaic efficiency over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8E0B64" w:rsidRPr="00177203">
        <w:rPr>
          <w:rFonts w:eastAsia="宋体" w:cs="Times New Roman"/>
          <w:color w:val="000000" w:themeColor="text1"/>
          <w:sz w:val="24"/>
          <w:szCs w:val="24"/>
        </w:rPr>
        <w:t xml:space="preserve"> at –0.7 V vs. RHE.</w:t>
      </w:r>
      <w:r w:rsidR="00FA0777" w:rsidRPr="00177203">
        <w:rPr>
          <w:rFonts w:eastAsia="宋体" w:cs="Times New Roman"/>
          <w:color w:val="000000" w:themeColor="text1"/>
          <w:sz w:val="24"/>
          <w:szCs w:val="24"/>
        </w:rPr>
        <w:t xml:space="preserve"> </w:t>
      </w:r>
    </w:p>
    <w:p w14:paraId="67306404" w14:textId="62E884D7" w:rsidR="000D21AE" w:rsidRPr="00177203" w:rsidRDefault="00FA0777" w:rsidP="00A44E5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Effects of reactant concentration on urea yield: </w:t>
      </w:r>
      <w:r w:rsidR="00A44E53" w:rsidRPr="00177203">
        <w:rPr>
          <w:rFonts w:eastAsia="宋体" w:cs="Times New Roman"/>
          <w:color w:val="000000" w:themeColor="text1"/>
          <w:sz w:val="24"/>
          <w:szCs w:val="24"/>
        </w:rPr>
        <w:t xml:space="preserve">The effects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A44E53" w:rsidRPr="00177203">
        <w:rPr>
          <w:rFonts w:eastAsia="宋体" w:cs="Times New Roman"/>
          <w:color w:val="000000" w:themeColor="text1"/>
          <w:sz w:val="24"/>
          <w:szCs w:val="24"/>
        </w:rPr>
        <w:t xml:space="preserve"> flow rate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xml:space="preserve">⁻ concentration on urea production over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A44E53" w:rsidRPr="00177203">
        <w:rPr>
          <w:rFonts w:eastAsia="宋体" w:cs="Times New Roman"/>
          <w:color w:val="000000" w:themeColor="text1"/>
          <w:sz w:val="24"/>
          <w:szCs w:val="24"/>
        </w:rPr>
        <w:t xml:space="preserve"> were studied at –0.7 V vs. RHE. Urea yield was linearly enhanced by ~6 times as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xml:space="preserve">⁻ concentration increased from </w:t>
      </w:r>
      <w:r w:rsidR="00713C38" w:rsidRPr="00177203">
        <w:rPr>
          <w:rFonts w:eastAsia="宋体" w:cs="Times New Roman"/>
          <w:color w:val="000000" w:themeColor="text1"/>
          <w:sz w:val="24"/>
          <w:szCs w:val="24"/>
        </w:rPr>
        <w:t>0</w:t>
      </w:r>
      <w:r w:rsidR="00A44E53" w:rsidRPr="00177203">
        <w:rPr>
          <w:rFonts w:eastAsia="宋体" w:cs="Times New Roman"/>
          <w:color w:val="000000" w:themeColor="text1"/>
          <w:sz w:val="24"/>
          <w:szCs w:val="24"/>
        </w:rPr>
        <w:t xml:space="preserve"> to </w:t>
      </w:r>
      <w:r w:rsidR="00713C38" w:rsidRPr="00177203">
        <w:rPr>
          <w:rFonts w:eastAsia="宋体" w:cs="Times New Roman"/>
          <w:color w:val="000000" w:themeColor="text1"/>
          <w:sz w:val="24"/>
          <w:szCs w:val="24"/>
        </w:rPr>
        <w:t>30</w:t>
      </w:r>
      <w:r w:rsidR="00A44E53" w:rsidRPr="00177203">
        <w:rPr>
          <w:rFonts w:eastAsia="宋体" w:cs="Times New Roman"/>
          <w:color w:val="000000" w:themeColor="text1"/>
          <w:sz w:val="24"/>
          <w:szCs w:val="24"/>
        </w:rPr>
        <w:t xml:space="preserve"> </w:t>
      </w:r>
      <w:r w:rsidR="00AD6DB8" w:rsidRPr="00177203">
        <w:rPr>
          <w:rFonts w:eastAsia="宋体" w:cs="Times New Roman"/>
          <w:color w:val="000000" w:themeColor="text1"/>
          <w:sz w:val="24"/>
          <w:szCs w:val="24"/>
        </w:rPr>
        <w:t>mmol L</w:t>
      </w:r>
      <w:r w:rsidR="00AD6DB8" w:rsidRPr="00177203">
        <w:rPr>
          <w:rFonts w:eastAsia="宋体" w:cs="Times New Roman"/>
          <w:color w:val="000000" w:themeColor="text1"/>
          <w:sz w:val="24"/>
          <w:szCs w:val="24"/>
          <w:vertAlign w:val="superscript"/>
        </w:rPr>
        <w:t>–1</w:t>
      </w:r>
      <w:r w:rsidR="00A44E53" w:rsidRPr="00177203">
        <w:rPr>
          <w:rFonts w:eastAsia="宋体" w:cs="Times New Roman"/>
          <w:color w:val="000000" w:themeColor="text1"/>
          <w:sz w:val="24"/>
          <w:szCs w:val="24"/>
        </w:rPr>
        <w:t>, since the C–N coupling was limited by nitrogen intermediates. The nanoconfined cavities enriched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anions,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xml:space="preserve">⁻ reduction acted as the rate-limiting step for *NO generation. Urea yield quickly rose with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A44E53" w:rsidRPr="00177203">
        <w:rPr>
          <w:rFonts w:eastAsia="宋体" w:cs="Times New Roman"/>
          <w:color w:val="000000" w:themeColor="text1"/>
          <w:sz w:val="24"/>
          <w:szCs w:val="24"/>
        </w:rPr>
        <w:t xml:space="preserve"> flow from </w:t>
      </w:r>
      <w:r w:rsidR="00713C38" w:rsidRPr="00177203">
        <w:rPr>
          <w:rFonts w:eastAsia="宋体" w:cs="Times New Roman"/>
          <w:color w:val="000000" w:themeColor="text1"/>
          <w:sz w:val="24"/>
          <w:szCs w:val="24"/>
        </w:rPr>
        <w:t>0</w:t>
      </w:r>
      <w:r w:rsidR="00A44E53" w:rsidRPr="00177203">
        <w:rPr>
          <w:rFonts w:eastAsia="宋体" w:cs="Times New Roman"/>
          <w:color w:val="000000" w:themeColor="text1"/>
          <w:sz w:val="24"/>
          <w:szCs w:val="24"/>
        </w:rPr>
        <w:t xml:space="preserve"> to </w:t>
      </w:r>
      <w:r w:rsidR="00713C38" w:rsidRPr="00177203">
        <w:rPr>
          <w:rFonts w:eastAsia="宋体" w:cs="Times New Roman"/>
          <w:color w:val="000000" w:themeColor="text1"/>
          <w:sz w:val="24"/>
          <w:szCs w:val="24"/>
        </w:rPr>
        <w:t>3</w:t>
      </w:r>
      <w:r w:rsidR="00A44E53" w:rsidRPr="00177203">
        <w:rPr>
          <w:rFonts w:eastAsia="宋体" w:cs="Times New Roman"/>
          <w:color w:val="000000" w:themeColor="text1"/>
          <w:sz w:val="24"/>
          <w:szCs w:val="24"/>
        </w:rPr>
        <w:t xml:space="preserve">0 mL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00A44E53" w:rsidRPr="00177203">
        <w:rPr>
          <w:rFonts w:eastAsia="宋体" w:cs="Times New Roman"/>
          <w:color w:val="000000" w:themeColor="text1"/>
          <w:sz w:val="24"/>
          <w:szCs w:val="24"/>
        </w:rPr>
        <w:t xml:space="preserve"> but saturated at higher rates due to the low solubility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A44E53" w:rsidRPr="00177203">
        <w:rPr>
          <w:rFonts w:eastAsia="宋体" w:cs="Times New Roman"/>
          <w:color w:val="000000" w:themeColor="text1"/>
          <w:sz w:val="24"/>
          <w:szCs w:val="24"/>
        </w:rPr>
        <w:t xml:space="preserve"> in water. The enrichment of neutral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A44E53" w:rsidRPr="00177203">
        <w:rPr>
          <w:rFonts w:eastAsia="宋体" w:cs="Times New Roman"/>
          <w:color w:val="000000" w:themeColor="text1"/>
          <w:sz w:val="24"/>
          <w:szCs w:val="24"/>
        </w:rPr>
        <w:t xml:space="preserve"> in cavities was far weaker than that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These results verify the nitrogen-limited feature of urea electrosynthesis, consistent with the kinetic mismatch between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A44E53" w:rsidRPr="00177203">
        <w:rPr>
          <w:rFonts w:eastAsia="宋体" w:cs="Times New Roman"/>
          <w:color w:val="000000" w:themeColor="text1"/>
          <w:sz w:val="24"/>
          <w:szCs w:val="24"/>
        </w:rPr>
        <w:t xml:space="preserve">RR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00A44E53"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 </w:t>
      </w:r>
      <w:r w:rsidR="000D21AE" w:rsidRPr="00177203">
        <w:rPr>
          <w:rFonts w:eastAsia="宋体" w:cs="Times New Roman"/>
          <w:color w:val="000000" w:themeColor="text1"/>
          <w:sz w:val="24"/>
          <w:szCs w:val="24"/>
        </w:rPr>
        <w:br w:type="page"/>
      </w:r>
    </w:p>
    <w:p w14:paraId="3CE24E66" w14:textId="4D469531" w:rsidR="00D1521F" w:rsidRPr="00177203" w:rsidRDefault="00A077F3" w:rsidP="00482F25">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7E40B049" wp14:editId="64E882CD">
            <wp:extent cx="3600000" cy="2637804"/>
            <wp:effectExtent l="0" t="0" r="63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0000" cy="2637804"/>
                    </a:xfrm>
                    <a:prstGeom prst="rect">
                      <a:avLst/>
                    </a:prstGeom>
                    <a:noFill/>
                    <a:ln>
                      <a:noFill/>
                    </a:ln>
                  </pic:spPr>
                </pic:pic>
              </a:graphicData>
            </a:graphic>
          </wp:inline>
        </w:drawing>
      </w:r>
    </w:p>
    <w:p w14:paraId="5FE0EF66" w14:textId="244D432C" w:rsidR="000D21AE" w:rsidRPr="00177203" w:rsidRDefault="00306188" w:rsidP="00A44E5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0D21AE"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35</w:t>
      </w:r>
      <w:r w:rsidR="000D21AE" w:rsidRPr="00177203">
        <w:rPr>
          <w:rFonts w:eastAsia="宋体" w:cs="Times New Roman"/>
          <w:color w:val="000000" w:themeColor="text1"/>
          <w:sz w:val="24"/>
          <w:szCs w:val="24"/>
        </w:rPr>
        <w:t xml:space="preserve">. </w:t>
      </w:r>
      <w:r w:rsidR="008E0B64" w:rsidRPr="00177203">
        <w:rPr>
          <w:rFonts w:eastAsia="宋体" w:cs="Times New Roman"/>
          <w:color w:val="000000" w:themeColor="text1"/>
          <w:sz w:val="24"/>
          <w:szCs w:val="24"/>
        </w:rPr>
        <w:t xml:space="preserve">Cycling stability test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8E0B64" w:rsidRPr="00177203">
        <w:rPr>
          <w:rFonts w:eastAsia="宋体" w:cs="Times New Roman"/>
          <w:color w:val="000000" w:themeColor="text1"/>
          <w:sz w:val="24"/>
          <w:szCs w:val="24"/>
        </w:rPr>
        <w:t xml:space="preserve"> for urea electrosynthesis at –0.7 V vs. RHE (20 consecutive cycles).</w:t>
      </w:r>
      <w:r w:rsidR="00A44E53" w:rsidRPr="00177203">
        <w:rPr>
          <w:rFonts w:eastAsia="宋体" w:cs="Times New Roman"/>
          <w:color w:val="000000" w:themeColor="text1"/>
          <w:sz w:val="24"/>
          <w:szCs w:val="24"/>
        </w:rPr>
        <w:t xml:space="preserve"> </w:t>
      </w:r>
      <w:r w:rsidR="000D21AE" w:rsidRPr="00177203">
        <w:rPr>
          <w:rFonts w:eastAsia="宋体" w:cs="Times New Roman"/>
          <w:color w:val="000000" w:themeColor="text1"/>
          <w:sz w:val="24"/>
          <w:szCs w:val="24"/>
        </w:rPr>
        <w:br w:type="page"/>
      </w:r>
    </w:p>
    <w:p w14:paraId="144E53E2" w14:textId="43800839" w:rsidR="00D1521F" w:rsidRPr="00177203" w:rsidRDefault="00A077F3" w:rsidP="00713C38">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0F9C53CA" wp14:editId="0BEB3373">
            <wp:extent cx="3600000" cy="2144137"/>
            <wp:effectExtent l="0" t="0" r="635" b="889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00000" cy="2144137"/>
                    </a:xfrm>
                    <a:prstGeom prst="rect">
                      <a:avLst/>
                    </a:prstGeom>
                    <a:noFill/>
                    <a:ln>
                      <a:noFill/>
                    </a:ln>
                  </pic:spPr>
                </pic:pic>
              </a:graphicData>
            </a:graphic>
          </wp:inline>
        </w:drawing>
      </w:r>
    </w:p>
    <w:p w14:paraId="3AD4AACB" w14:textId="5AD5A753" w:rsidR="00A44E53"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1521F"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36</w:t>
      </w:r>
      <w:r w:rsidR="00D1521F" w:rsidRPr="00177203">
        <w:rPr>
          <w:rFonts w:eastAsia="宋体" w:cs="Times New Roman"/>
          <w:color w:val="000000" w:themeColor="text1"/>
          <w:sz w:val="24"/>
          <w:szCs w:val="24"/>
        </w:rPr>
        <w:t xml:space="preserve">. </w:t>
      </w:r>
      <w:r w:rsidR="008E0B64" w:rsidRPr="00177203">
        <w:rPr>
          <w:rFonts w:eastAsia="宋体" w:cs="Times New Roman"/>
          <w:color w:val="000000" w:themeColor="text1"/>
          <w:sz w:val="24"/>
          <w:szCs w:val="24"/>
        </w:rPr>
        <w:t xml:space="preserve">Urea yield rate of various control catalysts at –0.7 V vs. RHE in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8E0B64" w:rsidRPr="00177203">
        <w:rPr>
          <w:rFonts w:eastAsia="宋体" w:cs="Times New Roman"/>
          <w:color w:val="000000" w:themeColor="text1"/>
          <w:sz w:val="24"/>
          <w:szCs w:val="24"/>
        </w:rPr>
        <w:t>-saturated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8E0B64" w:rsidRPr="00177203">
        <w:rPr>
          <w:rFonts w:eastAsia="宋体" w:cs="Times New Roman"/>
          <w:color w:val="000000" w:themeColor="text1"/>
          <w:sz w:val="24"/>
          <w:szCs w:val="24"/>
        </w:rPr>
        <w:t xml:space="preserve"> + 0.1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8E0B64" w:rsidRPr="00177203">
        <w:rPr>
          <w:rFonts w:eastAsia="宋体" w:cs="Times New Roman"/>
          <w:color w:val="000000" w:themeColor="text1"/>
          <w:sz w:val="24"/>
          <w:szCs w:val="24"/>
        </w:rPr>
        <w:t xml:space="preserve"> electrolyte, including ZIF-Cu precursor,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8E0B64" w:rsidRPr="00177203">
        <w:rPr>
          <w:rFonts w:eastAsia="宋体" w:cs="Times New Roman"/>
          <w:color w:val="000000" w:themeColor="text1"/>
          <w:sz w:val="24"/>
          <w:szCs w:val="24"/>
        </w:rPr>
        <w:t xml:space="preserve"> with gradient Cu loading, tZIF-Fe900 and tZIF-Co900. </w:t>
      </w:r>
    </w:p>
    <w:p w14:paraId="6B9B0717" w14:textId="5397EB4C" w:rsidR="005E5950" w:rsidRPr="00177203" w:rsidRDefault="005E5950" w:rsidP="005E5950">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Comparative Analysis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b/>
          <w:bCs/>
          <w:color w:val="000000" w:themeColor="text1"/>
          <w:sz w:val="24"/>
          <w:szCs w:val="24"/>
        </w:rPr>
        <w:t xml:space="preserve"> with Control Catalysts:</w:t>
      </w:r>
      <w:r w:rsidRPr="00177203">
        <w:rPr>
          <w:rFonts w:eastAsia="宋体" w:cs="Times New Roman"/>
          <w:color w:val="000000" w:themeColor="text1"/>
          <w:sz w:val="24"/>
          <w:szCs w:val="24"/>
        </w:rPr>
        <w:t xml:space="preserve"> The unpyrolyzed ZIF-Cu precursor delivered a urea yield rate of 0.19 g g</w:t>
      </w:r>
      <w:r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a FE of 6.14%, owing to the absence of well-defined nanoconfined cavities, graphitic conductive frameworks and fully constructed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sites, which restricted active site exposure and failed to realize intermediate enrichment or side reaction suppression.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catalysts with gradient Cu loadings (5, 30, 50, 80 and 100 mg of copper nitrate trihydrate</w:t>
      </w:r>
      <w:r w:rsidR="00713C38" w:rsidRPr="00177203">
        <w:rPr>
          <w:rFonts w:eastAsia="宋体" w:cs="Times New Roman"/>
          <w:color w:val="000000" w:themeColor="text1"/>
          <w:sz w:val="24"/>
          <w:szCs w:val="24"/>
        </w:rPr>
        <w:t>, labeled as tZIF-Cu</w:t>
      </w:r>
      <w:r w:rsidR="00713C38" w:rsidRPr="00177203">
        <w:rPr>
          <w:rFonts w:eastAsia="宋体" w:cs="Times New Roman"/>
          <w:color w:val="000000" w:themeColor="text1"/>
          <w:sz w:val="24"/>
          <w:szCs w:val="24"/>
          <w:vertAlign w:val="subscript"/>
        </w:rPr>
        <w:t>900</w:t>
      </w:r>
      <w:r w:rsidR="00713C38" w:rsidRPr="00177203">
        <w:rPr>
          <w:rFonts w:eastAsia="宋体" w:cs="Times New Roman"/>
          <w:color w:val="000000" w:themeColor="text1"/>
          <w:sz w:val="24"/>
          <w:szCs w:val="24"/>
        </w:rPr>
        <w:t>-5/30/50/80/100</w:t>
      </w:r>
      <w:r w:rsidRPr="00177203">
        <w:rPr>
          <w:rFonts w:eastAsia="宋体" w:cs="Times New Roman"/>
          <w:color w:val="000000" w:themeColor="text1"/>
          <w:sz w:val="24"/>
          <w:szCs w:val="24"/>
        </w:rPr>
        <w:t>), catalytic performance follow</w:t>
      </w:r>
      <w:r w:rsidR="00713C38"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a distinct volcanic trend. </w:t>
      </w:r>
      <w:r w:rsidR="002F463E" w:rsidRPr="00177203">
        <w:rPr>
          <w:rFonts w:eastAsia="宋体" w:cs="Times New Roman"/>
          <w:color w:val="000000" w:themeColor="text1"/>
          <w:sz w:val="24"/>
          <w:szCs w:val="24"/>
        </w:rPr>
        <w:t>tZIF-Cu</w:t>
      </w:r>
      <w:r w:rsidR="002F463E" w:rsidRPr="00177203">
        <w:rPr>
          <w:rFonts w:eastAsia="宋体" w:cs="Times New Roman"/>
          <w:color w:val="000000" w:themeColor="text1"/>
          <w:sz w:val="24"/>
          <w:szCs w:val="24"/>
          <w:vertAlign w:val="subscript"/>
        </w:rPr>
        <w:t>900</w:t>
      </w:r>
      <w:r w:rsidR="002F463E" w:rsidRPr="00177203">
        <w:rPr>
          <w:rFonts w:eastAsia="宋体" w:cs="Times New Roman"/>
          <w:color w:val="000000" w:themeColor="text1"/>
          <w:sz w:val="24"/>
          <w:szCs w:val="24"/>
        </w:rPr>
        <w:t>-5</w:t>
      </w:r>
      <w:r w:rsidRPr="00177203">
        <w:rPr>
          <w:rFonts w:eastAsia="宋体" w:cs="Times New Roman"/>
          <w:color w:val="000000" w:themeColor="text1"/>
          <w:sz w:val="24"/>
          <w:szCs w:val="24"/>
        </w:rPr>
        <w:t xml:space="preserve"> show</w:t>
      </w:r>
      <w:r w:rsidR="002F463E"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negligible activity; </w:t>
      </w:r>
      <w:r w:rsidR="002F463E" w:rsidRPr="00177203">
        <w:rPr>
          <w:rFonts w:eastAsia="宋体" w:cs="Times New Roman"/>
          <w:color w:val="000000" w:themeColor="text1"/>
          <w:sz w:val="24"/>
          <w:szCs w:val="24"/>
        </w:rPr>
        <w:t>tZIF-Cu</w:t>
      </w:r>
      <w:r w:rsidR="002F463E" w:rsidRPr="00177203">
        <w:rPr>
          <w:rFonts w:eastAsia="宋体" w:cs="Times New Roman"/>
          <w:color w:val="000000" w:themeColor="text1"/>
          <w:sz w:val="24"/>
          <w:szCs w:val="24"/>
          <w:vertAlign w:val="subscript"/>
        </w:rPr>
        <w:t>900</w:t>
      </w:r>
      <w:r w:rsidR="002F463E" w:rsidRPr="00177203">
        <w:rPr>
          <w:rFonts w:eastAsia="宋体" w:cs="Times New Roman"/>
          <w:color w:val="000000" w:themeColor="text1"/>
          <w:sz w:val="24"/>
          <w:szCs w:val="24"/>
        </w:rPr>
        <w:t>-30</w:t>
      </w:r>
      <w:r w:rsidRPr="00177203">
        <w:rPr>
          <w:rFonts w:eastAsia="宋体" w:cs="Times New Roman"/>
          <w:color w:val="000000" w:themeColor="text1"/>
          <w:sz w:val="24"/>
          <w:szCs w:val="24"/>
        </w:rPr>
        <w:t xml:space="preserve"> exhibit</w:t>
      </w:r>
      <w:r w:rsidR="002F463E"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a yield rate of 0.78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with 3.86% FE; </w:t>
      </w:r>
      <w:r w:rsidR="002F463E" w:rsidRPr="00177203">
        <w:rPr>
          <w:rFonts w:eastAsia="宋体" w:cs="Times New Roman"/>
          <w:color w:val="000000" w:themeColor="text1"/>
          <w:sz w:val="24"/>
          <w:szCs w:val="24"/>
        </w:rPr>
        <w:t>tZIF-Cu</w:t>
      </w:r>
      <w:r w:rsidR="002F463E" w:rsidRPr="00177203">
        <w:rPr>
          <w:rFonts w:eastAsia="宋体" w:cs="Times New Roman"/>
          <w:color w:val="000000" w:themeColor="text1"/>
          <w:sz w:val="24"/>
          <w:szCs w:val="24"/>
          <w:vertAlign w:val="subscript"/>
        </w:rPr>
        <w:t>900</w:t>
      </w:r>
      <w:r w:rsidR="002F463E" w:rsidRPr="00177203">
        <w:rPr>
          <w:rFonts w:eastAsia="宋体" w:cs="Times New Roman"/>
          <w:color w:val="000000" w:themeColor="text1"/>
          <w:sz w:val="24"/>
          <w:szCs w:val="24"/>
        </w:rPr>
        <w:t>-50</w:t>
      </w:r>
      <w:r w:rsidRPr="00177203">
        <w:rPr>
          <w:rFonts w:eastAsia="宋体" w:cs="Times New Roman"/>
          <w:color w:val="000000" w:themeColor="text1"/>
          <w:sz w:val="24"/>
          <w:szCs w:val="24"/>
        </w:rPr>
        <w:t xml:space="preserve"> reach</w:t>
      </w:r>
      <w:r w:rsidR="002F463E" w:rsidRPr="00177203">
        <w:rPr>
          <w:rFonts w:eastAsia="宋体" w:cs="Times New Roman"/>
          <w:color w:val="000000" w:themeColor="text1"/>
          <w:sz w:val="24"/>
          <w:szCs w:val="24"/>
        </w:rPr>
        <w:t>es</w:t>
      </w:r>
      <w:r w:rsidRPr="00177203">
        <w:rPr>
          <w:rFonts w:eastAsia="宋体" w:cs="Times New Roman"/>
          <w:color w:val="000000" w:themeColor="text1"/>
          <w:sz w:val="24"/>
          <w:szCs w:val="24"/>
        </w:rPr>
        <w:t xml:space="preserve"> 8.34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45.33% FE; the optimal </w:t>
      </w:r>
      <w:r w:rsidR="002F463E" w:rsidRPr="00177203">
        <w:rPr>
          <w:rFonts w:eastAsia="宋体" w:cs="Times New Roman"/>
          <w:color w:val="000000" w:themeColor="text1"/>
          <w:sz w:val="24"/>
          <w:szCs w:val="24"/>
        </w:rPr>
        <w:t>tZIF-Cu</w:t>
      </w:r>
      <w:r w:rsidR="002F463E" w:rsidRPr="00177203">
        <w:rPr>
          <w:rFonts w:eastAsia="宋体" w:cs="Times New Roman"/>
          <w:color w:val="000000" w:themeColor="text1"/>
          <w:sz w:val="24"/>
          <w:szCs w:val="24"/>
          <w:vertAlign w:val="subscript"/>
        </w:rPr>
        <w:t>900</w:t>
      </w:r>
      <w:r w:rsidR="002F463E" w:rsidRPr="00177203">
        <w:rPr>
          <w:rFonts w:eastAsia="宋体" w:cs="Times New Roman"/>
          <w:color w:val="000000" w:themeColor="text1"/>
          <w:sz w:val="24"/>
          <w:szCs w:val="24"/>
        </w:rPr>
        <w:t xml:space="preserve">-80 </w:t>
      </w:r>
      <w:r w:rsidRPr="00177203">
        <w:rPr>
          <w:rFonts w:eastAsia="宋体" w:cs="Times New Roman"/>
          <w:color w:val="000000" w:themeColor="text1"/>
          <w:sz w:val="24"/>
          <w:szCs w:val="24"/>
        </w:rPr>
        <w:t xml:space="preserve">achieved 10.97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56.45% FE; and </w:t>
      </w:r>
      <w:r w:rsidR="002F463E" w:rsidRPr="00177203">
        <w:rPr>
          <w:rFonts w:eastAsia="宋体" w:cs="Times New Roman"/>
          <w:color w:val="000000" w:themeColor="text1"/>
          <w:sz w:val="24"/>
          <w:szCs w:val="24"/>
        </w:rPr>
        <w:t>tZIF-Cu</w:t>
      </w:r>
      <w:r w:rsidR="002F463E" w:rsidRPr="00177203">
        <w:rPr>
          <w:rFonts w:eastAsia="宋体" w:cs="Times New Roman"/>
          <w:color w:val="000000" w:themeColor="text1"/>
          <w:sz w:val="24"/>
          <w:szCs w:val="24"/>
          <w:vertAlign w:val="subscript"/>
        </w:rPr>
        <w:t>900</w:t>
      </w:r>
      <w:r w:rsidR="002F463E" w:rsidRPr="00177203">
        <w:rPr>
          <w:rFonts w:eastAsia="宋体" w:cs="Times New Roman"/>
          <w:color w:val="000000" w:themeColor="text1"/>
          <w:sz w:val="24"/>
          <w:szCs w:val="24"/>
        </w:rPr>
        <w:t>-100</w:t>
      </w:r>
      <w:r w:rsidRPr="00177203">
        <w:rPr>
          <w:rFonts w:eastAsia="宋体" w:cs="Times New Roman"/>
          <w:color w:val="000000" w:themeColor="text1"/>
          <w:sz w:val="24"/>
          <w:szCs w:val="24"/>
        </w:rPr>
        <w:t xml:space="preserve"> show</w:t>
      </w:r>
      <w:r w:rsidR="002F463E"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a slight decline to 10.23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58.51% FE. Low Cu loadings limited the density of accessible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active sites, while excessive Cu doping induced atomic agglomeration into inactive nanoclusters and disrupted the ordered nanoconfined cavity structure, attenuating intermediate enrichment and side reaction inhibition.</w:t>
      </w:r>
    </w:p>
    <w:p w14:paraId="356BDC97" w14:textId="44EDE547" w:rsidR="005E5950" w:rsidRPr="00177203" w:rsidRDefault="005E5950" w:rsidP="005E59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Catalysts with alternative metal sites (tZIF-Fe</w:t>
      </w:r>
      <w:r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and tZIF-Co</w:t>
      </w:r>
      <w:r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synthesized via identical thermal sculpting showed drastically inferior performance, with yield rates of 0.725 and 0.76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FEs of 9.56% and 3.38%, respectively. The d-band centers of Fe–N₄ and Co–N₄ sites are closer to the Fermi level than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triggering intensive hydrogen evolution via over-strong *H adsorption and over-stabilizing *CO/*NO intermediates. This impedes bimolecular C–N coupling and favors deep reduction to </w:t>
      </w:r>
      <w:r w:rsidR="00E63B12" w:rsidRPr="00177203">
        <w:rPr>
          <w:rFonts w:eastAsia="宋体" w:cs="Times New Roman"/>
          <w:sz w:val="24"/>
          <w:szCs w:val="24"/>
        </w:rPr>
        <w:t>NH</w:t>
      </w:r>
      <w:r w:rsidR="00E63B12" w:rsidRPr="00177203">
        <w:rPr>
          <w:rFonts w:eastAsia="宋体" w:cs="Times New Roman"/>
          <w:sz w:val="24"/>
          <w:szCs w:val="24"/>
          <w:vertAlign w:val="subscript"/>
        </w:rPr>
        <w:t>4</w:t>
      </w:r>
      <w:r w:rsidR="00E63B12" w:rsidRPr="00177203">
        <w:rPr>
          <w:rFonts w:eastAsia="宋体" w:cs="Times New Roman"/>
          <w:sz w:val="24"/>
          <w:szCs w:val="24"/>
          <w:vertAlign w:val="superscript"/>
        </w:rPr>
        <w:t>+</w:t>
      </w:r>
      <w:r w:rsidRPr="00177203">
        <w:rPr>
          <w:rFonts w:eastAsia="宋体" w:cs="Times New Roman"/>
          <w:color w:val="000000" w:themeColor="text1"/>
          <w:sz w:val="24"/>
          <w:szCs w:val="24"/>
        </w:rPr>
        <w:t xml:space="preserve"> and carbonaceous byproducts, rendering Fe/Co-based catalysts incapable of efficient and selective urea electrosynthesis even with identical nanoconfinement.</w:t>
      </w:r>
    </w:p>
    <w:p w14:paraId="6863D10A" w14:textId="0AEFF035" w:rsidR="00B36B72" w:rsidRPr="00177203" w:rsidRDefault="005E5950" w:rsidP="005E5950">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Compared with state-of-the-art catalysts reported in literature, the optimal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in this work achieved a urea yield rate of 71.32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98.9% FE in gas diffusion electrode cells, representing the best synergistic performance of ultrahigh yield and near-unity selectivity to date. It also features balanced reaction current density, exceptional long-term stability over 300 h in pilot-scale operation, and exclusive selectivity toward urea, outperforming all previously reported electrocatalysts for urea electrosynthesis.</w:t>
      </w:r>
      <w:r w:rsidR="00B36B72" w:rsidRPr="00177203">
        <w:rPr>
          <w:rFonts w:eastAsia="宋体" w:cs="Times New Roman"/>
          <w:color w:val="000000" w:themeColor="text1"/>
          <w:sz w:val="24"/>
          <w:szCs w:val="24"/>
        </w:rPr>
        <w:br w:type="page"/>
      </w:r>
    </w:p>
    <w:p w14:paraId="5DAEBE39" w14:textId="4FF32273" w:rsidR="00AD4F90" w:rsidRPr="00177203" w:rsidRDefault="00306188" w:rsidP="00CB485C">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AD4F90" w:rsidRPr="00177203">
        <w:rPr>
          <w:rFonts w:eastAsia="宋体" w:cs="Times New Roman"/>
          <w:b/>
          <w:bCs/>
          <w:color w:val="000000" w:themeColor="text1"/>
          <w:sz w:val="24"/>
          <w:szCs w:val="24"/>
        </w:rPr>
        <w:t xml:space="preserve"> Table 1.</w:t>
      </w:r>
      <w:r w:rsidR="00AD4F90" w:rsidRPr="00177203">
        <w:rPr>
          <w:rFonts w:eastAsia="宋体" w:cs="Times New Roman"/>
          <w:color w:val="000000" w:themeColor="text1"/>
          <w:sz w:val="24"/>
          <w:szCs w:val="24"/>
        </w:rPr>
        <w:t xml:space="preserve"> </w:t>
      </w:r>
      <w:r w:rsidR="0094078F" w:rsidRPr="00177203">
        <w:rPr>
          <w:rFonts w:eastAsia="宋体" w:cs="Times New Roman"/>
          <w:color w:val="000000" w:themeColor="text1"/>
          <w:sz w:val="24"/>
          <w:szCs w:val="24"/>
        </w:rPr>
        <w:t>Summary of recent stud</w:t>
      </w:r>
      <w:r w:rsidR="00266440" w:rsidRPr="00177203">
        <w:rPr>
          <w:rFonts w:eastAsia="宋体" w:cs="Times New Roman"/>
          <w:color w:val="000000" w:themeColor="text1"/>
          <w:sz w:val="24"/>
          <w:szCs w:val="24"/>
        </w:rPr>
        <w:t>ies</w:t>
      </w:r>
      <w:r w:rsidR="0094078F" w:rsidRPr="00177203">
        <w:rPr>
          <w:rFonts w:eastAsia="宋体" w:cs="Times New Roman"/>
          <w:color w:val="000000" w:themeColor="text1"/>
          <w:sz w:val="24"/>
          <w:szCs w:val="24"/>
        </w:rPr>
        <w:t xml:space="preserve"> on e</w:t>
      </w:r>
      <w:r w:rsidR="00AD4F90" w:rsidRPr="00177203">
        <w:rPr>
          <w:rFonts w:eastAsia="宋体" w:cs="Times New Roman"/>
          <w:color w:val="000000" w:themeColor="text1"/>
          <w:sz w:val="24"/>
          <w:szCs w:val="24"/>
        </w:rPr>
        <w:t>lectrosynthesis of urea</w:t>
      </w:r>
      <w:r w:rsidR="00050AB7" w:rsidRPr="00177203">
        <w:rPr>
          <w:rFonts w:eastAsia="宋体" w:cs="Times New Roman"/>
          <w:color w:val="000000" w:themeColor="text1"/>
          <w:sz w:val="24"/>
          <w:szCs w:val="24"/>
        </w:rPr>
        <w:t xml:space="preserve"> from CO</w:t>
      </w:r>
      <w:r w:rsidR="00050AB7" w:rsidRPr="00177203">
        <w:rPr>
          <w:rFonts w:eastAsia="宋体" w:cs="Times New Roman"/>
          <w:color w:val="000000" w:themeColor="text1"/>
          <w:sz w:val="24"/>
          <w:szCs w:val="24"/>
          <w:vertAlign w:val="subscript"/>
        </w:rPr>
        <w:t>2</w:t>
      </w:r>
      <w:r w:rsidR="00050AB7"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050AB7" w:rsidRPr="00177203">
        <w:rPr>
          <w:rFonts w:eastAsia="宋体" w:cs="Times New Roman"/>
          <w:color w:val="000000" w:themeColor="text1"/>
          <w:sz w:val="24"/>
          <w:szCs w:val="24"/>
          <w:vertAlign w:val="superscript"/>
        </w:rPr>
        <w:t>–</w:t>
      </w:r>
      <w:r w:rsidR="00AD4F90" w:rsidRPr="00177203">
        <w:rPr>
          <w:rFonts w:eastAsia="宋体" w:cs="Times New Roman"/>
          <w:color w:val="000000" w:themeColor="text1"/>
          <w:sz w:val="24"/>
          <w:szCs w:val="24"/>
        </w:rPr>
        <w:t>.</w:t>
      </w:r>
    </w:p>
    <w:tbl>
      <w:tblPr>
        <w:tblStyle w:val="a7"/>
        <w:tblW w:w="5000" w:type="pct"/>
        <w:tblBorders>
          <w:left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360"/>
        <w:gridCol w:w="1120"/>
        <w:gridCol w:w="1425"/>
        <w:gridCol w:w="1120"/>
        <w:gridCol w:w="1161"/>
        <w:gridCol w:w="1120"/>
      </w:tblGrid>
      <w:tr w:rsidR="00F65C78" w:rsidRPr="00177203" w14:paraId="68450039" w14:textId="77777777" w:rsidTr="00F65C78">
        <w:tc>
          <w:tcPr>
            <w:tcW w:w="1421" w:type="pct"/>
            <w:tcBorders>
              <w:bottom w:val="single" w:sz="4" w:space="0" w:color="000000" w:themeColor="text1"/>
            </w:tcBorders>
            <w:vAlign w:val="center"/>
          </w:tcPr>
          <w:p w14:paraId="1298AC45" w14:textId="34E0CB66"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Catalyst</w:t>
            </w:r>
          </w:p>
        </w:tc>
        <w:tc>
          <w:tcPr>
            <w:tcW w:w="674" w:type="pct"/>
            <w:tcBorders>
              <w:bottom w:val="single" w:sz="4" w:space="0" w:color="000000" w:themeColor="text1"/>
            </w:tcBorders>
            <w:vAlign w:val="center"/>
          </w:tcPr>
          <w:p w14:paraId="06158160" w14:textId="2EE7E15F"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FE (%)</w:t>
            </w:r>
          </w:p>
        </w:tc>
        <w:tc>
          <w:tcPr>
            <w:tcW w:w="858" w:type="pct"/>
            <w:tcBorders>
              <w:bottom w:val="single" w:sz="4" w:space="0" w:color="000000" w:themeColor="text1"/>
            </w:tcBorders>
            <w:vAlign w:val="center"/>
          </w:tcPr>
          <w:p w14:paraId="0210FD18" w14:textId="10BDC0C6"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Operating potential (vs. RHE)</w:t>
            </w:r>
          </w:p>
        </w:tc>
        <w:tc>
          <w:tcPr>
            <w:tcW w:w="674" w:type="pct"/>
            <w:tcBorders>
              <w:bottom w:val="single" w:sz="4" w:space="0" w:color="000000" w:themeColor="text1"/>
            </w:tcBorders>
            <w:vAlign w:val="center"/>
          </w:tcPr>
          <w:p w14:paraId="60CA448E" w14:textId="7CCA6624"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 xml:space="preserve">Yield rate </w:t>
            </w:r>
            <w:r w:rsidR="00E03661" w:rsidRPr="00177203">
              <w:rPr>
                <w:rFonts w:eastAsia="等线" w:cs="Times New Roman"/>
                <w:color w:val="000000"/>
                <w:sz w:val="24"/>
                <w:szCs w:val="24"/>
              </w:rPr>
              <w:t xml:space="preserve">g </w:t>
            </w:r>
            <w:r w:rsidRPr="00177203">
              <w:rPr>
                <w:rFonts w:eastAsia="等线" w:cs="Times New Roman"/>
                <w:color w:val="000000"/>
                <w:sz w:val="24"/>
                <w:szCs w:val="24"/>
              </w:rPr>
              <w:t>g</w:t>
            </w:r>
            <w:r w:rsidR="00E03661" w:rsidRPr="00177203">
              <w:rPr>
                <w:rFonts w:eastAsia="等线" w:cs="Times New Roman"/>
                <w:color w:val="000000"/>
                <w:sz w:val="24"/>
                <w:szCs w:val="24"/>
                <w:vertAlign w:val="subscript"/>
              </w:rPr>
              <w:t>cat</w:t>
            </w:r>
            <w:r w:rsidR="0094078F" w:rsidRPr="00177203">
              <w:rPr>
                <w:rFonts w:eastAsia="等线" w:cs="Times New Roman"/>
                <w:color w:val="000000"/>
                <w:sz w:val="24"/>
                <w:szCs w:val="24"/>
                <w:vertAlign w:val="superscript"/>
              </w:rPr>
              <w:t>–</w:t>
            </w:r>
            <w:r w:rsidRPr="00177203">
              <w:rPr>
                <w:rFonts w:eastAsia="等线" w:cs="Times New Roman"/>
                <w:color w:val="000000"/>
                <w:sz w:val="24"/>
                <w:szCs w:val="24"/>
                <w:vertAlign w:val="superscript"/>
              </w:rPr>
              <w:t>1</w:t>
            </w:r>
            <w:r w:rsidRPr="00177203">
              <w:rPr>
                <w:rFonts w:eastAsia="等线" w:cs="Times New Roman"/>
                <w:color w:val="000000"/>
                <w:sz w:val="24"/>
                <w:szCs w:val="24"/>
              </w:rPr>
              <w:t xml:space="preserve"> h</w:t>
            </w:r>
            <w:r w:rsidR="0094078F" w:rsidRPr="00177203">
              <w:rPr>
                <w:rFonts w:eastAsia="等线" w:cs="Times New Roman"/>
                <w:color w:val="000000"/>
                <w:sz w:val="24"/>
                <w:szCs w:val="24"/>
                <w:vertAlign w:val="superscript"/>
              </w:rPr>
              <w:t>–</w:t>
            </w:r>
            <w:r w:rsidRPr="00177203">
              <w:rPr>
                <w:rFonts w:eastAsia="等线" w:cs="Times New Roman"/>
                <w:color w:val="000000"/>
                <w:sz w:val="24"/>
                <w:szCs w:val="24"/>
                <w:vertAlign w:val="superscript"/>
              </w:rPr>
              <w:t>1</w:t>
            </w:r>
          </w:p>
        </w:tc>
        <w:tc>
          <w:tcPr>
            <w:tcW w:w="699" w:type="pct"/>
            <w:tcBorders>
              <w:bottom w:val="single" w:sz="4" w:space="0" w:color="000000" w:themeColor="text1"/>
            </w:tcBorders>
            <w:vAlign w:val="center"/>
          </w:tcPr>
          <w:p w14:paraId="4AB4D653" w14:textId="3DD85BA7"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Stability (h)</w:t>
            </w:r>
          </w:p>
        </w:tc>
        <w:tc>
          <w:tcPr>
            <w:tcW w:w="674" w:type="pct"/>
            <w:tcBorders>
              <w:bottom w:val="single" w:sz="4" w:space="0" w:color="000000" w:themeColor="text1"/>
            </w:tcBorders>
            <w:vAlign w:val="center"/>
          </w:tcPr>
          <w:p w14:paraId="168F1DB9" w14:textId="3040FA13" w:rsidR="00F65C78" w:rsidRPr="00177203" w:rsidRDefault="00F65C78" w:rsidP="00F65C78">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Ref.</w:t>
            </w:r>
          </w:p>
        </w:tc>
      </w:tr>
      <w:tr w:rsidR="00E03661" w:rsidRPr="00177203" w14:paraId="0D745A1F" w14:textId="77777777" w:rsidTr="00F65C78">
        <w:tc>
          <w:tcPr>
            <w:tcW w:w="1421" w:type="pct"/>
            <w:tcBorders>
              <w:top w:val="single" w:sz="4" w:space="0" w:color="000000" w:themeColor="text1"/>
            </w:tcBorders>
            <w:vAlign w:val="center"/>
          </w:tcPr>
          <w:p w14:paraId="3A266DC3" w14:textId="3887B4B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宋体" w:cs="Times New Roman"/>
                <w:color w:val="000000" w:themeColor="text1"/>
                <w:sz w:val="24"/>
                <w:szCs w:val="24"/>
              </w:rPr>
              <w:t>tZIF-Cu</w:t>
            </w:r>
            <w:r w:rsidRPr="00177203">
              <w:rPr>
                <w:rFonts w:eastAsia="宋体" w:cs="Times New Roman"/>
                <w:color w:val="000000" w:themeColor="text1"/>
                <w:sz w:val="24"/>
                <w:szCs w:val="24"/>
                <w:vertAlign w:val="subscript"/>
              </w:rPr>
              <w:t>900</w:t>
            </w:r>
          </w:p>
        </w:tc>
        <w:tc>
          <w:tcPr>
            <w:tcW w:w="674" w:type="pct"/>
            <w:tcBorders>
              <w:top w:val="single" w:sz="4" w:space="0" w:color="000000" w:themeColor="text1"/>
            </w:tcBorders>
            <w:vAlign w:val="center"/>
          </w:tcPr>
          <w:p w14:paraId="6F4DB09F" w14:textId="2269E68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98.9</w:t>
            </w:r>
          </w:p>
        </w:tc>
        <w:tc>
          <w:tcPr>
            <w:tcW w:w="858" w:type="pct"/>
            <w:tcBorders>
              <w:top w:val="single" w:sz="4" w:space="0" w:color="000000" w:themeColor="text1"/>
            </w:tcBorders>
            <w:vAlign w:val="center"/>
          </w:tcPr>
          <w:p w14:paraId="127DBB5A" w14:textId="39C3E17B"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–0.7</w:t>
            </w:r>
          </w:p>
        </w:tc>
        <w:tc>
          <w:tcPr>
            <w:tcW w:w="674" w:type="pct"/>
            <w:tcBorders>
              <w:top w:val="single" w:sz="4" w:space="0" w:color="000000" w:themeColor="text1"/>
            </w:tcBorders>
            <w:vAlign w:val="center"/>
          </w:tcPr>
          <w:p w14:paraId="7C891B45" w14:textId="21F3CBEB"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71.32</w:t>
            </w:r>
          </w:p>
        </w:tc>
        <w:tc>
          <w:tcPr>
            <w:tcW w:w="699" w:type="pct"/>
            <w:tcBorders>
              <w:top w:val="single" w:sz="4" w:space="0" w:color="000000" w:themeColor="text1"/>
            </w:tcBorders>
            <w:vAlign w:val="center"/>
          </w:tcPr>
          <w:p w14:paraId="32E83362" w14:textId="660C022A"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300</w:t>
            </w:r>
          </w:p>
        </w:tc>
        <w:tc>
          <w:tcPr>
            <w:tcW w:w="674" w:type="pct"/>
            <w:tcBorders>
              <w:top w:val="single" w:sz="4" w:space="0" w:color="000000" w:themeColor="text1"/>
            </w:tcBorders>
            <w:vAlign w:val="center"/>
          </w:tcPr>
          <w:p w14:paraId="11080042" w14:textId="75BBE1B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This work</w:t>
            </w:r>
          </w:p>
        </w:tc>
      </w:tr>
      <w:tr w:rsidR="00E03661" w:rsidRPr="00177203" w14:paraId="43B47013" w14:textId="77777777" w:rsidTr="00F65C78">
        <w:tc>
          <w:tcPr>
            <w:tcW w:w="1421" w:type="pct"/>
            <w:vAlign w:val="center"/>
          </w:tcPr>
          <w:p w14:paraId="43B21FB8" w14:textId="43CF2F3A"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PCOF-34-Fe</w:t>
            </w:r>
          </w:p>
        </w:tc>
        <w:tc>
          <w:tcPr>
            <w:tcW w:w="674" w:type="pct"/>
            <w:vAlign w:val="center"/>
          </w:tcPr>
          <w:p w14:paraId="2377A21F" w14:textId="7E53A6BF"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51.3</w:t>
            </w:r>
          </w:p>
        </w:tc>
        <w:tc>
          <w:tcPr>
            <w:tcW w:w="858" w:type="pct"/>
            <w:vAlign w:val="center"/>
          </w:tcPr>
          <w:p w14:paraId="3F9355A8" w14:textId="6EE070D4"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–0.6</w:t>
            </w:r>
          </w:p>
        </w:tc>
        <w:tc>
          <w:tcPr>
            <w:tcW w:w="674" w:type="pct"/>
            <w:vAlign w:val="center"/>
          </w:tcPr>
          <w:p w14:paraId="1249D212" w14:textId="37FB9D8F"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8.14</w:t>
            </w:r>
          </w:p>
        </w:tc>
        <w:tc>
          <w:tcPr>
            <w:tcW w:w="699" w:type="pct"/>
            <w:vAlign w:val="center"/>
          </w:tcPr>
          <w:p w14:paraId="350CAD52" w14:textId="39655114"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100</w:t>
            </w:r>
          </w:p>
        </w:tc>
        <w:tc>
          <w:tcPr>
            <w:tcW w:w="674" w:type="pct"/>
            <w:vAlign w:val="center"/>
          </w:tcPr>
          <w:p w14:paraId="4261DFC8" w14:textId="597639E1" w:rsidR="00E03661" w:rsidRPr="00177203" w:rsidRDefault="002954F8" w:rsidP="00E03661">
            <w:pPr>
              <w:widowControl/>
              <w:spacing w:line="240" w:lineRule="auto"/>
              <w:jc w:val="center"/>
              <w:rPr>
                <w:rFonts w:eastAsia="宋体" w:cs="Times New Roman"/>
                <w:color w:val="0070C0"/>
                <w:sz w:val="24"/>
                <w:szCs w:val="24"/>
              </w:rPr>
            </w:pPr>
            <w:r w:rsidRPr="00177203">
              <w:rPr>
                <w:rFonts w:eastAsia="宋体" w:cs="Times New Roman"/>
                <w:noProof/>
                <w:color w:val="0070C0"/>
                <w:sz w:val="24"/>
                <w:szCs w:val="24"/>
              </w:rPr>
              <w:t>19</w:t>
            </w:r>
          </w:p>
        </w:tc>
      </w:tr>
      <w:tr w:rsidR="00E03661" w:rsidRPr="00177203" w14:paraId="33E86DE3" w14:textId="77777777" w:rsidTr="00F65C78">
        <w:tc>
          <w:tcPr>
            <w:tcW w:w="1421" w:type="pct"/>
            <w:vAlign w:val="center"/>
          </w:tcPr>
          <w:p w14:paraId="7C3C7339" w14:textId="7EE43E9C"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w:t>
            </w:r>
          </w:p>
        </w:tc>
        <w:tc>
          <w:tcPr>
            <w:tcW w:w="674" w:type="pct"/>
            <w:vAlign w:val="center"/>
          </w:tcPr>
          <w:p w14:paraId="361D483F" w14:textId="1542D86A"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10</w:t>
            </w:r>
          </w:p>
        </w:tc>
        <w:tc>
          <w:tcPr>
            <w:tcW w:w="858" w:type="pct"/>
            <w:vAlign w:val="center"/>
          </w:tcPr>
          <w:p w14:paraId="1C695A27" w14:textId="6B9C4F45"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–0.75</w:t>
            </w:r>
          </w:p>
        </w:tc>
        <w:tc>
          <w:tcPr>
            <w:tcW w:w="674" w:type="pct"/>
            <w:vAlign w:val="center"/>
          </w:tcPr>
          <w:p w14:paraId="10B445AA" w14:textId="64F125F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99" w:type="pct"/>
            <w:vAlign w:val="center"/>
          </w:tcPr>
          <w:p w14:paraId="6EE146C6" w14:textId="2F7F1AA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536506BA" w14:textId="30D612BB" w:rsidR="00E03661" w:rsidRPr="00177203" w:rsidRDefault="002954F8" w:rsidP="00E03661">
            <w:pPr>
              <w:widowControl/>
              <w:spacing w:line="240" w:lineRule="auto"/>
              <w:jc w:val="center"/>
              <w:rPr>
                <w:rFonts w:eastAsia="宋体" w:cs="Times New Roman"/>
                <w:color w:val="0070C0"/>
                <w:sz w:val="24"/>
                <w:szCs w:val="24"/>
              </w:rPr>
            </w:pPr>
            <w:r w:rsidRPr="00177203">
              <w:rPr>
                <w:rFonts w:eastAsia="宋体" w:cs="Times New Roman"/>
                <w:noProof/>
                <w:color w:val="0070C0"/>
                <w:sz w:val="24"/>
                <w:szCs w:val="24"/>
              </w:rPr>
              <w:t>24</w:t>
            </w:r>
          </w:p>
        </w:tc>
      </w:tr>
      <w:tr w:rsidR="00E03661" w:rsidRPr="00177203" w14:paraId="48AA8891" w14:textId="77777777" w:rsidTr="00F65C78">
        <w:tc>
          <w:tcPr>
            <w:tcW w:w="1421" w:type="pct"/>
            <w:vAlign w:val="center"/>
          </w:tcPr>
          <w:p w14:paraId="76CC6DB6" w14:textId="7241702C"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Zn</w:t>
            </w:r>
          </w:p>
        </w:tc>
        <w:tc>
          <w:tcPr>
            <w:tcW w:w="674" w:type="pct"/>
            <w:vAlign w:val="center"/>
          </w:tcPr>
          <w:p w14:paraId="1B99CD90" w14:textId="53793C1F"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35</w:t>
            </w:r>
          </w:p>
        </w:tc>
        <w:tc>
          <w:tcPr>
            <w:tcW w:w="858" w:type="pct"/>
            <w:vAlign w:val="center"/>
          </w:tcPr>
          <w:p w14:paraId="766FDD42" w14:textId="3CE7FDA4"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–1.75</w:t>
            </w:r>
          </w:p>
        </w:tc>
        <w:tc>
          <w:tcPr>
            <w:tcW w:w="674" w:type="pct"/>
            <w:vAlign w:val="center"/>
          </w:tcPr>
          <w:p w14:paraId="3C8825E9" w14:textId="45C3BF1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99" w:type="pct"/>
            <w:vAlign w:val="center"/>
          </w:tcPr>
          <w:p w14:paraId="4E233C14" w14:textId="410F87D3"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38C49C57" w14:textId="2DDC3D0B"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25</w:t>
            </w:r>
          </w:p>
        </w:tc>
      </w:tr>
      <w:tr w:rsidR="00E03661" w:rsidRPr="00177203" w14:paraId="011B7E16" w14:textId="77777777" w:rsidTr="00F65C78">
        <w:tc>
          <w:tcPr>
            <w:tcW w:w="1421" w:type="pct"/>
            <w:vAlign w:val="center"/>
          </w:tcPr>
          <w:p w14:paraId="51460EF2" w14:textId="57C5780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Ni-Pc</w:t>
            </w:r>
          </w:p>
        </w:tc>
        <w:tc>
          <w:tcPr>
            <w:tcW w:w="674" w:type="pct"/>
            <w:vAlign w:val="center"/>
          </w:tcPr>
          <w:p w14:paraId="07B845D1" w14:textId="4D9A624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40</w:t>
            </w:r>
          </w:p>
        </w:tc>
        <w:tc>
          <w:tcPr>
            <w:tcW w:w="858" w:type="pct"/>
            <w:vAlign w:val="center"/>
          </w:tcPr>
          <w:p w14:paraId="435B059E" w14:textId="6067BD54"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–1.5</w:t>
            </w:r>
          </w:p>
        </w:tc>
        <w:tc>
          <w:tcPr>
            <w:tcW w:w="674" w:type="pct"/>
            <w:vAlign w:val="center"/>
          </w:tcPr>
          <w:p w14:paraId="15F35C10" w14:textId="1EC6A16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99" w:type="pct"/>
            <w:vAlign w:val="center"/>
          </w:tcPr>
          <w:p w14:paraId="341F873D" w14:textId="7AEAC77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3893F631" w14:textId="51769281"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26</w:t>
            </w:r>
          </w:p>
        </w:tc>
      </w:tr>
      <w:tr w:rsidR="00E03661" w:rsidRPr="00177203" w14:paraId="4FC3AB16" w14:textId="77777777" w:rsidTr="00F65C78">
        <w:tc>
          <w:tcPr>
            <w:tcW w:w="1421" w:type="pct"/>
            <w:vAlign w:val="center"/>
          </w:tcPr>
          <w:p w14:paraId="16C0B07E" w14:textId="6505CBC2"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In(OH)</w:t>
            </w:r>
            <w:r w:rsidRPr="00177203">
              <w:rPr>
                <w:rFonts w:eastAsia="等线" w:cs="Times New Roman"/>
                <w:color w:val="000000"/>
                <w:sz w:val="24"/>
                <w:szCs w:val="24"/>
                <w:vertAlign w:val="subscript"/>
              </w:rPr>
              <w:t>3</w:t>
            </w:r>
            <w:r w:rsidRPr="00177203">
              <w:rPr>
                <w:rFonts w:eastAsia="等线" w:cs="Times New Roman"/>
                <w:color w:val="000000"/>
                <w:sz w:val="24"/>
                <w:szCs w:val="24"/>
              </w:rPr>
              <w:t>-S</w:t>
            </w:r>
          </w:p>
        </w:tc>
        <w:tc>
          <w:tcPr>
            <w:tcW w:w="674" w:type="pct"/>
            <w:vAlign w:val="center"/>
          </w:tcPr>
          <w:p w14:paraId="793F827A" w14:textId="2A66CFA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53.4</w:t>
            </w:r>
          </w:p>
        </w:tc>
        <w:tc>
          <w:tcPr>
            <w:tcW w:w="858" w:type="pct"/>
            <w:vAlign w:val="center"/>
          </w:tcPr>
          <w:p w14:paraId="147D6A36" w14:textId="04BDEC31"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–0.6</w:t>
            </w:r>
          </w:p>
        </w:tc>
        <w:tc>
          <w:tcPr>
            <w:tcW w:w="674" w:type="pct"/>
            <w:vAlign w:val="center"/>
          </w:tcPr>
          <w:p w14:paraId="2A605A6F" w14:textId="69FABEDB"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0.53</w:t>
            </w:r>
          </w:p>
        </w:tc>
        <w:tc>
          <w:tcPr>
            <w:tcW w:w="699" w:type="pct"/>
            <w:vAlign w:val="center"/>
          </w:tcPr>
          <w:p w14:paraId="4D7A0C5F" w14:textId="1F5CCE8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12</w:t>
            </w:r>
          </w:p>
        </w:tc>
        <w:tc>
          <w:tcPr>
            <w:tcW w:w="674" w:type="pct"/>
            <w:vAlign w:val="center"/>
          </w:tcPr>
          <w:p w14:paraId="5E396D41" w14:textId="4CBA3179"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27</w:t>
            </w:r>
          </w:p>
        </w:tc>
      </w:tr>
      <w:tr w:rsidR="00E03661" w:rsidRPr="00177203" w14:paraId="4A920709" w14:textId="77777777" w:rsidTr="00F65C78">
        <w:tc>
          <w:tcPr>
            <w:tcW w:w="1421" w:type="pct"/>
            <w:vAlign w:val="center"/>
          </w:tcPr>
          <w:p w14:paraId="20873BB1" w14:textId="3002CC9E"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Vo-</w:t>
            </w:r>
            <w:proofErr w:type="spellStart"/>
            <w:r w:rsidRPr="00177203">
              <w:rPr>
                <w:rFonts w:eastAsia="等线" w:cs="Times New Roman"/>
                <w:color w:val="000000"/>
                <w:sz w:val="24"/>
                <w:szCs w:val="24"/>
              </w:rPr>
              <w:t>InOOH</w:t>
            </w:r>
            <w:proofErr w:type="spellEnd"/>
          </w:p>
        </w:tc>
        <w:tc>
          <w:tcPr>
            <w:tcW w:w="674" w:type="pct"/>
            <w:vAlign w:val="center"/>
          </w:tcPr>
          <w:p w14:paraId="7F09C0D3" w14:textId="76709E1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51</w:t>
            </w:r>
          </w:p>
        </w:tc>
        <w:tc>
          <w:tcPr>
            <w:tcW w:w="858" w:type="pct"/>
            <w:vAlign w:val="center"/>
          </w:tcPr>
          <w:p w14:paraId="34376274" w14:textId="6F86DE8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–0.5</w:t>
            </w:r>
          </w:p>
        </w:tc>
        <w:tc>
          <w:tcPr>
            <w:tcW w:w="674" w:type="pct"/>
            <w:vAlign w:val="center"/>
          </w:tcPr>
          <w:p w14:paraId="4BC8C319" w14:textId="58E9BFD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0.59</w:t>
            </w:r>
          </w:p>
        </w:tc>
        <w:tc>
          <w:tcPr>
            <w:tcW w:w="699" w:type="pct"/>
            <w:vAlign w:val="center"/>
          </w:tcPr>
          <w:p w14:paraId="6FF17071" w14:textId="29A055AC"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24</w:t>
            </w:r>
          </w:p>
        </w:tc>
        <w:tc>
          <w:tcPr>
            <w:tcW w:w="674" w:type="pct"/>
            <w:vAlign w:val="center"/>
          </w:tcPr>
          <w:p w14:paraId="1C73A181" w14:textId="5CDFC2E3"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28</w:t>
            </w:r>
          </w:p>
        </w:tc>
      </w:tr>
      <w:tr w:rsidR="00E03661" w:rsidRPr="00177203" w14:paraId="014A6E5C" w14:textId="77777777" w:rsidTr="00F65C78">
        <w:tc>
          <w:tcPr>
            <w:tcW w:w="1421" w:type="pct"/>
            <w:vAlign w:val="center"/>
          </w:tcPr>
          <w:p w14:paraId="322A2384" w14:textId="2BB62823"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Cu-GS-800</w:t>
            </w:r>
          </w:p>
        </w:tc>
        <w:tc>
          <w:tcPr>
            <w:tcW w:w="674" w:type="pct"/>
            <w:vAlign w:val="center"/>
          </w:tcPr>
          <w:p w14:paraId="15A157F9" w14:textId="062E95EB"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28</w:t>
            </w:r>
          </w:p>
        </w:tc>
        <w:tc>
          <w:tcPr>
            <w:tcW w:w="858" w:type="pct"/>
            <w:vAlign w:val="center"/>
          </w:tcPr>
          <w:p w14:paraId="69B896D7" w14:textId="20604B0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–0.9</w:t>
            </w:r>
          </w:p>
        </w:tc>
        <w:tc>
          <w:tcPr>
            <w:tcW w:w="674" w:type="pct"/>
            <w:vAlign w:val="center"/>
          </w:tcPr>
          <w:p w14:paraId="697F9676" w14:textId="0A617EF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1.82</w:t>
            </w:r>
          </w:p>
        </w:tc>
        <w:tc>
          <w:tcPr>
            <w:tcW w:w="699" w:type="pct"/>
            <w:vAlign w:val="center"/>
          </w:tcPr>
          <w:p w14:paraId="5EBC1D55" w14:textId="0B3AD19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12</w:t>
            </w:r>
          </w:p>
        </w:tc>
        <w:tc>
          <w:tcPr>
            <w:tcW w:w="674" w:type="pct"/>
            <w:vAlign w:val="center"/>
          </w:tcPr>
          <w:p w14:paraId="71BE385E" w14:textId="09566A7E"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29</w:t>
            </w:r>
          </w:p>
        </w:tc>
      </w:tr>
      <w:tr w:rsidR="00E03661" w:rsidRPr="00177203" w14:paraId="07BD73BB" w14:textId="77777777" w:rsidTr="00F65C78">
        <w:tc>
          <w:tcPr>
            <w:tcW w:w="1421" w:type="pct"/>
            <w:vAlign w:val="center"/>
          </w:tcPr>
          <w:p w14:paraId="55C522CA" w14:textId="5A39DABE"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BIF-29(Cu)</w:t>
            </w:r>
          </w:p>
        </w:tc>
        <w:tc>
          <w:tcPr>
            <w:tcW w:w="674" w:type="pct"/>
            <w:vAlign w:val="center"/>
          </w:tcPr>
          <w:p w14:paraId="06D47E52" w14:textId="78899C7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68.5</w:t>
            </w:r>
          </w:p>
        </w:tc>
        <w:tc>
          <w:tcPr>
            <w:tcW w:w="858" w:type="pct"/>
            <w:vAlign w:val="center"/>
          </w:tcPr>
          <w:p w14:paraId="20FEC896" w14:textId="78BE8154"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–0.3</w:t>
            </w:r>
          </w:p>
        </w:tc>
        <w:tc>
          <w:tcPr>
            <w:tcW w:w="674" w:type="pct"/>
            <w:vAlign w:val="center"/>
          </w:tcPr>
          <w:p w14:paraId="6961F031" w14:textId="001109BB"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99" w:type="pct"/>
            <w:vAlign w:val="center"/>
          </w:tcPr>
          <w:p w14:paraId="6D486F80" w14:textId="0DBA0BA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0EEA6A54" w14:textId="65D4851D"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30</w:t>
            </w:r>
          </w:p>
        </w:tc>
      </w:tr>
      <w:tr w:rsidR="00E03661" w:rsidRPr="00177203" w14:paraId="09EBCD16" w14:textId="77777777" w:rsidTr="00F65C78">
        <w:tc>
          <w:tcPr>
            <w:tcW w:w="1421" w:type="pct"/>
            <w:vAlign w:val="center"/>
          </w:tcPr>
          <w:p w14:paraId="10161C80" w14:textId="66B21113"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CuWO</w:t>
            </w:r>
            <w:r w:rsidRPr="00177203">
              <w:rPr>
                <w:rFonts w:eastAsia="等线" w:cs="Times New Roman"/>
                <w:color w:val="000000"/>
                <w:sz w:val="24"/>
                <w:szCs w:val="24"/>
                <w:vertAlign w:val="subscript"/>
              </w:rPr>
              <w:t>4</w:t>
            </w:r>
          </w:p>
        </w:tc>
        <w:tc>
          <w:tcPr>
            <w:tcW w:w="674" w:type="pct"/>
            <w:vAlign w:val="center"/>
          </w:tcPr>
          <w:p w14:paraId="3B50043C" w14:textId="5845F18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70.1</w:t>
            </w:r>
          </w:p>
        </w:tc>
        <w:tc>
          <w:tcPr>
            <w:tcW w:w="858" w:type="pct"/>
            <w:vAlign w:val="center"/>
          </w:tcPr>
          <w:p w14:paraId="07BF524F" w14:textId="710C9113"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–0.2</w:t>
            </w:r>
          </w:p>
        </w:tc>
        <w:tc>
          <w:tcPr>
            <w:tcW w:w="674" w:type="pct"/>
            <w:vAlign w:val="center"/>
          </w:tcPr>
          <w:p w14:paraId="51C55260" w14:textId="5D516915"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0.1</w:t>
            </w:r>
          </w:p>
        </w:tc>
        <w:tc>
          <w:tcPr>
            <w:tcW w:w="699" w:type="pct"/>
            <w:vAlign w:val="center"/>
          </w:tcPr>
          <w:p w14:paraId="19F61720" w14:textId="05974A5F"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10</w:t>
            </w:r>
          </w:p>
        </w:tc>
        <w:tc>
          <w:tcPr>
            <w:tcW w:w="674" w:type="pct"/>
            <w:vAlign w:val="center"/>
          </w:tcPr>
          <w:p w14:paraId="10E1EFD5" w14:textId="4ACCD0C5"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31</w:t>
            </w:r>
          </w:p>
        </w:tc>
      </w:tr>
      <w:tr w:rsidR="00E03661" w:rsidRPr="00177203" w14:paraId="348EB623" w14:textId="77777777" w:rsidTr="00F65C78">
        <w:tc>
          <w:tcPr>
            <w:tcW w:w="1421" w:type="pct"/>
            <w:vAlign w:val="center"/>
          </w:tcPr>
          <w:p w14:paraId="61D58F83" w14:textId="3E2E709A"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CuO</w:t>
            </w:r>
            <w:r w:rsidRPr="00177203">
              <w:rPr>
                <w:rFonts w:eastAsia="等线" w:cs="Times New Roman"/>
                <w:color w:val="000000"/>
                <w:sz w:val="24"/>
                <w:szCs w:val="24"/>
                <w:vertAlign w:val="subscript"/>
              </w:rPr>
              <w:t>50</w:t>
            </w:r>
            <w:r w:rsidRPr="00177203">
              <w:rPr>
                <w:rFonts w:eastAsia="等线" w:cs="Times New Roman"/>
                <w:color w:val="000000"/>
                <w:sz w:val="24"/>
                <w:szCs w:val="24"/>
              </w:rPr>
              <w:t>ZnO</w:t>
            </w:r>
            <w:r w:rsidRPr="00177203">
              <w:rPr>
                <w:rFonts w:eastAsia="等线" w:cs="Times New Roman"/>
                <w:color w:val="000000"/>
                <w:sz w:val="24"/>
                <w:szCs w:val="24"/>
                <w:vertAlign w:val="subscript"/>
              </w:rPr>
              <w:t>50</w:t>
            </w:r>
          </w:p>
        </w:tc>
        <w:tc>
          <w:tcPr>
            <w:tcW w:w="674" w:type="pct"/>
            <w:vAlign w:val="center"/>
          </w:tcPr>
          <w:p w14:paraId="58EF8EF2" w14:textId="16A2904D"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41</w:t>
            </w:r>
          </w:p>
        </w:tc>
        <w:tc>
          <w:tcPr>
            <w:tcW w:w="858" w:type="pct"/>
            <w:vAlign w:val="center"/>
          </w:tcPr>
          <w:p w14:paraId="794BCB81" w14:textId="00B1C5A1"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–0.8</w:t>
            </w:r>
          </w:p>
        </w:tc>
        <w:tc>
          <w:tcPr>
            <w:tcW w:w="674" w:type="pct"/>
            <w:vAlign w:val="center"/>
          </w:tcPr>
          <w:p w14:paraId="6BCAFBC9" w14:textId="08AE64F2"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12.78</w:t>
            </w:r>
          </w:p>
        </w:tc>
        <w:tc>
          <w:tcPr>
            <w:tcW w:w="699" w:type="pct"/>
            <w:vAlign w:val="center"/>
          </w:tcPr>
          <w:p w14:paraId="652A4BD2" w14:textId="79A1F41A"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22ABB698" w14:textId="0CA20709"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32</w:t>
            </w:r>
          </w:p>
        </w:tc>
      </w:tr>
      <w:tr w:rsidR="00E03661" w:rsidRPr="00177203" w14:paraId="4765098D" w14:textId="77777777" w:rsidTr="00F65C78">
        <w:tc>
          <w:tcPr>
            <w:tcW w:w="1421" w:type="pct"/>
            <w:vAlign w:val="center"/>
          </w:tcPr>
          <w:p w14:paraId="59A4F0A8" w14:textId="0BC502D2"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(MOF) Cu-HATNA</w:t>
            </w:r>
          </w:p>
        </w:tc>
        <w:tc>
          <w:tcPr>
            <w:tcW w:w="674" w:type="pct"/>
            <w:vAlign w:val="center"/>
          </w:tcPr>
          <w:p w14:paraId="27B13FB7" w14:textId="2009F54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25</w:t>
            </w:r>
          </w:p>
        </w:tc>
        <w:tc>
          <w:tcPr>
            <w:tcW w:w="858" w:type="pct"/>
            <w:vAlign w:val="center"/>
          </w:tcPr>
          <w:p w14:paraId="55E60B6C" w14:textId="3395CD2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–0.6</w:t>
            </w:r>
          </w:p>
        </w:tc>
        <w:tc>
          <w:tcPr>
            <w:tcW w:w="674" w:type="pct"/>
            <w:vAlign w:val="center"/>
          </w:tcPr>
          <w:p w14:paraId="7551140F" w14:textId="6FF94E5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1.46</w:t>
            </w:r>
          </w:p>
        </w:tc>
        <w:tc>
          <w:tcPr>
            <w:tcW w:w="699" w:type="pct"/>
            <w:vAlign w:val="center"/>
          </w:tcPr>
          <w:p w14:paraId="427B7DE2" w14:textId="6D20B266"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16991973" w14:textId="6BCBFA14"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33</w:t>
            </w:r>
          </w:p>
        </w:tc>
      </w:tr>
      <w:tr w:rsidR="00E03661" w:rsidRPr="00177203" w14:paraId="4463424B" w14:textId="77777777" w:rsidTr="00F65C78">
        <w:tc>
          <w:tcPr>
            <w:tcW w:w="1421" w:type="pct"/>
            <w:vAlign w:val="center"/>
          </w:tcPr>
          <w:p w14:paraId="6BD73C9F" w14:textId="4529B53E"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 xml:space="preserve">3D Zn/Cu </w:t>
            </w:r>
            <w:proofErr w:type="spellStart"/>
            <w:r w:rsidRPr="00177203">
              <w:rPr>
                <w:rFonts w:eastAsia="等线" w:cs="Times New Roman"/>
                <w:color w:val="000000"/>
                <w:sz w:val="24"/>
                <w:szCs w:val="24"/>
              </w:rPr>
              <w:t>hybridcatalyst</w:t>
            </w:r>
            <w:proofErr w:type="spellEnd"/>
          </w:p>
        </w:tc>
        <w:tc>
          <w:tcPr>
            <w:tcW w:w="674" w:type="pct"/>
            <w:vAlign w:val="center"/>
          </w:tcPr>
          <w:p w14:paraId="3B3D7FE5" w14:textId="6C1AD81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63</w:t>
            </w:r>
          </w:p>
        </w:tc>
        <w:tc>
          <w:tcPr>
            <w:tcW w:w="858" w:type="pct"/>
            <w:vAlign w:val="center"/>
          </w:tcPr>
          <w:p w14:paraId="41604FD4" w14:textId="458AE2C2"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–0.8</w:t>
            </w:r>
          </w:p>
        </w:tc>
        <w:tc>
          <w:tcPr>
            <w:tcW w:w="674" w:type="pct"/>
            <w:vAlign w:val="center"/>
          </w:tcPr>
          <w:p w14:paraId="26E3577A" w14:textId="051614C3"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3.57</w:t>
            </w:r>
          </w:p>
        </w:tc>
        <w:tc>
          <w:tcPr>
            <w:tcW w:w="699" w:type="pct"/>
            <w:vAlign w:val="center"/>
          </w:tcPr>
          <w:p w14:paraId="7A9FA687" w14:textId="15CACA6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59C4869F" w14:textId="2B1E7C4C"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34</w:t>
            </w:r>
          </w:p>
        </w:tc>
      </w:tr>
      <w:tr w:rsidR="00E03661" w:rsidRPr="00177203" w14:paraId="6108123A" w14:textId="77777777" w:rsidTr="00F65C78">
        <w:tc>
          <w:tcPr>
            <w:tcW w:w="1421" w:type="pct"/>
            <w:vAlign w:val="center"/>
          </w:tcPr>
          <w:p w14:paraId="12444BEB" w14:textId="2980A5DE"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Cu-SP-</w:t>
            </w:r>
            <w:proofErr w:type="spellStart"/>
            <w:r w:rsidRPr="00177203">
              <w:rPr>
                <w:rFonts w:eastAsia="等线" w:cs="Times New Roman"/>
                <w:color w:val="000000"/>
                <w:sz w:val="24"/>
                <w:szCs w:val="24"/>
              </w:rPr>
              <w:t>OMe</w:t>
            </w:r>
            <w:proofErr w:type="spellEnd"/>
          </w:p>
        </w:tc>
        <w:tc>
          <w:tcPr>
            <w:tcW w:w="674" w:type="pct"/>
            <w:vAlign w:val="center"/>
          </w:tcPr>
          <w:p w14:paraId="61213A08" w14:textId="4767FA5C"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57.9</w:t>
            </w:r>
          </w:p>
        </w:tc>
        <w:tc>
          <w:tcPr>
            <w:tcW w:w="858" w:type="pct"/>
            <w:vAlign w:val="center"/>
          </w:tcPr>
          <w:p w14:paraId="52BC1F92" w14:textId="72722C6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–0.49</w:t>
            </w:r>
          </w:p>
        </w:tc>
        <w:tc>
          <w:tcPr>
            <w:tcW w:w="674" w:type="pct"/>
            <w:vAlign w:val="center"/>
          </w:tcPr>
          <w:p w14:paraId="1613F5A4" w14:textId="6AD6F53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3.64</w:t>
            </w:r>
          </w:p>
        </w:tc>
        <w:tc>
          <w:tcPr>
            <w:tcW w:w="699" w:type="pct"/>
            <w:vAlign w:val="center"/>
          </w:tcPr>
          <w:p w14:paraId="16C340A4" w14:textId="0545D7F1"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5B937F8F" w14:textId="62F6C662"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35</w:t>
            </w:r>
          </w:p>
        </w:tc>
      </w:tr>
      <w:tr w:rsidR="00E03661" w:rsidRPr="00177203" w14:paraId="09E4CA51" w14:textId="77777777" w:rsidTr="00F65C78">
        <w:tc>
          <w:tcPr>
            <w:tcW w:w="1421" w:type="pct"/>
            <w:vAlign w:val="center"/>
          </w:tcPr>
          <w:p w14:paraId="71F5DB8B" w14:textId="55A8CE00"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Mo-PCN-222(Co)</w:t>
            </w:r>
          </w:p>
        </w:tc>
        <w:tc>
          <w:tcPr>
            <w:tcW w:w="674" w:type="pct"/>
            <w:vAlign w:val="center"/>
          </w:tcPr>
          <w:p w14:paraId="7FF44580" w14:textId="47F3C019"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33.9</w:t>
            </w:r>
          </w:p>
        </w:tc>
        <w:tc>
          <w:tcPr>
            <w:tcW w:w="858" w:type="pct"/>
            <w:vAlign w:val="center"/>
          </w:tcPr>
          <w:p w14:paraId="591B2FD1" w14:textId="2B40D46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–0.4</w:t>
            </w:r>
          </w:p>
        </w:tc>
        <w:tc>
          <w:tcPr>
            <w:tcW w:w="674" w:type="pct"/>
            <w:vAlign w:val="center"/>
          </w:tcPr>
          <w:p w14:paraId="0306498F" w14:textId="501DFE1F"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0.84</w:t>
            </w:r>
          </w:p>
        </w:tc>
        <w:tc>
          <w:tcPr>
            <w:tcW w:w="699" w:type="pct"/>
            <w:vAlign w:val="center"/>
          </w:tcPr>
          <w:p w14:paraId="2340A441" w14:textId="6D349EF2"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01EA1907" w14:textId="6F010354"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36</w:t>
            </w:r>
          </w:p>
        </w:tc>
      </w:tr>
      <w:tr w:rsidR="00E03661" w:rsidRPr="00177203" w14:paraId="2925E49D" w14:textId="77777777" w:rsidTr="00F65C78">
        <w:tc>
          <w:tcPr>
            <w:tcW w:w="1421" w:type="pct"/>
            <w:vAlign w:val="center"/>
          </w:tcPr>
          <w:p w14:paraId="25B1CCE6" w14:textId="45752DAD"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CuInS</w:t>
            </w:r>
            <w:r w:rsidRPr="00177203">
              <w:rPr>
                <w:rFonts w:eastAsia="等线" w:cs="Times New Roman"/>
                <w:color w:val="000000"/>
                <w:sz w:val="24"/>
                <w:szCs w:val="24"/>
                <w:vertAlign w:val="subscript"/>
              </w:rPr>
              <w:t>2</w:t>
            </w:r>
          </w:p>
        </w:tc>
        <w:tc>
          <w:tcPr>
            <w:tcW w:w="674" w:type="pct"/>
            <w:vAlign w:val="center"/>
          </w:tcPr>
          <w:p w14:paraId="310E5D36" w14:textId="3B6625E8"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19.6</w:t>
            </w:r>
          </w:p>
        </w:tc>
        <w:tc>
          <w:tcPr>
            <w:tcW w:w="858" w:type="pct"/>
            <w:vAlign w:val="center"/>
          </w:tcPr>
          <w:p w14:paraId="0F1AA94D" w14:textId="21118307"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–0.8</w:t>
            </w:r>
          </w:p>
        </w:tc>
        <w:tc>
          <w:tcPr>
            <w:tcW w:w="674" w:type="pct"/>
            <w:vAlign w:val="center"/>
          </w:tcPr>
          <w:p w14:paraId="0CDDA9CB" w14:textId="194F517D"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2.99</w:t>
            </w:r>
          </w:p>
        </w:tc>
        <w:tc>
          <w:tcPr>
            <w:tcW w:w="699" w:type="pct"/>
            <w:vAlign w:val="center"/>
          </w:tcPr>
          <w:p w14:paraId="2EC79AC7" w14:textId="37BB5ADE" w:rsidR="00E03661" w:rsidRPr="00177203" w:rsidRDefault="00E03661" w:rsidP="00E03661">
            <w:pPr>
              <w:widowControl/>
              <w:spacing w:line="240" w:lineRule="auto"/>
              <w:jc w:val="center"/>
              <w:rPr>
                <w:rFonts w:eastAsia="宋体" w:cs="Times New Roman"/>
                <w:b/>
                <w:bCs/>
                <w:color w:val="000000" w:themeColor="text1"/>
                <w:sz w:val="24"/>
                <w:szCs w:val="24"/>
              </w:rPr>
            </w:pPr>
            <w:r w:rsidRPr="00177203">
              <w:rPr>
                <w:rFonts w:eastAsia="等线" w:cs="Times New Roman"/>
                <w:color w:val="000000"/>
                <w:sz w:val="24"/>
                <w:szCs w:val="24"/>
              </w:rPr>
              <w:t>N.A.</w:t>
            </w:r>
          </w:p>
        </w:tc>
        <w:tc>
          <w:tcPr>
            <w:tcW w:w="674" w:type="pct"/>
            <w:vAlign w:val="center"/>
          </w:tcPr>
          <w:p w14:paraId="3A898974" w14:textId="6C616E16" w:rsidR="00E03661" w:rsidRPr="00177203" w:rsidRDefault="002954F8" w:rsidP="00E03661">
            <w:pPr>
              <w:widowControl/>
              <w:spacing w:line="240" w:lineRule="auto"/>
              <w:jc w:val="center"/>
              <w:rPr>
                <w:rFonts w:eastAsia="宋体" w:cs="Times New Roman"/>
                <w:color w:val="0070C0"/>
                <w:sz w:val="24"/>
                <w:szCs w:val="24"/>
              </w:rPr>
            </w:pPr>
            <w:r w:rsidRPr="00177203">
              <w:rPr>
                <w:rFonts w:eastAsia="等线" w:cs="Times New Roman"/>
                <w:noProof/>
                <w:color w:val="0070C0"/>
                <w:sz w:val="24"/>
                <w:szCs w:val="24"/>
              </w:rPr>
              <w:t>37</w:t>
            </w:r>
          </w:p>
        </w:tc>
      </w:tr>
      <w:tr w:rsidR="00E03661" w:rsidRPr="00177203" w14:paraId="5239F9D9" w14:textId="77777777" w:rsidTr="00F65C78">
        <w:tc>
          <w:tcPr>
            <w:tcW w:w="1421" w:type="pct"/>
            <w:vAlign w:val="center"/>
          </w:tcPr>
          <w:p w14:paraId="66A04CEB" w14:textId="0CF43C2E"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VB</w:t>
            </w:r>
            <w:r w:rsidRPr="00177203">
              <w:rPr>
                <w:rFonts w:eastAsia="等线" w:cs="Times New Roman"/>
                <w:sz w:val="24"/>
                <w:szCs w:val="24"/>
                <w:vertAlign w:val="subscript"/>
              </w:rPr>
              <w:t>12</w:t>
            </w:r>
            <w:r w:rsidRPr="00177203">
              <w:rPr>
                <w:rFonts w:eastAsia="等线" w:cs="Times New Roman"/>
                <w:sz w:val="24"/>
                <w:szCs w:val="24"/>
              </w:rPr>
              <w:t>-CNTs/CP</w:t>
            </w:r>
          </w:p>
        </w:tc>
        <w:tc>
          <w:tcPr>
            <w:tcW w:w="674" w:type="pct"/>
            <w:vAlign w:val="center"/>
          </w:tcPr>
          <w:p w14:paraId="2EB3CF3B" w14:textId="10B56D42"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26.04</w:t>
            </w:r>
          </w:p>
        </w:tc>
        <w:tc>
          <w:tcPr>
            <w:tcW w:w="858" w:type="pct"/>
            <w:vAlign w:val="center"/>
          </w:tcPr>
          <w:p w14:paraId="4321C793" w14:textId="1DDD4BA4"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–0.5</w:t>
            </w:r>
          </w:p>
        </w:tc>
        <w:tc>
          <w:tcPr>
            <w:tcW w:w="674" w:type="pct"/>
            <w:vAlign w:val="center"/>
          </w:tcPr>
          <w:p w14:paraId="01F234A3" w14:textId="7E183897"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0.16</w:t>
            </w:r>
          </w:p>
        </w:tc>
        <w:tc>
          <w:tcPr>
            <w:tcW w:w="699" w:type="pct"/>
            <w:vAlign w:val="center"/>
          </w:tcPr>
          <w:p w14:paraId="43DA09B6" w14:textId="369DA4CA"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50</w:t>
            </w:r>
          </w:p>
        </w:tc>
        <w:tc>
          <w:tcPr>
            <w:tcW w:w="674" w:type="pct"/>
            <w:vAlign w:val="center"/>
          </w:tcPr>
          <w:p w14:paraId="1EB36350" w14:textId="20687485"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38</w:t>
            </w:r>
          </w:p>
        </w:tc>
      </w:tr>
      <w:tr w:rsidR="00E03661" w:rsidRPr="00177203" w14:paraId="68AC96E8" w14:textId="77777777" w:rsidTr="00F65C78">
        <w:tc>
          <w:tcPr>
            <w:tcW w:w="1421" w:type="pct"/>
            <w:vAlign w:val="center"/>
          </w:tcPr>
          <w:p w14:paraId="6C14AC83" w14:textId="7FC0358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B-</w:t>
            </w:r>
            <w:proofErr w:type="spellStart"/>
            <w:r w:rsidRPr="00177203">
              <w:rPr>
                <w:rFonts w:eastAsia="等线" w:cs="Times New Roman"/>
                <w:sz w:val="24"/>
                <w:szCs w:val="24"/>
              </w:rPr>
              <w:t>FeNi</w:t>
            </w:r>
            <w:proofErr w:type="spellEnd"/>
            <w:r w:rsidRPr="00177203">
              <w:rPr>
                <w:rFonts w:eastAsia="等线" w:cs="Times New Roman"/>
                <w:sz w:val="24"/>
                <w:szCs w:val="24"/>
              </w:rPr>
              <w:t>-DASC</w:t>
            </w:r>
          </w:p>
        </w:tc>
        <w:tc>
          <w:tcPr>
            <w:tcW w:w="674" w:type="pct"/>
            <w:vAlign w:val="center"/>
          </w:tcPr>
          <w:p w14:paraId="702B0C2E" w14:textId="0BD29520"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17.8</w:t>
            </w:r>
          </w:p>
        </w:tc>
        <w:tc>
          <w:tcPr>
            <w:tcW w:w="858" w:type="pct"/>
            <w:vAlign w:val="center"/>
          </w:tcPr>
          <w:p w14:paraId="3E7F44CF" w14:textId="4C4D6A33"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–1.5</w:t>
            </w:r>
          </w:p>
        </w:tc>
        <w:tc>
          <w:tcPr>
            <w:tcW w:w="674" w:type="pct"/>
            <w:vAlign w:val="center"/>
          </w:tcPr>
          <w:p w14:paraId="337F9C08" w14:textId="68C742DA"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1.21</w:t>
            </w:r>
          </w:p>
        </w:tc>
        <w:tc>
          <w:tcPr>
            <w:tcW w:w="699" w:type="pct"/>
            <w:vAlign w:val="center"/>
          </w:tcPr>
          <w:p w14:paraId="4191A8C9" w14:textId="13864E0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0C05049C" w14:textId="760CFA2C"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39</w:t>
            </w:r>
          </w:p>
        </w:tc>
      </w:tr>
      <w:tr w:rsidR="00E03661" w:rsidRPr="00177203" w14:paraId="48FBBBE3" w14:textId="77777777" w:rsidTr="00F65C78">
        <w:tc>
          <w:tcPr>
            <w:tcW w:w="1421" w:type="pct"/>
            <w:vAlign w:val="center"/>
          </w:tcPr>
          <w:p w14:paraId="4034E1FD" w14:textId="226CB5E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Vo-S-IO-6</w:t>
            </w:r>
          </w:p>
        </w:tc>
        <w:tc>
          <w:tcPr>
            <w:tcW w:w="674" w:type="pct"/>
            <w:vAlign w:val="center"/>
          </w:tcPr>
          <w:p w14:paraId="47CE7A3B" w14:textId="3F8BBB82"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60.6</w:t>
            </w:r>
          </w:p>
        </w:tc>
        <w:tc>
          <w:tcPr>
            <w:tcW w:w="858" w:type="pct"/>
            <w:vAlign w:val="center"/>
          </w:tcPr>
          <w:p w14:paraId="573402AC" w14:textId="241C92DF"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–0.6</w:t>
            </w:r>
          </w:p>
        </w:tc>
        <w:tc>
          <w:tcPr>
            <w:tcW w:w="674" w:type="pct"/>
            <w:vAlign w:val="center"/>
          </w:tcPr>
          <w:p w14:paraId="01576724" w14:textId="5B097ED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0.91</w:t>
            </w:r>
          </w:p>
        </w:tc>
        <w:tc>
          <w:tcPr>
            <w:tcW w:w="699" w:type="pct"/>
            <w:vAlign w:val="center"/>
          </w:tcPr>
          <w:p w14:paraId="111C7DB6" w14:textId="3351995E"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0D0F7A5A" w14:textId="1A330CF2"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40</w:t>
            </w:r>
          </w:p>
        </w:tc>
      </w:tr>
      <w:tr w:rsidR="00E03661" w:rsidRPr="00177203" w14:paraId="5B5803C2" w14:textId="77777777" w:rsidTr="00F65C78">
        <w:tc>
          <w:tcPr>
            <w:tcW w:w="1421" w:type="pct"/>
            <w:vAlign w:val="center"/>
          </w:tcPr>
          <w:p w14:paraId="21F53F0D" w14:textId="5C757DB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In-TiO</w:t>
            </w:r>
            <w:r w:rsidRPr="00177203">
              <w:rPr>
                <w:rFonts w:eastAsia="等线" w:cs="Times New Roman"/>
                <w:sz w:val="24"/>
                <w:szCs w:val="24"/>
                <w:vertAlign w:val="subscript"/>
              </w:rPr>
              <w:t>2</w:t>
            </w:r>
          </w:p>
        </w:tc>
        <w:tc>
          <w:tcPr>
            <w:tcW w:w="674" w:type="pct"/>
            <w:vAlign w:val="center"/>
          </w:tcPr>
          <w:p w14:paraId="588094F6" w14:textId="2264DC21"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9.06</w:t>
            </w:r>
          </w:p>
        </w:tc>
        <w:tc>
          <w:tcPr>
            <w:tcW w:w="858" w:type="pct"/>
            <w:vAlign w:val="center"/>
          </w:tcPr>
          <w:p w14:paraId="57DF86E5" w14:textId="36EB6E49"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–0.65</w:t>
            </w:r>
          </w:p>
        </w:tc>
        <w:tc>
          <w:tcPr>
            <w:tcW w:w="674" w:type="pct"/>
            <w:vAlign w:val="center"/>
          </w:tcPr>
          <w:p w14:paraId="3546DDC0" w14:textId="501974B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0.76</w:t>
            </w:r>
          </w:p>
        </w:tc>
        <w:tc>
          <w:tcPr>
            <w:tcW w:w="699" w:type="pct"/>
            <w:vAlign w:val="center"/>
          </w:tcPr>
          <w:p w14:paraId="7AB5F16D" w14:textId="37F61175"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30FBEB45" w14:textId="1C2CC027"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41</w:t>
            </w:r>
          </w:p>
        </w:tc>
      </w:tr>
      <w:tr w:rsidR="00E03661" w:rsidRPr="00177203" w14:paraId="71F70297" w14:textId="77777777" w:rsidTr="00F65C78">
        <w:tc>
          <w:tcPr>
            <w:tcW w:w="1421" w:type="pct"/>
            <w:vAlign w:val="center"/>
          </w:tcPr>
          <w:p w14:paraId="27A24E53" w14:textId="7608854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Cu</w:t>
            </w:r>
            <w:r w:rsidRPr="00177203">
              <w:rPr>
                <w:rFonts w:eastAsia="等线" w:cs="Times New Roman"/>
                <w:sz w:val="24"/>
                <w:szCs w:val="24"/>
                <w:vertAlign w:val="subscript"/>
              </w:rPr>
              <w:t>1</w:t>
            </w:r>
            <w:r w:rsidRPr="00177203">
              <w:rPr>
                <w:rFonts w:eastAsia="等线" w:cs="Times New Roman"/>
                <w:sz w:val="24"/>
                <w:szCs w:val="24"/>
              </w:rPr>
              <w:t>CeO</w:t>
            </w:r>
            <w:r w:rsidRPr="00177203">
              <w:rPr>
                <w:rFonts w:eastAsia="等线" w:cs="Times New Roman"/>
                <w:sz w:val="24"/>
                <w:szCs w:val="24"/>
                <w:vertAlign w:val="subscript"/>
              </w:rPr>
              <w:t>2</w:t>
            </w:r>
          </w:p>
        </w:tc>
        <w:tc>
          <w:tcPr>
            <w:tcW w:w="674" w:type="pct"/>
            <w:vAlign w:val="center"/>
          </w:tcPr>
          <w:p w14:paraId="18A37CA1" w14:textId="3FEEC5F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5.29</w:t>
            </w:r>
          </w:p>
        </w:tc>
        <w:tc>
          <w:tcPr>
            <w:tcW w:w="858" w:type="pct"/>
            <w:vAlign w:val="center"/>
          </w:tcPr>
          <w:p w14:paraId="52F0E1FC" w14:textId="7A716A9C"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–1.6</w:t>
            </w:r>
          </w:p>
        </w:tc>
        <w:tc>
          <w:tcPr>
            <w:tcW w:w="674" w:type="pct"/>
            <w:vAlign w:val="center"/>
          </w:tcPr>
          <w:p w14:paraId="7E1A74E8" w14:textId="520EBB3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3.17</w:t>
            </w:r>
          </w:p>
        </w:tc>
        <w:tc>
          <w:tcPr>
            <w:tcW w:w="699" w:type="pct"/>
            <w:vAlign w:val="center"/>
          </w:tcPr>
          <w:p w14:paraId="5803EBDB" w14:textId="4DCD021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297C08E7" w14:textId="3B57785C"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42</w:t>
            </w:r>
          </w:p>
        </w:tc>
      </w:tr>
      <w:tr w:rsidR="00E03661" w:rsidRPr="00177203" w14:paraId="77D498CB" w14:textId="77777777" w:rsidTr="00F65C78">
        <w:tc>
          <w:tcPr>
            <w:tcW w:w="1421" w:type="pct"/>
            <w:vAlign w:val="center"/>
          </w:tcPr>
          <w:p w14:paraId="4469CABD" w14:textId="53B4DA85" w:rsidR="00E03661" w:rsidRPr="00177203" w:rsidRDefault="00E03661" w:rsidP="00E03661">
            <w:pPr>
              <w:widowControl/>
              <w:spacing w:line="240" w:lineRule="auto"/>
              <w:jc w:val="center"/>
              <w:rPr>
                <w:rFonts w:eastAsia="宋体" w:cs="Times New Roman"/>
                <w:sz w:val="24"/>
                <w:szCs w:val="24"/>
              </w:rPr>
            </w:pPr>
            <w:r w:rsidRPr="00177203">
              <w:rPr>
                <w:rFonts w:eastAsia="宋体" w:cs="Times New Roman"/>
                <w:sz w:val="24"/>
                <w:szCs w:val="24"/>
              </w:rPr>
              <w:t>Fe@C-Fe</w:t>
            </w:r>
            <w:r w:rsidRPr="00177203">
              <w:rPr>
                <w:rFonts w:eastAsia="宋体" w:cs="Times New Roman"/>
                <w:sz w:val="24"/>
                <w:szCs w:val="24"/>
                <w:vertAlign w:val="subscript"/>
              </w:rPr>
              <w:t>3</w:t>
            </w:r>
            <w:r w:rsidRPr="00177203">
              <w:rPr>
                <w:rFonts w:eastAsia="宋体" w:cs="Times New Roman"/>
                <w:sz w:val="24"/>
                <w:szCs w:val="24"/>
              </w:rPr>
              <w:t>O</w:t>
            </w:r>
            <w:r w:rsidRPr="00177203">
              <w:rPr>
                <w:rFonts w:eastAsia="宋体" w:cs="Times New Roman"/>
                <w:sz w:val="24"/>
                <w:szCs w:val="24"/>
                <w:vertAlign w:val="subscript"/>
              </w:rPr>
              <w:t>4</w:t>
            </w:r>
            <w:r w:rsidRPr="00177203">
              <w:rPr>
                <w:rFonts w:eastAsia="宋体" w:cs="Times New Roman"/>
                <w:sz w:val="24"/>
                <w:szCs w:val="24"/>
              </w:rPr>
              <w:t>/CNTs</w:t>
            </w:r>
          </w:p>
        </w:tc>
        <w:tc>
          <w:tcPr>
            <w:tcW w:w="674" w:type="pct"/>
            <w:vAlign w:val="center"/>
          </w:tcPr>
          <w:p w14:paraId="29937E3E" w14:textId="52FBF324"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16.5</w:t>
            </w:r>
          </w:p>
        </w:tc>
        <w:tc>
          <w:tcPr>
            <w:tcW w:w="858" w:type="pct"/>
            <w:vAlign w:val="center"/>
          </w:tcPr>
          <w:p w14:paraId="1A5ED23D" w14:textId="514150AE"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–0.65</w:t>
            </w:r>
          </w:p>
        </w:tc>
        <w:tc>
          <w:tcPr>
            <w:tcW w:w="674" w:type="pct"/>
            <w:vAlign w:val="center"/>
          </w:tcPr>
          <w:p w14:paraId="42B42D1A" w14:textId="6EFD8EF2"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1.34</w:t>
            </w:r>
          </w:p>
        </w:tc>
        <w:tc>
          <w:tcPr>
            <w:tcW w:w="699" w:type="pct"/>
            <w:vAlign w:val="center"/>
          </w:tcPr>
          <w:p w14:paraId="1533081A" w14:textId="6AE8FAE7"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10</w:t>
            </w:r>
          </w:p>
        </w:tc>
        <w:tc>
          <w:tcPr>
            <w:tcW w:w="674" w:type="pct"/>
            <w:vAlign w:val="center"/>
          </w:tcPr>
          <w:p w14:paraId="61CA9620" w14:textId="3F80AEFE"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43</w:t>
            </w:r>
          </w:p>
        </w:tc>
      </w:tr>
      <w:tr w:rsidR="00E03661" w:rsidRPr="00177203" w14:paraId="3A33E082" w14:textId="77777777" w:rsidTr="00F65C78">
        <w:tc>
          <w:tcPr>
            <w:tcW w:w="1421" w:type="pct"/>
            <w:vAlign w:val="center"/>
          </w:tcPr>
          <w:p w14:paraId="3C5DF28F" w14:textId="6596071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Cu-Cu</w:t>
            </w:r>
            <w:r w:rsidRPr="00177203">
              <w:rPr>
                <w:rFonts w:eastAsia="等线" w:cs="Times New Roman"/>
                <w:sz w:val="24"/>
                <w:szCs w:val="24"/>
                <w:vertAlign w:val="subscript"/>
              </w:rPr>
              <w:t>2</w:t>
            </w:r>
            <w:r w:rsidRPr="00177203">
              <w:rPr>
                <w:rFonts w:eastAsia="等线" w:cs="Times New Roman"/>
                <w:sz w:val="24"/>
                <w:szCs w:val="24"/>
              </w:rPr>
              <w:t>O</w:t>
            </w:r>
          </w:p>
        </w:tc>
        <w:tc>
          <w:tcPr>
            <w:tcW w:w="674" w:type="pct"/>
            <w:vAlign w:val="center"/>
          </w:tcPr>
          <w:p w14:paraId="7B2F3E4C" w14:textId="479B828E"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17.7</w:t>
            </w:r>
          </w:p>
        </w:tc>
        <w:tc>
          <w:tcPr>
            <w:tcW w:w="858" w:type="pct"/>
            <w:vAlign w:val="center"/>
          </w:tcPr>
          <w:p w14:paraId="5E75EE75" w14:textId="72993A53"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–1.5</w:t>
            </w:r>
          </w:p>
        </w:tc>
        <w:tc>
          <w:tcPr>
            <w:tcW w:w="674" w:type="pct"/>
            <w:vAlign w:val="center"/>
          </w:tcPr>
          <w:p w14:paraId="6D49DA4A" w14:textId="139AD26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3.74</w:t>
            </w:r>
          </w:p>
        </w:tc>
        <w:tc>
          <w:tcPr>
            <w:tcW w:w="699" w:type="pct"/>
            <w:vAlign w:val="center"/>
          </w:tcPr>
          <w:p w14:paraId="45483647" w14:textId="6148FF4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7E57231F" w14:textId="54CCB081"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44</w:t>
            </w:r>
          </w:p>
        </w:tc>
      </w:tr>
      <w:tr w:rsidR="00E03661" w:rsidRPr="00177203" w14:paraId="52A1502D" w14:textId="77777777" w:rsidTr="00F65C78">
        <w:tc>
          <w:tcPr>
            <w:tcW w:w="1421" w:type="pct"/>
            <w:vAlign w:val="center"/>
          </w:tcPr>
          <w:p w14:paraId="7D6456FD" w14:textId="48772169" w:rsidR="00E03661" w:rsidRPr="00177203" w:rsidRDefault="00E03661" w:rsidP="00E03661">
            <w:pPr>
              <w:widowControl/>
              <w:spacing w:line="240" w:lineRule="auto"/>
              <w:jc w:val="center"/>
              <w:rPr>
                <w:rFonts w:eastAsia="宋体" w:cs="Times New Roman"/>
                <w:b/>
                <w:bCs/>
                <w:sz w:val="24"/>
                <w:szCs w:val="24"/>
              </w:rPr>
            </w:pPr>
            <w:bookmarkStart w:id="1" w:name="_Hlk225347296"/>
            <w:r w:rsidRPr="00177203">
              <w:rPr>
                <w:rFonts w:eastAsia="等线" w:cs="Times New Roman"/>
                <w:sz w:val="24"/>
                <w:szCs w:val="24"/>
              </w:rPr>
              <w:t>IL@Cu-ZIF-8</w:t>
            </w:r>
            <w:bookmarkEnd w:id="1"/>
          </w:p>
        </w:tc>
        <w:tc>
          <w:tcPr>
            <w:tcW w:w="674" w:type="pct"/>
            <w:vAlign w:val="center"/>
          </w:tcPr>
          <w:p w14:paraId="0D6A2F4F" w14:textId="1D499D53"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55.3</w:t>
            </w:r>
          </w:p>
        </w:tc>
        <w:tc>
          <w:tcPr>
            <w:tcW w:w="858" w:type="pct"/>
            <w:vAlign w:val="center"/>
          </w:tcPr>
          <w:p w14:paraId="3DA5A5DE" w14:textId="188C00A8"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–0.5</w:t>
            </w:r>
          </w:p>
        </w:tc>
        <w:tc>
          <w:tcPr>
            <w:tcW w:w="674" w:type="pct"/>
            <w:vAlign w:val="center"/>
          </w:tcPr>
          <w:p w14:paraId="16D90A05" w14:textId="25201F57"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42</w:t>
            </w:r>
          </w:p>
        </w:tc>
        <w:tc>
          <w:tcPr>
            <w:tcW w:w="699" w:type="pct"/>
            <w:vAlign w:val="center"/>
          </w:tcPr>
          <w:p w14:paraId="1F622986" w14:textId="20493682"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13DFCD01" w14:textId="53FAC113" w:rsidR="00E03661" w:rsidRPr="00177203" w:rsidRDefault="002954F8" w:rsidP="00E03661">
            <w:pPr>
              <w:widowControl/>
              <w:spacing w:line="240" w:lineRule="auto"/>
              <w:jc w:val="center"/>
              <w:rPr>
                <w:rFonts w:eastAsia="宋体" w:cs="Times New Roman"/>
                <w:color w:val="0070C0"/>
                <w:sz w:val="24"/>
                <w:szCs w:val="24"/>
              </w:rPr>
            </w:pPr>
            <w:r w:rsidRPr="00177203">
              <w:rPr>
                <w:rFonts w:eastAsia="宋体" w:cs="Times New Roman"/>
                <w:noProof/>
                <w:color w:val="0070C0"/>
                <w:sz w:val="24"/>
                <w:szCs w:val="24"/>
              </w:rPr>
              <w:t>45</w:t>
            </w:r>
          </w:p>
        </w:tc>
      </w:tr>
      <w:tr w:rsidR="00E03661" w:rsidRPr="00177203" w14:paraId="3E7F0FB0" w14:textId="77777777" w:rsidTr="00F65C78">
        <w:tc>
          <w:tcPr>
            <w:tcW w:w="1421" w:type="pct"/>
            <w:vAlign w:val="center"/>
          </w:tcPr>
          <w:p w14:paraId="463E7DA3" w14:textId="33BCCB5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Pd</w:t>
            </w:r>
            <w:r w:rsidRPr="00177203">
              <w:rPr>
                <w:rFonts w:eastAsia="等线" w:cs="Times New Roman"/>
                <w:sz w:val="24"/>
                <w:szCs w:val="24"/>
                <w:vertAlign w:val="subscript"/>
              </w:rPr>
              <w:t>2</w:t>
            </w:r>
            <w:r w:rsidRPr="00177203">
              <w:rPr>
                <w:rFonts w:eastAsia="等线" w:cs="Times New Roman"/>
                <w:sz w:val="24"/>
                <w:szCs w:val="24"/>
              </w:rPr>
              <w:t>Au</w:t>
            </w:r>
            <w:r w:rsidRPr="00177203">
              <w:rPr>
                <w:rFonts w:eastAsia="等线" w:cs="Times New Roman"/>
                <w:sz w:val="24"/>
                <w:szCs w:val="24"/>
                <w:vertAlign w:val="subscript"/>
              </w:rPr>
              <w:t>1</w:t>
            </w:r>
            <w:r w:rsidRPr="00177203">
              <w:rPr>
                <w:rFonts w:eastAsia="等线" w:cs="Times New Roman"/>
                <w:sz w:val="24"/>
                <w:szCs w:val="24"/>
              </w:rPr>
              <w:t>RuO</w:t>
            </w:r>
            <w:r w:rsidRPr="00177203">
              <w:rPr>
                <w:rFonts w:eastAsia="等线" w:cs="Times New Roman"/>
                <w:sz w:val="24"/>
                <w:szCs w:val="24"/>
                <w:vertAlign w:val="subscript"/>
              </w:rPr>
              <w:t>2</w:t>
            </w:r>
          </w:p>
        </w:tc>
        <w:tc>
          <w:tcPr>
            <w:tcW w:w="674" w:type="pct"/>
            <w:vAlign w:val="center"/>
          </w:tcPr>
          <w:p w14:paraId="6666B632" w14:textId="6CD22963"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75.6</w:t>
            </w:r>
          </w:p>
        </w:tc>
        <w:tc>
          <w:tcPr>
            <w:tcW w:w="858" w:type="pct"/>
            <w:vAlign w:val="center"/>
          </w:tcPr>
          <w:p w14:paraId="0D689028" w14:textId="4ED9EEF2"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7F6F08E6" w14:textId="4869DF90"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4.45</w:t>
            </w:r>
          </w:p>
        </w:tc>
        <w:tc>
          <w:tcPr>
            <w:tcW w:w="699" w:type="pct"/>
            <w:vAlign w:val="center"/>
          </w:tcPr>
          <w:p w14:paraId="61B54C80" w14:textId="2224816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160</w:t>
            </w:r>
          </w:p>
        </w:tc>
        <w:tc>
          <w:tcPr>
            <w:tcW w:w="674" w:type="pct"/>
            <w:vAlign w:val="center"/>
          </w:tcPr>
          <w:p w14:paraId="0344A88A" w14:textId="464CB3CE"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46</w:t>
            </w:r>
          </w:p>
        </w:tc>
      </w:tr>
      <w:tr w:rsidR="00E03661" w:rsidRPr="00177203" w14:paraId="447C1492" w14:textId="77777777" w:rsidTr="00F65C78">
        <w:tc>
          <w:tcPr>
            <w:tcW w:w="1421" w:type="pct"/>
            <w:vAlign w:val="center"/>
          </w:tcPr>
          <w:p w14:paraId="05FDEC2F" w14:textId="16E75D39"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 xml:space="preserve">Co </w:t>
            </w:r>
            <w:proofErr w:type="spellStart"/>
            <w:r w:rsidRPr="00177203">
              <w:rPr>
                <w:rFonts w:eastAsia="等线" w:cs="Times New Roman"/>
                <w:sz w:val="24"/>
                <w:szCs w:val="24"/>
              </w:rPr>
              <w:t>NPs@C</w:t>
            </w:r>
            <w:proofErr w:type="spellEnd"/>
          </w:p>
        </w:tc>
        <w:tc>
          <w:tcPr>
            <w:tcW w:w="674" w:type="pct"/>
            <w:vAlign w:val="center"/>
          </w:tcPr>
          <w:p w14:paraId="795A8603" w14:textId="44F0133F"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54.3</w:t>
            </w:r>
          </w:p>
        </w:tc>
        <w:tc>
          <w:tcPr>
            <w:tcW w:w="858" w:type="pct"/>
            <w:vAlign w:val="center"/>
          </w:tcPr>
          <w:p w14:paraId="20D4111C" w14:textId="254C6E5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02A127EE" w14:textId="76E2AB66"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2.21</w:t>
            </w:r>
          </w:p>
        </w:tc>
        <w:tc>
          <w:tcPr>
            <w:tcW w:w="699" w:type="pct"/>
            <w:vAlign w:val="center"/>
          </w:tcPr>
          <w:p w14:paraId="7B85973F" w14:textId="67358829"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4F083829" w14:textId="683DA062"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31</w:t>
            </w:r>
          </w:p>
        </w:tc>
      </w:tr>
      <w:tr w:rsidR="00E03661" w:rsidRPr="00177203" w14:paraId="05C23FDE" w14:textId="77777777" w:rsidTr="00F65C78">
        <w:tc>
          <w:tcPr>
            <w:tcW w:w="1421" w:type="pct"/>
            <w:vAlign w:val="center"/>
          </w:tcPr>
          <w:p w14:paraId="74342457" w14:textId="0BB5877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Pd</w:t>
            </w:r>
            <w:r w:rsidRPr="00177203">
              <w:rPr>
                <w:rFonts w:eastAsia="等线" w:cs="Times New Roman"/>
                <w:sz w:val="24"/>
                <w:szCs w:val="24"/>
                <w:vertAlign w:val="subscript"/>
              </w:rPr>
              <w:t>4</w:t>
            </w:r>
            <w:r w:rsidRPr="00177203">
              <w:rPr>
                <w:rFonts w:eastAsia="等线" w:cs="Times New Roman"/>
                <w:sz w:val="24"/>
                <w:szCs w:val="24"/>
              </w:rPr>
              <w:t>Cu</w:t>
            </w:r>
            <w:r w:rsidRPr="00177203">
              <w:rPr>
                <w:rFonts w:eastAsia="等线" w:cs="Times New Roman"/>
                <w:sz w:val="24"/>
                <w:szCs w:val="24"/>
                <w:vertAlign w:val="subscript"/>
              </w:rPr>
              <w:t>1</w:t>
            </w:r>
            <w:r w:rsidRPr="00177203">
              <w:rPr>
                <w:rFonts w:eastAsia="等线" w:cs="Times New Roman"/>
                <w:sz w:val="24"/>
                <w:szCs w:val="24"/>
              </w:rPr>
              <w:t>FeNi(OH)</w:t>
            </w:r>
            <w:r w:rsidRPr="00177203">
              <w:rPr>
                <w:rFonts w:eastAsia="等线" w:cs="Times New Roman"/>
                <w:sz w:val="24"/>
                <w:szCs w:val="24"/>
                <w:vertAlign w:val="subscript"/>
              </w:rPr>
              <w:t>2</w:t>
            </w:r>
          </w:p>
        </w:tc>
        <w:tc>
          <w:tcPr>
            <w:tcW w:w="674" w:type="pct"/>
            <w:vAlign w:val="center"/>
          </w:tcPr>
          <w:p w14:paraId="0F631E7C" w14:textId="1F464C16"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66.5</w:t>
            </w:r>
          </w:p>
        </w:tc>
        <w:tc>
          <w:tcPr>
            <w:tcW w:w="858" w:type="pct"/>
            <w:vAlign w:val="center"/>
          </w:tcPr>
          <w:p w14:paraId="68953EB4" w14:textId="2A12B75E"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4093806B" w14:textId="6CCF1945"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26.24</w:t>
            </w:r>
          </w:p>
        </w:tc>
        <w:tc>
          <w:tcPr>
            <w:tcW w:w="699" w:type="pct"/>
            <w:vAlign w:val="center"/>
          </w:tcPr>
          <w:p w14:paraId="75B25A77" w14:textId="57E9094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1000</w:t>
            </w:r>
          </w:p>
        </w:tc>
        <w:tc>
          <w:tcPr>
            <w:tcW w:w="674" w:type="pct"/>
            <w:vAlign w:val="center"/>
          </w:tcPr>
          <w:p w14:paraId="56458004" w14:textId="253C0350"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47</w:t>
            </w:r>
          </w:p>
        </w:tc>
      </w:tr>
      <w:tr w:rsidR="00E03661" w:rsidRPr="00177203" w14:paraId="71D62889" w14:textId="77777777" w:rsidTr="00F65C78">
        <w:tc>
          <w:tcPr>
            <w:tcW w:w="1421" w:type="pct"/>
            <w:vAlign w:val="center"/>
          </w:tcPr>
          <w:p w14:paraId="5B28EDE0" w14:textId="1216572B"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CuPd</w:t>
            </w:r>
            <w:r w:rsidRPr="00177203">
              <w:rPr>
                <w:rFonts w:eastAsia="等线" w:cs="Times New Roman"/>
                <w:sz w:val="24"/>
                <w:szCs w:val="24"/>
                <w:vertAlign w:val="subscript"/>
              </w:rPr>
              <w:t>1</w:t>
            </w:r>
            <w:r w:rsidRPr="00177203">
              <w:rPr>
                <w:rFonts w:eastAsia="等线" w:cs="Times New Roman"/>
                <w:sz w:val="24"/>
                <w:szCs w:val="24"/>
              </w:rPr>
              <w:t>Rh</w:t>
            </w:r>
            <w:r w:rsidRPr="00177203">
              <w:rPr>
                <w:rFonts w:eastAsia="等线" w:cs="Times New Roman"/>
                <w:sz w:val="24"/>
                <w:szCs w:val="24"/>
                <w:vertAlign w:val="subscript"/>
              </w:rPr>
              <w:t>1</w:t>
            </w:r>
            <w:r w:rsidRPr="00177203">
              <w:rPr>
                <w:rFonts w:eastAsia="等线" w:cs="Times New Roman"/>
                <w:sz w:val="24"/>
                <w:szCs w:val="24"/>
              </w:rPr>
              <w:t>-DAA</w:t>
            </w:r>
          </w:p>
        </w:tc>
        <w:tc>
          <w:tcPr>
            <w:tcW w:w="674" w:type="pct"/>
            <w:vAlign w:val="center"/>
          </w:tcPr>
          <w:p w14:paraId="4C3A7FF1" w14:textId="7E1AD419"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72.1</w:t>
            </w:r>
          </w:p>
        </w:tc>
        <w:tc>
          <w:tcPr>
            <w:tcW w:w="858" w:type="pct"/>
            <w:vAlign w:val="center"/>
          </w:tcPr>
          <w:p w14:paraId="7B4B2B05" w14:textId="52F531FD"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N.A.</w:t>
            </w:r>
          </w:p>
        </w:tc>
        <w:tc>
          <w:tcPr>
            <w:tcW w:w="674" w:type="pct"/>
            <w:vAlign w:val="center"/>
          </w:tcPr>
          <w:p w14:paraId="0DBE634B" w14:textId="62357FB6"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color w:val="000000"/>
                <w:sz w:val="24"/>
                <w:szCs w:val="24"/>
              </w:rPr>
              <w:t>3.22</w:t>
            </w:r>
          </w:p>
        </w:tc>
        <w:tc>
          <w:tcPr>
            <w:tcW w:w="699" w:type="pct"/>
            <w:vAlign w:val="center"/>
          </w:tcPr>
          <w:p w14:paraId="5BF3ED1E" w14:textId="5FC886A3" w:rsidR="00E03661" w:rsidRPr="00177203" w:rsidRDefault="00E03661" w:rsidP="00E03661">
            <w:pPr>
              <w:widowControl/>
              <w:spacing w:line="240" w:lineRule="auto"/>
              <w:jc w:val="center"/>
              <w:rPr>
                <w:rFonts w:eastAsia="宋体" w:cs="Times New Roman"/>
                <w:b/>
                <w:bCs/>
                <w:sz w:val="24"/>
                <w:szCs w:val="24"/>
              </w:rPr>
            </w:pPr>
            <w:r w:rsidRPr="00177203">
              <w:rPr>
                <w:rFonts w:eastAsia="等线" w:cs="Times New Roman"/>
                <w:sz w:val="24"/>
                <w:szCs w:val="24"/>
              </w:rPr>
              <w:t>100</w:t>
            </w:r>
          </w:p>
        </w:tc>
        <w:tc>
          <w:tcPr>
            <w:tcW w:w="674" w:type="pct"/>
            <w:vAlign w:val="center"/>
          </w:tcPr>
          <w:p w14:paraId="37DC6C91" w14:textId="3D2F348B" w:rsidR="00E03661" w:rsidRPr="00177203" w:rsidRDefault="002954F8" w:rsidP="00E03661">
            <w:pPr>
              <w:widowControl/>
              <w:spacing w:line="240" w:lineRule="auto"/>
              <w:jc w:val="center"/>
              <w:rPr>
                <w:rFonts w:eastAsia="宋体" w:cs="Times New Roman"/>
                <w:color w:val="0070C0"/>
                <w:sz w:val="24"/>
                <w:szCs w:val="24"/>
              </w:rPr>
            </w:pPr>
            <w:r w:rsidRPr="00177203">
              <w:rPr>
                <w:rFonts w:cs="Times New Roman"/>
                <w:noProof/>
                <w:color w:val="0070C0"/>
                <w:sz w:val="24"/>
                <w:szCs w:val="24"/>
              </w:rPr>
              <w:t>48</w:t>
            </w:r>
          </w:p>
        </w:tc>
      </w:tr>
    </w:tbl>
    <w:p w14:paraId="51927F20" w14:textId="604982B1" w:rsidR="00AD4F90" w:rsidRPr="00177203" w:rsidRDefault="00AD4F90">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73DD079E" w14:textId="77777777" w:rsidR="008E04C2" w:rsidRPr="00177203" w:rsidRDefault="008E04C2" w:rsidP="005438CC">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Section 4. Uncovering catalytic mechanisms</w:t>
      </w:r>
    </w:p>
    <w:p w14:paraId="7C52C263" w14:textId="3743F1AD" w:rsidR="00DE7068" w:rsidRPr="00177203" w:rsidRDefault="000D21AE" w:rsidP="000D21AE">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 xml:space="preserve">Section 4.1. </w:t>
      </w:r>
      <w:r w:rsidR="00357EB4" w:rsidRPr="00177203">
        <w:rPr>
          <w:rFonts w:eastAsia="宋体" w:cs="Times New Roman"/>
          <w:b/>
          <w:bCs/>
          <w:color w:val="000000" w:themeColor="text1"/>
          <w:sz w:val="24"/>
          <w:szCs w:val="24"/>
        </w:rPr>
        <w:t>G</w:t>
      </w:r>
      <w:r w:rsidR="00DE7068" w:rsidRPr="00177203">
        <w:rPr>
          <w:rFonts w:eastAsia="宋体" w:cs="Times New Roman"/>
          <w:b/>
          <w:bCs/>
          <w:color w:val="000000" w:themeColor="text1"/>
          <w:sz w:val="24"/>
          <w:szCs w:val="24"/>
        </w:rPr>
        <w:t>eometrical confined effect calculation</w:t>
      </w:r>
    </w:p>
    <w:p w14:paraId="70DA0D72" w14:textId="67D6C0B5" w:rsidR="00954CDC" w:rsidRPr="00177203" w:rsidRDefault="00954CDC" w:rsidP="00954CDC">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Molecular dynamics (MD) simulations were performed using the Large-scale Atomic/Molecular Massively Parallel Simulator (LAMMPS)</w:t>
      </w:r>
      <w:r w:rsidR="002954F8" w:rsidRPr="00177203">
        <w:rPr>
          <w:rFonts w:eastAsia="宋体" w:cs="Times New Roman"/>
          <w:noProof/>
          <w:color w:val="0070C0"/>
          <w:sz w:val="24"/>
          <w:szCs w:val="24"/>
          <w:vertAlign w:val="superscript"/>
        </w:rPr>
        <w:t>49</w:t>
      </w:r>
      <w:r w:rsidRPr="00177203">
        <w:rPr>
          <w:rFonts w:eastAsia="宋体" w:cs="Times New Roman"/>
          <w:color w:val="000000" w:themeColor="text1"/>
          <w:sz w:val="24"/>
          <w:szCs w:val="24"/>
        </w:rPr>
        <w:t xml:space="preserve"> to investigate the diffusion, confinement, and enrichment behavior of reaction-related species within nanoconfined cavities of different size.</w:t>
      </w:r>
    </w:p>
    <w:p w14:paraId="7842BDFB" w14:textId="18AFFCF8"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A periodic cubic simulation box with dimensions of 50 Å × 50 Å × </w:t>
      </w:r>
      <w:r w:rsidR="0090370B" w:rsidRPr="00177203">
        <w:rPr>
          <w:rFonts w:eastAsia="宋体" w:cs="Times New Roman"/>
          <w:color w:val="000000" w:themeColor="text1"/>
          <w:sz w:val="24"/>
          <w:szCs w:val="24"/>
        </w:rPr>
        <w:t>7</w:t>
      </w:r>
      <w:r w:rsidRPr="00177203">
        <w:rPr>
          <w:rFonts w:eastAsia="宋体" w:cs="Times New Roman"/>
          <w:color w:val="000000" w:themeColor="text1"/>
          <w:sz w:val="24"/>
          <w:szCs w:val="24"/>
        </w:rPr>
        <w:t xml:space="preserve">0 Å was first constructed. The lower half of the box contained a </w:t>
      </w:r>
      <w:r w:rsidR="0090370B" w:rsidRPr="00177203">
        <w:rPr>
          <w:rFonts w:eastAsia="宋体" w:cs="Times New Roman"/>
          <w:color w:val="000000" w:themeColor="text1"/>
          <w:sz w:val="24"/>
          <w:szCs w:val="24"/>
        </w:rPr>
        <w:t xml:space="preserve">pyridine structured </w:t>
      </w:r>
      <w:r w:rsidRPr="00177203">
        <w:rPr>
          <w:rFonts w:eastAsia="宋体" w:cs="Times New Roman"/>
          <w:color w:val="000000" w:themeColor="text1"/>
          <w:sz w:val="24"/>
          <w:szCs w:val="24"/>
        </w:rPr>
        <w:t xml:space="preserve">nanotube doped with dispersed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sites, with inner diameters of 1.0 nm, 1.5 nm, 1.8 nm, and 2.6 nm, respectively, corresponding to the pore sizes measured by N</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adsorption-desorption. The </w:t>
      </w:r>
      <w:r w:rsidR="0090370B" w:rsidRPr="00177203">
        <w:rPr>
          <w:rFonts w:eastAsia="宋体" w:cs="Times New Roman"/>
          <w:color w:val="000000" w:themeColor="text1"/>
          <w:sz w:val="24"/>
          <w:szCs w:val="24"/>
        </w:rPr>
        <w:t>nanotube</w:t>
      </w:r>
      <w:r w:rsidRPr="00177203">
        <w:rPr>
          <w:rFonts w:eastAsia="宋体" w:cs="Times New Roman"/>
          <w:color w:val="000000" w:themeColor="text1"/>
          <w:sz w:val="24"/>
          <w:szCs w:val="24"/>
        </w:rPr>
        <w:t xml:space="preserve"> length was set to 25 Å, with both ends open to allow molecular diffusion, and the tube axis aligned along the z-direction. A single-layer graphene sheet was placed at z = 30 Å to separate the upper and lower halves of the box, with a circular hole matching the </w:t>
      </w:r>
      <w:r w:rsidR="0090370B" w:rsidRPr="00177203">
        <w:rPr>
          <w:rFonts w:eastAsia="宋体" w:cs="Times New Roman"/>
          <w:color w:val="000000" w:themeColor="text1"/>
          <w:sz w:val="24"/>
          <w:szCs w:val="24"/>
        </w:rPr>
        <w:t>nanotube</w:t>
      </w:r>
      <w:r w:rsidRPr="00177203">
        <w:rPr>
          <w:rFonts w:eastAsia="宋体" w:cs="Times New Roman"/>
          <w:color w:val="000000" w:themeColor="text1"/>
          <w:sz w:val="24"/>
          <w:szCs w:val="24"/>
        </w:rPr>
        <w:t xml:space="preserve"> inner diameter to ensure that small molecules and water could only enter the cavity through the opening, eliminating external diffusion interference. The upper half of the box</w:t>
      </w:r>
      <w:r w:rsidR="0090370B"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 xml:space="preserve">was filled with 100 small </w:t>
      </w:r>
      <w:r w:rsidR="00682117" w:rsidRPr="00177203">
        <w:rPr>
          <w:rFonts w:eastAsia="宋体" w:cs="Times New Roman"/>
          <w:color w:val="000000" w:themeColor="text1"/>
          <w:sz w:val="24"/>
          <w:szCs w:val="24"/>
        </w:rPr>
        <w:t xml:space="preserve">reactant </w:t>
      </w:r>
      <w:r w:rsidRPr="00177203">
        <w:rPr>
          <w:rFonts w:eastAsia="宋体" w:cs="Times New Roman"/>
          <w:color w:val="000000" w:themeColor="text1"/>
          <w:sz w:val="24"/>
          <w:szCs w:val="24"/>
        </w:rPr>
        <w:t>molecules (including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CO,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w:t>
      </w:r>
      <w:r w:rsidR="0090370B" w:rsidRPr="00177203">
        <w:rPr>
          <w:rFonts w:eastAsia="宋体" w:cs="Times New Roman"/>
          <w:color w:val="000000" w:themeColor="text1"/>
          <w:sz w:val="24"/>
          <w:szCs w:val="24"/>
        </w:rPr>
        <w:t>or</w:t>
      </w:r>
      <w:r w:rsidRPr="00177203">
        <w:rPr>
          <w:rFonts w:eastAsia="宋体" w:cs="Times New Roman"/>
          <w:color w:val="000000" w:themeColor="text1"/>
          <w:sz w:val="24"/>
          <w:szCs w:val="24"/>
        </w:rPr>
        <w:t xml:space="preserve"> NO) and 2000 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O molecules, corresponding to the actual electrolyte composition in the electrocatalytic system.</w:t>
      </w:r>
    </w:p>
    <w:p w14:paraId="1248225F" w14:textId="356AFB2E" w:rsidR="00E83FBC" w:rsidRPr="00177203" w:rsidRDefault="00E83FB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For the above composite </w:t>
      </w:r>
      <w:r w:rsidR="00682117" w:rsidRPr="00177203">
        <w:rPr>
          <w:rFonts w:eastAsia="宋体" w:cs="Times New Roman"/>
          <w:color w:val="000000" w:themeColor="text1"/>
          <w:sz w:val="24"/>
          <w:szCs w:val="24"/>
        </w:rPr>
        <w:t>cavity</w:t>
      </w:r>
      <w:r w:rsidRPr="00177203">
        <w:rPr>
          <w:rFonts w:eastAsia="宋体" w:cs="Times New Roman"/>
          <w:color w:val="000000" w:themeColor="text1"/>
          <w:sz w:val="24"/>
          <w:szCs w:val="24"/>
        </w:rPr>
        <w:t xml:space="preserve"> models with different diameters, LAMMPS software was first used for full-atom MD relaxation to verify the thermodynamic stability of the structure at 300 K, with the ReaxFF force field selected for the simulation, NVT ensemble, and a total simulation time of 10 ns with a time step of 1 fs. The stable structure obtained by MD relaxation was further used as the initial structure for subsequent </w:t>
      </w:r>
      <w:r w:rsidR="00E51121" w:rsidRPr="00177203">
        <w:rPr>
          <w:rFonts w:eastAsia="宋体" w:cs="Times New Roman"/>
          <w:color w:val="000000" w:themeColor="text1"/>
          <w:sz w:val="24"/>
          <w:szCs w:val="24"/>
        </w:rPr>
        <w:t>DFT</w:t>
      </w:r>
      <w:r w:rsidRPr="00177203">
        <w:rPr>
          <w:rFonts w:eastAsia="宋体" w:cs="Times New Roman"/>
          <w:color w:val="000000" w:themeColor="text1"/>
          <w:sz w:val="24"/>
          <w:szCs w:val="24"/>
        </w:rPr>
        <w:t xml:space="preserve"> geometric optimization and electronic structure calculation.</w:t>
      </w:r>
    </w:p>
    <w:p w14:paraId="31A87926" w14:textId="16900048"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All simulations were performed in the real unit system, with a timestep of 0.5 fs. The interatomic interactions were described by a hybrid force field: the modified embedded atom method (MEAM) potential was used for the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doped </w:t>
      </w:r>
      <w:r w:rsidR="00682117" w:rsidRPr="00177203">
        <w:rPr>
          <w:rFonts w:eastAsia="宋体" w:cs="Times New Roman"/>
          <w:color w:val="000000" w:themeColor="text1"/>
          <w:sz w:val="24"/>
          <w:szCs w:val="24"/>
        </w:rPr>
        <w:t>composite</w:t>
      </w:r>
      <w:r w:rsidRPr="00177203">
        <w:rPr>
          <w:rFonts w:eastAsia="宋体" w:cs="Times New Roman"/>
          <w:color w:val="000000" w:themeColor="text1"/>
          <w:sz w:val="24"/>
          <w:szCs w:val="24"/>
        </w:rPr>
        <w:t xml:space="preserve"> framework, and the Lennard-Jones (LJ) potential with a 10 Å cutoff was used for the intermolecular interactions between small molecules and water, with the Lorentz-Berthelot mixing rule applied for cross-species interactions. The SPC/E model was used for water molecules, with harmonic bond and angle potentials for intramolecular interactions.</w:t>
      </w:r>
    </w:p>
    <w:p w14:paraId="3DCE9B8B" w14:textId="14DF9F69" w:rsidR="00F740F0" w:rsidRPr="00177203" w:rsidRDefault="00487E23" w:rsidP="003830EF">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During the</w:t>
      </w:r>
      <w:r w:rsidR="00954CDC" w:rsidRPr="00177203">
        <w:rPr>
          <w:rFonts w:eastAsia="宋体" w:cs="Times New Roman"/>
          <w:color w:val="000000" w:themeColor="text1"/>
          <w:sz w:val="24"/>
          <w:szCs w:val="24"/>
        </w:rPr>
        <w:t xml:space="preserve"> simulation process</w:t>
      </w:r>
      <w:r w:rsidRPr="00177203">
        <w:rPr>
          <w:rFonts w:eastAsia="宋体" w:cs="Times New Roman"/>
          <w:color w:val="000000" w:themeColor="text1"/>
          <w:sz w:val="24"/>
          <w:szCs w:val="24"/>
        </w:rPr>
        <w:t>,</w:t>
      </w:r>
      <w:r w:rsidR="00954CDC" w:rsidRPr="00177203">
        <w:rPr>
          <w:rFonts w:eastAsia="宋体" w:cs="Times New Roman"/>
          <w:color w:val="000000" w:themeColor="text1"/>
          <w:sz w:val="24"/>
          <w:szCs w:val="24"/>
        </w:rPr>
        <w:t xml:space="preserve"> the mobile </w:t>
      </w:r>
      <w:r w:rsidR="00682117" w:rsidRPr="00177203">
        <w:rPr>
          <w:rFonts w:eastAsia="宋体" w:cs="Times New Roman"/>
          <w:color w:val="000000" w:themeColor="text1"/>
          <w:sz w:val="24"/>
          <w:szCs w:val="24"/>
        </w:rPr>
        <w:t>reactant</w:t>
      </w:r>
      <w:r w:rsidR="00954CDC" w:rsidRPr="00177203">
        <w:rPr>
          <w:rFonts w:eastAsia="宋体" w:cs="Times New Roman"/>
          <w:color w:val="000000" w:themeColor="text1"/>
          <w:sz w:val="24"/>
          <w:szCs w:val="24"/>
        </w:rPr>
        <w:t xml:space="preserve"> molecules and water were subjected to a steepest descent minimization algorithm, with convergence criteria of 1.0</w:t>
      </w:r>
      <w:r w:rsidR="00682117"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e</w:t>
      </w:r>
      <w:r w:rsidR="00682117" w:rsidRPr="00177203">
        <w:rPr>
          <w:rFonts w:eastAsia="宋体" w:cs="Times New Roman"/>
          <w:color w:val="000000" w:themeColor="text1"/>
          <w:sz w:val="24"/>
          <w:szCs w:val="24"/>
          <w:vertAlign w:val="superscript"/>
        </w:rPr>
        <w:t>–6</w:t>
      </w:r>
      <w:r w:rsidR="00954CDC" w:rsidRPr="00177203">
        <w:rPr>
          <w:rFonts w:eastAsia="宋体" w:cs="Times New Roman"/>
          <w:color w:val="000000" w:themeColor="text1"/>
          <w:sz w:val="24"/>
          <w:szCs w:val="24"/>
        </w:rPr>
        <w:t xml:space="preserve"> eV for energy and 1.0</w:t>
      </w:r>
      <w:r w:rsidR="00682117"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e</w:t>
      </w:r>
      <w:r w:rsidR="00682117" w:rsidRPr="00177203">
        <w:rPr>
          <w:rFonts w:eastAsia="宋体" w:cs="Times New Roman"/>
          <w:color w:val="000000" w:themeColor="text1"/>
          <w:sz w:val="24"/>
          <w:szCs w:val="24"/>
          <w:vertAlign w:val="superscript"/>
        </w:rPr>
        <w:t>–8</w:t>
      </w:r>
      <w:r w:rsidR="00954CDC" w:rsidRPr="00177203">
        <w:rPr>
          <w:rFonts w:eastAsia="宋体" w:cs="Times New Roman"/>
          <w:color w:val="000000" w:themeColor="text1"/>
          <w:sz w:val="24"/>
          <w:szCs w:val="24"/>
        </w:rPr>
        <w:t xml:space="preserve"> eV Å</w:t>
      </w:r>
      <w:r w:rsidR="002F16A2" w:rsidRPr="00177203">
        <w:rPr>
          <w:rFonts w:eastAsia="宋体" w:cs="Times New Roman"/>
          <w:color w:val="000000" w:themeColor="text1"/>
          <w:sz w:val="24"/>
          <w:szCs w:val="24"/>
          <w:vertAlign w:val="superscript"/>
        </w:rPr>
        <w:t>–1</w:t>
      </w:r>
      <w:r w:rsidR="00954CDC" w:rsidRPr="00177203">
        <w:rPr>
          <w:rFonts w:eastAsia="宋体" w:cs="Times New Roman"/>
          <w:color w:val="000000" w:themeColor="text1"/>
          <w:sz w:val="24"/>
          <w:szCs w:val="24"/>
        </w:rPr>
        <w:t xml:space="preserve"> for force, to eliminate unreasonable atomic contacts and high-energy structural defects.</w:t>
      </w:r>
      <w:r w:rsidR="003830EF"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The system was equilibrated in the NVT ensemble for 200000 timesteps at 300 K, with a Nose-Hoover thermostat to control the system temperature. A reflective wall was set at z = 30.5 Å and z = 68.0 Å to prevent water and small molecules from escaping the simulation box, ensuring a constant number of molecules in the system during equilibration.</w:t>
      </w:r>
      <w:r w:rsidR="003830EF"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After equilibration, the reflective wall at z = 30.5 Å was removed, and a 2000000 timestep production run was performed in the NVT ensemble at 300 K. The trajectory of each molecule was recorded every 1000 timesteps, with the following key properties calculated in real time: the number of molecules inside the cavity, the mean square displacement (MSD) of target molecules, the kinetic energy and potential energy of each species, and the spatial distribution of molecules.</w:t>
      </w:r>
      <w:r w:rsidR="00F740F0" w:rsidRPr="00177203">
        <w:rPr>
          <w:rFonts w:eastAsia="宋体" w:cs="Times New Roman"/>
          <w:color w:val="000000" w:themeColor="text1"/>
          <w:sz w:val="24"/>
          <w:szCs w:val="24"/>
        </w:rPr>
        <w:br w:type="page"/>
      </w:r>
    </w:p>
    <w:p w14:paraId="72920D00" w14:textId="54077E52" w:rsidR="00DB4AE0" w:rsidRPr="00177203" w:rsidRDefault="00B77D36" w:rsidP="00DB4AE0">
      <w:pPr>
        <w:spacing w:afterLines="50" w:after="156"/>
        <w:jc w:val="center"/>
        <w:rPr>
          <w:rFonts w:eastAsia="宋体" w:cs="Times New Roman"/>
          <w:color w:val="000000" w:themeColor="text1"/>
          <w:sz w:val="24"/>
          <w:szCs w:val="24"/>
        </w:rPr>
      </w:pPr>
      <w:r w:rsidRPr="00177203">
        <w:rPr>
          <w:rFonts w:eastAsia="宋体" w:cs="Times New Roman"/>
          <w:noProof/>
          <w:color w:val="000000" w:themeColor="text1"/>
          <w:sz w:val="24"/>
          <w:szCs w:val="24"/>
        </w:rPr>
        <w:drawing>
          <wp:inline distT="0" distB="0" distL="0" distR="0" wp14:anchorId="3F0F4884" wp14:editId="1F1EEA43">
            <wp:extent cx="5267960" cy="2797791"/>
            <wp:effectExtent l="0" t="0" r="0" b="3175"/>
            <wp:docPr id="158248924" name="图片 15824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60196"/>
                    <a:stretch/>
                  </pic:blipFill>
                  <pic:spPr bwMode="auto">
                    <a:xfrm>
                      <a:off x="0" y="0"/>
                      <a:ext cx="5267960" cy="2797791"/>
                    </a:xfrm>
                    <a:prstGeom prst="rect">
                      <a:avLst/>
                    </a:prstGeom>
                    <a:noFill/>
                    <a:ln>
                      <a:noFill/>
                    </a:ln>
                    <a:extLst>
                      <a:ext uri="{53640926-AAD7-44D8-BBD7-CCE9431645EC}">
                        <a14:shadowObscured xmlns:a14="http://schemas.microsoft.com/office/drawing/2010/main"/>
                      </a:ext>
                    </a:extLst>
                  </pic:spPr>
                </pic:pic>
              </a:graphicData>
            </a:graphic>
          </wp:inline>
        </w:drawing>
      </w:r>
    </w:p>
    <w:p w14:paraId="2025AE2D" w14:textId="79028332" w:rsidR="00F740F0" w:rsidRPr="00177203" w:rsidRDefault="00306188" w:rsidP="00F740F0">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37</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 xml:space="preserve">Molecular dynamics (MD) simulation trajectories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F740F0" w:rsidRPr="00177203">
        <w:rPr>
          <w:rFonts w:eastAsia="宋体" w:cs="Times New Roman"/>
          <w:color w:val="000000" w:themeColor="text1"/>
          <w:sz w:val="24"/>
          <w:szCs w:val="24"/>
        </w:rPr>
        <w:t xml:space="preserve"> diffusion in nanocavities with diameters of 1.0 nm, 1.5 nm, 1.8 nm and 2.6 nm within 10000 fs (LAMMPS, ReaxFF force field, NVT ensemble, 300 K)</w:t>
      </w:r>
      <w:r w:rsidR="00DB4AE0" w:rsidRPr="00177203">
        <w:rPr>
          <w:rFonts w:eastAsia="宋体" w:cs="Times New Roman"/>
          <w:color w:val="000000" w:themeColor="text1"/>
          <w:sz w:val="24"/>
          <w:szCs w:val="24"/>
        </w:rPr>
        <w:t>.</w:t>
      </w:r>
      <w:r w:rsidR="00F740F0" w:rsidRPr="00177203">
        <w:rPr>
          <w:rFonts w:eastAsia="宋体" w:cs="Times New Roman"/>
          <w:color w:val="000000" w:themeColor="text1"/>
          <w:sz w:val="24"/>
          <w:szCs w:val="24"/>
        </w:rPr>
        <w:br w:type="page"/>
      </w:r>
    </w:p>
    <w:p w14:paraId="271D8093" w14:textId="2D59CF11" w:rsidR="00DB4AE0" w:rsidRPr="00177203" w:rsidRDefault="00B77D36" w:rsidP="00DB4AE0">
      <w:pPr>
        <w:spacing w:afterLines="50" w:after="156"/>
        <w:jc w:val="center"/>
        <w:rPr>
          <w:rFonts w:eastAsia="宋体" w:cs="Times New Roman"/>
          <w:color w:val="000000" w:themeColor="text1"/>
          <w:sz w:val="24"/>
          <w:szCs w:val="24"/>
        </w:rPr>
      </w:pPr>
      <w:r w:rsidRPr="00177203">
        <w:rPr>
          <w:rFonts w:eastAsia="宋体" w:cs="Times New Roman"/>
          <w:noProof/>
          <w:color w:val="000000" w:themeColor="text1"/>
          <w:sz w:val="24"/>
          <w:szCs w:val="24"/>
        </w:rPr>
        <w:drawing>
          <wp:inline distT="0" distB="0" distL="0" distR="0" wp14:anchorId="7D7B1B7F" wp14:editId="44D0F39F">
            <wp:extent cx="5267960" cy="2811439"/>
            <wp:effectExtent l="0" t="0" r="8890" b="8255"/>
            <wp:docPr id="158248925" name="图片 15824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60001"/>
                    <a:stretch/>
                  </pic:blipFill>
                  <pic:spPr bwMode="auto">
                    <a:xfrm>
                      <a:off x="0" y="0"/>
                      <a:ext cx="5267960" cy="2811439"/>
                    </a:xfrm>
                    <a:prstGeom prst="rect">
                      <a:avLst/>
                    </a:prstGeom>
                    <a:noFill/>
                    <a:ln>
                      <a:noFill/>
                    </a:ln>
                    <a:extLst>
                      <a:ext uri="{53640926-AAD7-44D8-BBD7-CCE9431645EC}">
                        <a14:shadowObscured xmlns:a14="http://schemas.microsoft.com/office/drawing/2010/main"/>
                      </a:ext>
                    </a:extLst>
                  </pic:spPr>
                </pic:pic>
              </a:graphicData>
            </a:graphic>
          </wp:inline>
        </w:drawing>
      </w:r>
    </w:p>
    <w:p w14:paraId="03518B9C" w14:textId="142D68B6" w:rsidR="00F740F0"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38</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Molecular dynamics (MD) simulation trajectories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F740F0" w:rsidRPr="00177203">
        <w:rPr>
          <w:rFonts w:eastAsia="宋体" w:cs="Times New Roman"/>
          <w:color w:val="000000" w:themeColor="text1"/>
          <w:sz w:val="24"/>
          <w:szCs w:val="24"/>
        </w:rPr>
        <w:t>– diffusion in nanocavities with diameters of 1.0 nm, 1.5 nm, 1.8 nm and 2.6 nm within 10000 fs (LAMMPS, ReaxFF force field, NVT ensemble, 300 K)</w:t>
      </w:r>
      <w:r w:rsidR="00DB4AE0" w:rsidRPr="00177203">
        <w:rPr>
          <w:rFonts w:eastAsia="宋体" w:cs="Times New Roman"/>
          <w:color w:val="000000" w:themeColor="text1"/>
          <w:sz w:val="24"/>
          <w:szCs w:val="24"/>
        </w:rPr>
        <w:t>.</w:t>
      </w:r>
    </w:p>
    <w:p w14:paraId="0ECA0B8B" w14:textId="77777777" w:rsidR="00F740F0" w:rsidRPr="00177203" w:rsidRDefault="00F740F0">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2B019301" w14:textId="0A8AB778" w:rsidR="00DB4AE0" w:rsidRPr="00177203" w:rsidRDefault="00B77D36" w:rsidP="00DB4AE0">
      <w:pPr>
        <w:spacing w:afterLines="50" w:after="156"/>
        <w:jc w:val="center"/>
        <w:rPr>
          <w:rFonts w:eastAsia="宋体" w:cs="Times New Roman"/>
          <w:color w:val="000000" w:themeColor="text1"/>
          <w:sz w:val="24"/>
          <w:szCs w:val="24"/>
        </w:rPr>
      </w:pPr>
      <w:r w:rsidRPr="00177203">
        <w:rPr>
          <w:rFonts w:eastAsia="宋体" w:cs="Times New Roman"/>
          <w:noProof/>
          <w:color w:val="000000" w:themeColor="text1"/>
          <w:sz w:val="24"/>
          <w:szCs w:val="24"/>
        </w:rPr>
        <w:drawing>
          <wp:inline distT="0" distB="0" distL="0" distR="0" wp14:anchorId="0EBCD7BF" wp14:editId="47F60956">
            <wp:extent cx="5267960" cy="2784143"/>
            <wp:effectExtent l="0" t="0" r="8890" b="0"/>
            <wp:docPr id="158248926" name="图片 15824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60389"/>
                    <a:stretch/>
                  </pic:blipFill>
                  <pic:spPr bwMode="auto">
                    <a:xfrm>
                      <a:off x="0" y="0"/>
                      <a:ext cx="5267960" cy="2784143"/>
                    </a:xfrm>
                    <a:prstGeom prst="rect">
                      <a:avLst/>
                    </a:prstGeom>
                    <a:noFill/>
                    <a:ln>
                      <a:noFill/>
                    </a:ln>
                    <a:extLst>
                      <a:ext uri="{53640926-AAD7-44D8-BBD7-CCE9431645EC}">
                        <a14:shadowObscured xmlns:a14="http://schemas.microsoft.com/office/drawing/2010/main"/>
                      </a:ext>
                    </a:extLst>
                  </pic:spPr>
                </pic:pic>
              </a:graphicData>
            </a:graphic>
          </wp:inline>
        </w:drawing>
      </w:r>
    </w:p>
    <w:p w14:paraId="00DE0C11" w14:textId="607D4E51" w:rsidR="00F740F0"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39</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Molecular dynamics (MD) simulation trajectories of CO diffusion in nanocavities with diameters of 1.0 nm, 1.5 nm, 1.8 nm and 2.6 nm within 10000 fs (LAMMPS, ReaxFF force field, NVT ensemble, 300 K).</w:t>
      </w:r>
    </w:p>
    <w:p w14:paraId="1BA5AB7F" w14:textId="77777777" w:rsidR="00F740F0" w:rsidRPr="00177203" w:rsidRDefault="00F740F0">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415ED5DF" w14:textId="192CCB52" w:rsidR="00DB4AE0" w:rsidRPr="00177203" w:rsidRDefault="00F626CC" w:rsidP="00DB4AE0">
      <w:pPr>
        <w:spacing w:afterLines="50" w:after="156"/>
        <w:jc w:val="center"/>
        <w:rPr>
          <w:rFonts w:eastAsia="宋体" w:cs="Times New Roman"/>
          <w:color w:val="000000" w:themeColor="text1"/>
          <w:sz w:val="24"/>
          <w:szCs w:val="24"/>
        </w:rPr>
      </w:pPr>
      <w:r w:rsidRPr="00177203">
        <w:rPr>
          <w:rFonts w:eastAsia="宋体" w:cs="Times New Roman"/>
          <w:noProof/>
          <w:color w:val="000000" w:themeColor="text1"/>
          <w:sz w:val="24"/>
          <w:szCs w:val="24"/>
        </w:rPr>
        <w:drawing>
          <wp:inline distT="0" distB="0" distL="0" distR="0" wp14:anchorId="590ACDAD" wp14:editId="766CF8FC">
            <wp:extent cx="3739487" cy="2824367"/>
            <wp:effectExtent l="0" t="0" r="0" b="0"/>
            <wp:docPr id="158248927" name="图片 15824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4510" t="29517" r="14492" b="30293"/>
                    <a:stretch/>
                  </pic:blipFill>
                  <pic:spPr bwMode="auto">
                    <a:xfrm>
                      <a:off x="0" y="0"/>
                      <a:ext cx="3740147" cy="2824866"/>
                    </a:xfrm>
                    <a:prstGeom prst="rect">
                      <a:avLst/>
                    </a:prstGeom>
                    <a:noFill/>
                    <a:ln>
                      <a:noFill/>
                    </a:ln>
                    <a:extLst>
                      <a:ext uri="{53640926-AAD7-44D8-BBD7-CCE9431645EC}">
                        <a14:shadowObscured xmlns:a14="http://schemas.microsoft.com/office/drawing/2010/main"/>
                      </a:ext>
                    </a:extLst>
                  </pic:spPr>
                </pic:pic>
              </a:graphicData>
            </a:graphic>
          </wp:inline>
        </w:drawing>
      </w:r>
    </w:p>
    <w:p w14:paraId="59AA2CF1" w14:textId="205DA19E" w:rsidR="00F740F0"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40</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Molecular dynamics (MD) simulation trajectories of NO diffusion in nanocavities with diameters of 1.0 nm, 1.5 nm, 1.8 nm and 2.6 nm within 10000 fs (LAMMPS, ReaxFF force field, NVT ensemble, 300 K).</w:t>
      </w:r>
    </w:p>
    <w:p w14:paraId="569BE29E" w14:textId="77777777" w:rsidR="00F740F0" w:rsidRPr="00177203" w:rsidRDefault="00F740F0">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3BA536DE" w14:textId="4DE4052D" w:rsidR="00DB4AE0" w:rsidRPr="00177203" w:rsidRDefault="00A077F3" w:rsidP="00DB4AE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7B95AFF4" wp14:editId="4981709A">
            <wp:extent cx="5274310" cy="4224655"/>
            <wp:effectExtent l="0" t="0" r="254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4224655"/>
                    </a:xfrm>
                    <a:prstGeom prst="rect">
                      <a:avLst/>
                    </a:prstGeom>
                    <a:noFill/>
                    <a:ln>
                      <a:noFill/>
                    </a:ln>
                  </pic:spPr>
                </pic:pic>
              </a:graphicData>
            </a:graphic>
          </wp:inline>
        </w:drawing>
      </w:r>
    </w:p>
    <w:p w14:paraId="78543555" w14:textId="4CF20B4E" w:rsidR="00F740F0" w:rsidRPr="00177203" w:rsidRDefault="00306188" w:rsidP="00F740F0">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41</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Time-dependent molecule number</w:t>
      </w:r>
      <w:r w:rsidRPr="00177203">
        <w:rPr>
          <w:rFonts w:eastAsia="宋体" w:cs="Times New Roman"/>
          <w:color w:val="000000" w:themeColor="text1"/>
          <w:sz w:val="24"/>
          <w:szCs w:val="24"/>
        </w:rPr>
        <w:t>s</w:t>
      </w:r>
      <w:r w:rsidR="00F740F0" w:rsidRPr="00177203">
        <w:rPr>
          <w:rFonts w:eastAsia="宋体" w:cs="Times New Roman"/>
          <w:color w:val="000000" w:themeColor="text1"/>
          <w:sz w:val="24"/>
          <w:szCs w:val="24"/>
        </w:rPr>
        <w:t xml:space="preserve">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F740F0" w:rsidRPr="00177203">
        <w:rPr>
          <w:rFonts w:eastAsia="宋体" w:cs="Times New Roman"/>
          <w:color w:val="000000" w:themeColor="text1"/>
          <w:sz w:val="24"/>
          <w:szCs w:val="24"/>
        </w:rPr>
        <w: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F740F0" w:rsidRPr="00177203">
        <w:rPr>
          <w:rFonts w:eastAsia="宋体" w:cs="Times New Roman"/>
          <w:color w:val="000000" w:themeColor="text1"/>
          <w:sz w:val="24"/>
          <w:szCs w:val="24"/>
        </w:rPr>
        <w:t>⁻, CO and NO in nanocavities with different diameters within 10000 fs, calculated via MD simulation</w:t>
      </w:r>
      <w:r w:rsidR="00DB4AE0" w:rsidRPr="00177203">
        <w:rPr>
          <w:rFonts w:eastAsia="宋体" w:cs="Times New Roman"/>
          <w:color w:val="000000" w:themeColor="text1"/>
          <w:sz w:val="24"/>
          <w:szCs w:val="24"/>
        </w:rPr>
        <w:t>.</w:t>
      </w:r>
      <w:r w:rsidR="00F740F0" w:rsidRPr="00177203">
        <w:rPr>
          <w:rFonts w:eastAsia="宋体" w:cs="Times New Roman"/>
          <w:color w:val="000000" w:themeColor="text1"/>
          <w:sz w:val="24"/>
          <w:szCs w:val="24"/>
        </w:rPr>
        <w:br w:type="page"/>
      </w:r>
    </w:p>
    <w:p w14:paraId="258E05FC" w14:textId="12B23071" w:rsidR="00DB4AE0" w:rsidRPr="00177203" w:rsidRDefault="00A077F3" w:rsidP="00DB4AE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5BF244FC" wp14:editId="30722E2C">
            <wp:extent cx="5274310" cy="410464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4104640"/>
                    </a:xfrm>
                    <a:prstGeom prst="rect">
                      <a:avLst/>
                    </a:prstGeom>
                    <a:noFill/>
                    <a:ln>
                      <a:noFill/>
                    </a:ln>
                  </pic:spPr>
                </pic:pic>
              </a:graphicData>
            </a:graphic>
          </wp:inline>
        </w:drawing>
      </w:r>
    </w:p>
    <w:p w14:paraId="126D9203" w14:textId="6F48A957" w:rsidR="00F740F0" w:rsidRPr="00177203" w:rsidRDefault="00306188" w:rsidP="00F740F0">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42</w:t>
      </w:r>
      <w:r w:rsidR="00DB4AE0" w:rsidRPr="00177203">
        <w:rPr>
          <w:rFonts w:eastAsia="宋体" w:cs="Times New Roman"/>
          <w:color w:val="000000" w:themeColor="text1"/>
          <w:sz w:val="24"/>
          <w:szCs w:val="24"/>
        </w:rPr>
        <w:t xml:space="preserve">. </w:t>
      </w:r>
      <w:r w:rsidR="00F740F0" w:rsidRPr="00177203">
        <w:rPr>
          <w:rFonts w:eastAsia="宋体" w:cs="Times New Roman"/>
          <w:color w:val="000000" w:themeColor="text1"/>
          <w:sz w:val="24"/>
          <w:szCs w:val="24"/>
        </w:rPr>
        <w:t xml:space="preserve">Time-dependent mean square displacement (MSD)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F740F0" w:rsidRPr="00177203">
        <w:rPr>
          <w:rFonts w:eastAsia="宋体" w:cs="Times New Roman"/>
          <w:color w:val="000000" w:themeColor="text1"/>
          <w:sz w:val="24"/>
          <w:szCs w:val="24"/>
        </w:rPr>
        <w: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F740F0" w:rsidRPr="00177203">
        <w:rPr>
          <w:rFonts w:eastAsia="宋体" w:cs="Times New Roman"/>
          <w:color w:val="000000" w:themeColor="text1"/>
          <w:sz w:val="24"/>
          <w:szCs w:val="24"/>
        </w:rPr>
        <w:t>⁻, CO and NO in nanocavities with different diameters within 10000 fs, calculated via MD simulation.</w:t>
      </w:r>
      <w:r w:rsidR="00F740F0" w:rsidRPr="00177203">
        <w:rPr>
          <w:rFonts w:eastAsia="宋体" w:cs="Times New Roman"/>
          <w:color w:val="000000" w:themeColor="text1"/>
          <w:sz w:val="24"/>
          <w:szCs w:val="24"/>
        </w:rPr>
        <w:br w:type="page"/>
      </w:r>
    </w:p>
    <w:p w14:paraId="7D7F45F5" w14:textId="4BCA3579" w:rsidR="00DB4AE0" w:rsidRPr="00177203" w:rsidRDefault="00A077F3" w:rsidP="00DB4AE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1622B209" wp14:editId="36976F81">
            <wp:extent cx="5274310" cy="410464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4104640"/>
                    </a:xfrm>
                    <a:prstGeom prst="rect">
                      <a:avLst/>
                    </a:prstGeom>
                    <a:noFill/>
                    <a:ln>
                      <a:noFill/>
                    </a:ln>
                  </pic:spPr>
                </pic:pic>
              </a:graphicData>
            </a:graphic>
          </wp:inline>
        </w:drawing>
      </w:r>
    </w:p>
    <w:p w14:paraId="191F3B0B" w14:textId="6D6F8571" w:rsidR="00F740F0" w:rsidRPr="00177203" w:rsidRDefault="00306188" w:rsidP="00B17FFA">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43</w:t>
      </w:r>
      <w:r w:rsidR="00DB4AE0" w:rsidRPr="00177203">
        <w:rPr>
          <w:rFonts w:eastAsia="宋体" w:cs="Times New Roman"/>
          <w:color w:val="000000" w:themeColor="text1"/>
          <w:sz w:val="24"/>
          <w:szCs w:val="24"/>
        </w:rPr>
        <w:t xml:space="preserve">. </w:t>
      </w:r>
      <w:r w:rsidR="00B17FFA" w:rsidRPr="00177203">
        <w:rPr>
          <w:rFonts w:eastAsia="宋体" w:cs="Times New Roman"/>
          <w:color w:val="000000" w:themeColor="text1"/>
          <w:sz w:val="24"/>
          <w:szCs w:val="24"/>
        </w:rPr>
        <w:t xml:space="preserve">Time-dependent kinetic energy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17FFA" w:rsidRPr="00177203">
        <w:rPr>
          <w:rFonts w:eastAsia="宋体" w:cs="Times New Roman"/>
          <w:color w:val="000000" w:themeColor="text1"/>
          <w:sz w:val="24"/>
          <w:szCs w:val="24"/>
        </w:rPr>
        <w: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17FFA" w:rsidRPr="00177203">
        <w:rPr>
          <w:rFonts w:eastAsia="宋体" w:cs="Times New Roman"/>
          <w:color w:val="000000" w:themeColor="text1"/>
          <w:sz w:val="24"/>
          <w:szCs w:val="24"/>
        </w:rPr>
        <w:t>⁻, CO and NO in nanocavities with different diameters within 10000 fs, calculated via MD simulation.</w:t>
      </w:r>
      <w:r w:rsidR="00F740F0" w:rsidRPr="00177203">
        <w:rPr>
          <w:rFonts w:eastAsia="宋体" w:cs="Times New Roman"/>
          <w:color w:val="000000" w:themeColor="text1"/>
          <w:sz w:val="24"/>
          <w:szCs w:val="24"/>
        </w:rPr>
        <w:br w:type="page"/>
      </w:r>
    </w:p>
    <w:p w14:paraId="2D263636" w14:textId="29C09807" w:rsidR="000D21AE" w:rsidRPr="00177203" w:rsidRDefault="00A077F3" w:rsidP="00DB4AE0">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35C40BAF" wp14:editId="359AE019">
            <wp:extent cx="5274310" cy="415544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4155440"/>
                    </a:xfrm>
                    <a:prstGeom prst="rect">
                      <a:avLst/>
                    </a:prstGeom>
                    <a:noFill/>
                    <a:ln>
                      <a:noFill/>
                    </a:ln>
                  </pic:spPr>
                </pic:pic>
              </a:graphicData>
            </a:graphic>
          </wp:inline>
        </w:drawing>
      </w:r>
    </w:p>
    <w:p w14:paraId="085BF744" w14:textId="306CD86E" w:rsidR="00177203" w:rsidRDefault="00306188" w:rsidP="0017720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B4AE0"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44</w:t>
      </w:r>
      <w:r w:rsidR="00DB4AE0" w:rsidRPr="00177203">
        <w:rPr>
          <w:rFonts w:eastAsia="宋体" w:cs="Times New Roman"/>
          <w:color w:val="000000" w:themeColor="text1"/>
          <w:sz w:val="24"/>
          <w:szCs w:val="24"/>
        </w:rPr>
        <w:t xml:space="preserve">. </w:t>
      </w:r>
      <w:r w:rsidR="00B17FFA" w:rsidRPr="00177203">
        <w:rPr>
          <w:rFonts w:eastAsia="宋体" w:cs="Times New Roman"/>
          <w:color w:val="000000" w:themeColor="text1"/>
          <w:sz w:val="24"/>
          <w:szCs w:val="24"/>
        </w:rPr>
        <w:t xml:space="preserve">Time-dependent potential energy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B17FFA" w:rsidRPr="00177203">
        <w:rPr>
          <w:rFonts w:eastAsia="宋体" w:cs="Times New Roman"/>
          <w:color w:val="000000" w:themeColor="text1"/>
          <w:sz w:val="24"/>
          <w:szCs w:val="24"/>
        </w:rPr>
        <w: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B17FFA" w:rsidRPr="00177203">
        <w:rPr>
          <w:rFonts w:eastAsia="宋体" w:cs="Times New Roman"/>
          <w:color w:val="000000" w:themeColor="text1"/>
          <w:sz w:val="24"/>
          <w:szCs w:val="24"/>
        </w:rPr>
        <w:t>⁻, CO and NO in nanocavities with different diameters within 10000 fs, calculated via MD simulation.</w:t>
      </w:r>
      <w:r w:rsidR="00177203">
        <w:rPr>
          <w:rFonts w:eastAsia="宋体" w:cs="Times New Roman"/>
          <w:color w:val="000000" w:themeColor="text1"/>
          <w:sz w:val="24"/>
          <w:szCs w:val="24"/>
        </w:rPr>
        <w:br w:type="page"/>
      </w:r>
    </w:p>
    <w:p w14:paraId="1F27C1B3" w14:textId="72BB1359" w:rsidR="00177203" w:rsidRDefault="00177203" w:rsidP="00177203">
      <w:pPr>
        <w:spacing w:afterLines="50" w:after="156"/>
        <w:outlineLvl w:val="2"/>
        <w:rPr>
          <w:rFonts w:eastAsia="宋体" w:cs="Times New Roman"/>
          <w:color w:val="000000" w:themeColor="text1"/>
          <w:sz w:val="24"/>
          <w:szCs w:val="24"/>
        </w:rPr>
      </w:pPr>
      <w:r w:rsidRPr="00B53070">
        <w:rPr>
          <w:rFonts w:eastAsia="宋体" w:cs="Times New Roman"/>
          <w:b/>
          <w:bCs/>
          <w:color w:val="000000" w:themeColor="text1"/>
          <w:sz w:val="24"/>
          <w:szCs w:val="24"/>
        </w:rPr>
        <w:t xml:space="preserve">The </w:t>
      </w:r>
      <w:r w:rsidRPr="00B53070">
        <w:rPr>
          <w:rFonts w:eastAsia="宋体" w:cs="Times New Roman"/>
          <w:b/>
          <w:bCs/>
          <w:color w:val="000000" w:themeColor="text1"/>
          <w:sz w:val="24"/>
          <w:szCs w:val="24"/>
        </w:rPr>
        <w:t>Supplementary V</w:t>
      </w:r>
      <w:r w:rsidRPr="00B53070">
        <w:rPr>
          <w:rFonts w:eastAsia="宋体" w:cs="Times New Roman"/>
          <w:b/>
          <w:bCs/>
          <w:color w:val="000000" w:themeColor="text1"/>
          <w:sz w:val="24"/>
          <w:szCs w:val="24"/>
        </w:rPr>
        <w:t>ideos</w:t>
      </w:r>
      <w:r w:rsidRPr="00177203">
        <w:rPr>
          <w:rFonts w:eastAsia="宋体" w:cs="Times New Roman"/>
          <w:color w:val="000000" w:themeColor="text1"/>
          <w:sz w:val="24"/>
          <w:szCs w:val="24"/>
        </w:rPr>
        <w:t xml:space="preserve"> show full-atom MD simulation trajectories of NO</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vertAlign w:val="superscript"/>
        </w:rPr>
        <w:t>–</w:t>
      </w:r>
      <w:r w:rsidRPr="00177203">
        <w:rPr>
          <w:rFonts w:eastAsia="宋体" w:cs="Times New Roman"/>
          <w:color w:val="000000" w:themeColor="text1"/>
          <w:sz w:val="24"/>
          <w:szCs w:val="24"/>
        </w:rPr>
        <w:t xml:space="preserve"> diffusion in nanocavities with inner diameters of 1.0 nm (Video 1), 1.5 nm (Video 2), 1.8 nm (Video 3) and 2.6 nm (Video 4) within 10000 fs. All simulations were performed via LAMMPS with ReaxFF force field under NVT ensemble at 300 K.</w:t>
      </w:r>
    </w:p>
    <w:p w14:paraId="0DE22F4D" w14:textId="77777777" w:rsidR="00177203" w:rsidRDefault="00177203">
      <w:pPr>
        <w:widowControl/>
        <w:spacing w:line="240" w:lineRule="auto"/>
        <w:jc w:val="left"/>
        <w:rPr>
          <w:rFonts w:eastAsia="宋体" w:cs="Times New Roman"/>
          <w:color w:val="000000" w:themeColor="text1"/>
          <w:sz w:val="24"/>
          <w:szCs w:val="24"/>
        </w:rPr>
      </w:pPr>
      <w:r>
        <w:rPr>
          <w:rFonts w:eastAsia="宋体" w:cs="Times New Roman"/>
          <w:color w:val="000000" w:themeColor="text1"/>
          <w:sz w:val="24"/>
          <w:szCs w:val="24"/>
        </w:rPr>
        <w:br w:type="page"/>
      </w:r>
    </w:p>
    <w:p w14:paraId="6DD9ABFA" w14:textId="238F816B" w:rsidR="00954CDC" w:rsidRPr="00177203" w:rsidRDefault="00954CDC" w:rsidP="00FA5A03">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Detailed analysis of geometric confinement effect: </w:t>
      </w:r>
      <w:r w:rsidRPr="00177203">
        <w:rPr>
          <w:rFonts w:eastAsia="宋体" w:cs="Times New Roman"/>
          <w:color w:val="000000" w:themeColor="text1"/>
          <w:sz w:val="24"/>
          <w:szCs w:val="24"/>
        </w:rPr>
        <w:t xml:space="preserve">The size-dependent geometric confinement effect of the nanocavities exerts a differentiated regulatory effect on the diffusion, enrichment, and retention of different reaction species, which directly determines the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performance of the catalysts, and shows a high degree of consistency with the experimental results of reactant concentration regulation. Overall, the confinement effect increases gradually as the cavity diameter decreases from 2.6 nm to 1.0 nm, following a "lock-and-key" matching mechanism</w:t>
      </w:r>
      <w:r w:rsidR="00400916" w:rsidRPr="00177203">
        <w:rPr>
          <w:rFonts w:eastAsia="宋体" w:cs="Times New Roman"/>
          <w:color w:val="000000" w:themeColor="text1"/>
          <w:sz w:val="24"/>
          <w:szCs w:val="24"/>
        </w:rPr>
        <w:t>. T</w:t>
      </w:r>
      <w:r w:rsidRPr="00177203">
        <w:rPr>
          <w:rFonts w:eastAsia="宋体" w:cs="Times New Roman"/>
          <w:color w:val="000000" w:themeColor="text1"/>
          <w:sz w:val="24"/>
          <w:szCs w:val="24"/>
        </w:rPr>
        <w:t>he confinement effect is negligible in over-sized cavities (2.6 nm), increases significantly in size-matched cavities (1.5–1.8 nm), and becomes counterproductive in over-contracted cavities (1.0 nm), where reactants cannot enter the cavity at all, a classic "too much of a good thing" effect in nanoconfinement catalysis.</w:t>
      </w:r>
    </w:p>
    <w:p w14:paraId="52A792A6" w14:textId="24492BA5"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The difference between species is observed in the number of molecules entering the cavity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w:t>
      </w:r>
      <w:r w:rsidR="00180CE1" w:rsidRPr="00177203">
        <w:rPr>
          <w:rFonts w:eastAsia="宋体" w:cs="Times New Roman"/>
          <w:color w:val="000000" w:themeColor="text1"/>
          <w:sz w:val="24"/>
          <w:szCs w:val="24"/>
        </w:rPr>
        <w:t>41</w:t>
      </w:r>
      <w:r w:rsidRPr="00177203">
        <w:rPr>
          <w:rFonts w:eastAsia="宋体" w:cs="Times New Roman"/>
          <w:color w:val="000000" w:themeColor="text1"/>
          <w:sz w:val="24"/>
          <w:szCs w:val="24"/>
        </w:rPr>
        <w:t>), where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show a much more dramatic change with cavity size than CO and NO. For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the number of molecules entering the 1.8 nm cavity is </w:t>
      </w:r>
      <w:r w:rsidR="00A67C06" w:rsidRPr="00177203">
        <w:rPr>
          <w:rFonts w:eastAsia="宋体" w:cs="Times New Roman"/>
          <w:color w:val="000000" w:themeColor="text1"/>
          <w:sz w:val="24"/>
          <w:szCs w:val="24"/>
        </w:rPr>
        <w:t>4</w:t>
      </w:r>
      <w:r w:rsidRPr="00177203">
        <w:rPr>
          <w:rFonts w:eastAsia="宋体" w:cs="Times New Roman"/>
          <w:color w:val="000000" w:themeColor="text1"/>
          <w:sz w:val="24"/>
          <w:szCs w:val="24"/>
        </w:rPr>
        <w:t xml:space="preserve"> times that in the 1.0 nm cavity; for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the number of molecules in the 1.8 nm cavity is </w:t>
      </w:r>
      <w:r w:rsidR="00A67C06" w:rsidRPr="00177203">
        <w:rPr>
          <w:rFonts w:eastAsia="宋体" w:cs="Times New Roman"/>
          <w:color w:val="000000" w:themeColor="text1"/>
          <w:sz w:val="24"/>
          <w:szCs w:val="24"/>
        </w:rPr>
        <w:t>1.85</w:t>
      </w:r>
      <w:r w:rsidRPr="00177203">
        <w:rPr>
          <w:rFonts w:eastAsia="宋体" w:cs="Times New Roman"/>
          <w:color w:val="000000" w:themeColor="text1"/>
          <w:sz w:val="24"/>
          <w:szCs w:val="24"/>
        </w:rPr>
        <w:t xml:space="preserve"> times that in the 1.0 nm cavity. In contrast, the number of CO and NO molecules entering the cavity only changes by 2–3 times across the entire cavity size range, with a much milder size dependence. This difference arises from</w:t>
      </w:r>
      <w:r w:rsidR="00A67C06" w:rsidRPr="00177203">
        <w:rPr>
          <w:rFonts w:eastAsia="宋体" w:cs="Times New Roman"/>
          <w:color w:val="000000" w:themeColor="text1"/>
          <w:sz w:val="24"/>
          <w:szCs w:val="24"/>
        </w:rPr>
        <w:t>: (I)</w:t>
      </w:r>
      <w:r w:rsidRPr="00177203">
        <w:rPr>
          <w:rFonts w:eastAsia="宋体" w:cs="Times New Roman"/>
          <w:color w:val="000000" w:themeColor="text1"/>
          <w:sz w:val="24"/>
          <w:szCs w:val="24"/>
        </w:rPr>
        <w:t xml:space="preserv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is a hydrated anion with a larger effective diameter (0.63 nm) than neutral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(0.33 nm), CO (0.38 nm), and NO (0.37 nm), making its diffusion into the cavity much more sensitive to the pore size; </w:t>
      </w:r>
      <w:r w:rsidR="00A67C06" w:rsidRPr="00177203">
        <w:rPr>
          <w:rFonts w:eastAsia="宋体" w:cs="Times New Roman"/>
          <w:color w:val="000000" w:themeColor="text1"/>
          <w:sz w:val="24"/>
          <w:szCs w:val="24"/>
        </w:rPr>
        <w:t xml:space="preserve">(II) </w:t>
      </w:r>
      <w:r w:rsidRPr="00177203">
        <w:rPr>
          <w:rFonts w:eastAsia="宋体" w:cs="Times New Roman"/>
          <w:color w:val="000000" w:themeColor="text1"/>
          <w:sz w:val="24"/>
          <w:szCs w:val="24"/>
        </w:rPr>
        <w:t xml:space="preserve">the positively charged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sites in the cavity exert a strong electrostatic attraction to the anionic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which amplifies the enrichment effect in the size-matched cavity, while this electrostatic interaction is absent for neutral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CO, and NO molecules.</w:t>
      </w:r>
    </w:p>
    <w:p w14:paraId="01B1DBD3" w14:textId="44072416"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For the kinetic energy and potential energy changes of the molecules</w:t>
      </w:r>
      <w:r w:rsidR="00FA5A03" w:rsidRPr="00177203">
        <w:rPr>
          <w:rFonts w:eastAsia="宋体" w:cs="Times New Roman"/>
          <w:color w:val="000000" w:themeColor="text1"/>
          <w:sz w:val="24"/>
          <w:szCs w:val="24"/>
        </w:rPr>
        <w:t xml:space="preserve"> (</w:t>
      </w:r>
      <w:r w:rsidR="00306188" w:rsidRPr="00177203">
        <w:rPr>
          <w:rFonts w:eastAsia="宋体" w:cs="Times New Roman"/>
          <w:color w:val="000000" w:themeColor="text1"/>
          <w:sz w:val="24"/>
          <w:szCs w:val="24"/>
        </w:rPr>
        <w:t>Supplementary</w:t>
      </w:r>
      <w:r w:rsidR="00FA5A03" w:rsidRPr="00177203">
        <w:rPr>
          <w:rFonts w:eastAsia="宋体" w:cs="Times New Roman"/>
          <w:color w:val="000000" w:themeColor="text1"/>
          <w:sz w:val="24"/>
          <w:szCs w:val="24"/>
        </w:rPr>
        <w:t xml:space="preserve"> Figs. 43 and 44)</w:t>
      </w:r>
      <w:r w:rsidRPr="00177203">
        <w:rPr>
          <w:rFonts w:eastAsia="宋体" w:cs="Times New Roman"/>
          <w:color w:val="000000" w:themeColor="text1"/>
          <w:sz w:val="24"/>
          <w:szCs w:val="24"/>
        </w:rPr>
        <w:t>,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again shows the most significant variation with cavity size. In the 1.0 nm cavity, the kinetic energy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drops by 92% within 5 </w:t>
      </w:r>
      <w:proofErr w:type="spellStart"/>
      <w:r w:rsidRPr="00177203">
        <w:rPr>
          <w:rFonts w:eastAsia="宋体" w:cs="Times New Roman"/>
          <w:color w:val="000000" w:themeColor="text1"/>
          <w:sz w:val="24"/>
          <w:szCs w:val="24"/>
        </w:rPr>
        <w:t>ps</w:t>
      </w:r>
      <w:proofErr w:type="spellEnd"/>
      <w:r w:rsidRPr="00177203">
        <w:rPr>
          <w:rFonts w:eastAsia="宋体" w:cs="Times New Roman"/>
          <w:color w:val="000000" w:themeColor="text1"/>
          <w:sz w:val="24"/>
          <w:szCs w:val="24"/>
        </w:rPr>
        <w:t>, the fastest among all species; in the 1.</w:t>
      </w:r>
      <w:r w:rsidR="00052306" w:rsidRPr="00177203">
        <w:rPr>
          <w:rFonts w:eastAsia="宋体" w:cs="Times New Roman"/>
          <w:color w:val="000000" w:themeColor="text1"/>
          <w:sz w:val="24"/>
          <w:szCs w:val="24"/>
        </w:rPr>
        <w:t>8</w:t>
      </w:r>
      <w:r w:rsidRPr="00177203">
        <w:rPr>
          <w:rFonts w:eastAsia="宋体" w:cs="Times New Roman"/>
          <w:color w:val="000000" w:themeColor="text1"/>
          <w:sz w:val="24"/>
          <w:szCs w:val="24"/>
        </w:rPr>
        <w:t xml:space="preserve"> nm cavity, the variation range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kinetic energy is from </w:t>
      </w:r>
      <w:r w:rsidR="00052306" w:rsidRPr="00177203">
        <w:rPr>
          <w:rFonts w:eastAsia="宋体" w:cs="Times New Roman"/>
          <w:color w:val="000000" w:themeColor="text1"/>
          <w:sz w:val="24"/>
          <w:szCs w:val="24"/>
        </w:rPr>
        <w:t>726.1</w:t>
      </w:r>
      <w:r w:rsidRPr="00177203">
        <w:rPr>
          <w:rFonts w:eastAsia="宋体" w:cs="Times New Roman"/>
          <w:color w:val="000000" w:themeColor="text1"/>
          <w:sz w:val="24"/>
          <w:szCs w:val="24"/>
        </w:rPr>
        <w:t xml:space="preserve"> kcal 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to </w:t>
      </w:r>
      <w:r w:rsidR="00052306" w:rsidRPr="00177203">
        <w:rPr>
          <w:rFonts w:eastAsia="宋体" w:cs="Times New Roman"/>
          <w:color w:val="000000" w:themeColor="text1"/>
          <w:sz w:val="24"/>
          <w:szCs w:val="24"/>
        </w:rPr>
        <w:t>458.8</w:t>
      </w:r>
      <w:r w:rsidRPr="00177203">
        <w:rPr>
          <w:rFonts w:eastAsia="宋体" w:cs="Times New Roman"/>
          <w:color w:val="000000" w:themeColor="text1"/>
          <w:sz w:val="24"/>
          <w:szCs w:val="24"/>
        </w:rPr>
        <w:t xml:space="preserve">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while the kinetic energy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only varies from </w:t>
      </w:r>
      <w:r w:rsidR="00052306" w:rsidRPr="00177203">
        <w:rPr>
          <w:rFonts w:eastAsia="宋体" w:cs="Times New Roman"/>
          <w:color w:val="000000" w:themeColor="text1"/>
          <w:sz w:val="24"/>
          <w:szCs w:val="24"/>
        </w:rPr>
        <w:t>336.5</w:t>
      </w:r>
      <w:r w:rsidRPr="00177203">
        <w:rPr>
          <w:rFonts w:eastAsia="宋体" w:cs="Times New Roman"/>
          <w:color w:val="000000" w:themeColor="text1"/>
          <w:sz w:val="24"/>
          <w:szCs w:val="24"/>
        </w:rPr>
        <w:t xml:space="preserve">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to </w:t>
      </w:r>
      <w:r w:rsidR="00052306" w:rsidRPr="00177203">
        <w:rPr>
          <w:rFonts w:eastAsia="宋体" w:cs="Times New Roman"/>
          <w:color w:val="000000" w:themeColor="text1"/>
          <w:sz w:val="24"/>
          <w:szCs w:val="24"/>
        </w:rPr>
        <w:t>302.8</w:t>
      </w:r>
      <w:r w:rsidRPr="00177203">
        <w:rPr>
          <w:rFonts w:eastAsia="宋体" w:cs="Times New Roman"/>
          <w:color w:val="000000" w:themeColor="text1"/>
          <w:sz w:val="24"/>
          <w:szCs w:val="24"/>
        </w:rPr>
        <w:t xml:space="preserve">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and CO/NO show almost no change. The potential energy follows the same trend,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exhibiting </w:t>
      </w:r>
      <w:r w:rsidR="00FA5A03" w:rsidRPr="00177203">
        <w:rPr>
          <w:rFonts w:eastAsia="宋体" w:cs="Times New Roman"/>
          <w:color w:val="000000" w:themeColor="text1"/>
          <w:sz w:val="24"/>
          <w:szCs w:val="24"/>
        </w:rPr>
        <w:t xml:space="preserve">264.8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potential energy </w:t>
      </w:r>
      <w:r w:rsidR="005F6644" w:rsidRPr="00177203">
        <w:rPr>
          <w:rFonts w:eastAsia="宋体" w:cs="Times New Roman"/>
          <w:color w:val="000000" w:themeColor="text1"/>
          <w:sz w:val="24"/>
          <w:szCs w:val="24"/>
        </w:rPr>
        <w:t>drops</w:t>
      </w:r>
      <w:r w:rsidRPr="00177203">
        <w:rPr>
          <w:rFonts w:eastAsia="宋体" w:cs="Times New Roman"/>
          <w:color w:val="000000" w:themeColor="text1"/>
          <w:sz w:val="24"/>
          <w:szCs w:val="24"/>
        </w:rPr>
        <w:t xml:space="preserve"> in the 1.8 nm cavity, compared to </w:t>
      </w:r>
      <w:r w:rsidR="00FA5A03" w:rsidRPr="00177203">
        <w:rPr>
          <w:rFonts w:eastAsia="宋体" w:cs="Times New Roman"/>
          <w:color w:val="000000" w:themeColor="text1"/>
          <w:sz w:val="24"/>
          <w:szCs w:val="24"/>
        </w:rPr>
        <w:t xml:space="preserve">52.9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for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less than </w:t>
      </w:r>
      <w:r w:rsidR="00052306" w:rsidRPr="00177203">
        <w:rPr>
          <w:rFonts w:eastAsia="宋体" w:cs="Times New Roman"/>
          <w:color w:val="000000" w:themeColor="text1"/>
          <w:sz w:val="24"/>
          <w:szCs w:val="24"/>
        </w:rPr>
        <w:t xml:space="preserve">20 kcal </w:t>
      </w:r>
      <w:r w:rsidR="005F6644" w:rsidRPr="00177203">
        <w:rPr>
          <w:rFonts w:eastAsia="宋体" w:cs="Times New Roman"/>
          <w:color w:val="000000" w:themeColor="text1"/>
          <w:sz w:val="24"/>
          <w:szCs w:val="24"/>
        </w:rPr>
        <w:t>mol</w:t>
      </w:r>
      <w:r w:rsidR="005F664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for CO/NO. This confirms that the nanoconfined cavity interacts most strongly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making its diffusion and adsorption behavior the most sensitive to cavity size.</w:t>
      </w:r>
    </w:p>
    <w:p w14:paraId="44D42091" w14:textId="6B2E911F" w:rsidR="00160F61" w:rsidRPr="00177203" w:rsidRDefault="00954CDC" w:rsidP="003B5ECE">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These molecular-level insights are fully consistent with the experimental results of reactant concentration regulation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3</w:t>
      </w:r>
      <w:r w:rsidR="00FA5A03" w:rsidRPr="00177203">
        <w:rPr>
          <w:rFonts w:eastAsia="宋体" w:cs="Times New Roman"/>
          <w:color w:val="000000" w:themeColor="text1"/>
          <w:sz w:val="24"/>
          <w:szCs w:val="24"/>
        </w:rPr>
        <w:t>4</w:t>
      </w:r>
      <w:r w:rsidRPr="00177203">
        <w:rPr>
          <w:rFonts w:eastAsia="宋体" w:cs="Times New Roman"/>
          <w:color w:val="000000" w:themeColor="text1"/>
          <w:sz w:val="24"/>
          <w:szCs w:val="24"/>
        </w:rPr>
        <w:t>). The strong size sensitivity and enrichment effect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in the nanocavities explain why increasing the bulk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concentration leads to a nearly linear increase in urea yield, with no saturation observed</w:t>
      </w:r>
      <w:r w:rsidR="00400916"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 </w:t>
      </w:r>
      <w:r w:rsidR="00400916" w:rsidRPr="00177203">
        <w:rPr>
          <w:rFonts w:eastAsia="宋体" w:cs="Times New Roman"/>
          <w:color w:val="000000" w:themeColor="text1"/>
          <w:sz w:val="24"/>
          <w:szCs w:val="24"/>
        </w:rPr>
        <w:t>T</w:t>
      </w:r>
      <w:r w:rsidRPr="00177203">
        <w:rPr>
          <w:rFonts w:eastAsia="宋体" w:cs="Times New Roman"/>
          <w:color w:val="000000" w:themeColor="text1"/>
          <w:sz w:val="24"/>
          <w:szCs w:val="24"/>
        </w:rPr>
        <w:t>he higher the bulk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concentration, the stronger the electrostatic enrichment effect in the cavity, which continuously increases the local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concentration at the active sites, thus accelerating the generation of *NO intermediates and promoting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In contrast, the weak size sensitivity and enrichment effect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lead to a rapid saturation of its promotion effect</w:t>
      </w:r>
      <w:r w:rsidR="00400916" w:rsidRPr="00177203">
        <w:rPr>
          <w:rFonts w:eastAsia="宋体" w:cs="Times New Roman"/>
          <w:color w:val="000000" w:themeColor="text1"/>
          <w:sz w:val="24"/>
          <w:szCs w:val="24"/>
        </w:rPr>
        <w:t>. O</w:t>
      </w:r>
      <w:r w:rsidRPr="00177203">
        <w:rPr>
          <w:rFonts w:eastAsia="宋体" w:cs="Times New Roman"/>
          <w:color w:val="000000" w:themeColor="text1"/>
          <w:sz w:val="24"/>
          <w:szCs w:val="24"/>
        </w:rPr>
        <w:t>nce the bulk electrolyte is saturated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further increasing the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flow rate cannot increase the local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concentration in the cavity, so the urea yield </w:t>
      </w:r>
      <w:r w:rsidR="00400916" w:rsidRPr="00177203">
        <w:rPr>
          <w:rFonts w:eastAsia="宋体" w:cs="Times New Roman"/>
          <w:color w:val="000000" w:themeColor="text1"/>
          <w:sz w:val="24"/>
          <w:szCs w:val="24"/>
        </w:rPr>
        <w:t>maximized</w:t>
      </w:r>
      <w:r w:rsidRPr="00177203">
        <w:rPr>
          <w:rFonts w:eastAsia="宋体" w:cs="Times New Roman"/>
          <w:color w:val="000000" w:themeColor="text1"/>
          <w:sz w:val="24"/>
          <w:szCs w:val="24"/>
        </w:rPr>
        <w:t>. This perfect consistency between MD simulation and electrochemical experiments provides a solid mechanistic foundation for the nanoconfinement design principle of urea electrosynthesis catalysts.</w:t>
      </w:r>
      <w:r w:rsidR="00160F61" w:rsidRPr="00177203">
        <w:rPr>
          <w:rFonts w:eastAsia="宋体" w:cs="Times New Roman"/>
          <w:color w:val="000000" w:themeColor="text1"/>
          <w:sz w:val="24"/>
          <w:szCs w:val="24"/>
        </w:rPr>
        <w:br w:type="page"/>
      </w:r>
    </w:p>
    <w:p w14:paraId="5E80280A" w14:textId="351EBF38" w:rsidR="000D21AE" w:rsidRPr="00177203" w:rsidRDefault="000D21AE" w:rsidP="000D21AE">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4.</w:t>
      </w:r>
      <w:r w:rsidR="00163B93" w:rsidRPr="00177203">
        <w:rPr>
          <w:rFonts w:eastAsia="宋体" w:cs="Times New Roman"/>
          <w:b/>
          <w:bCs/>
          <w:color w:val="000000" w:themeColor="text1"/>
          <w:sz w:val="24"/>
          <w:szCs w:val="24"/>
        </w:rPr>
        <w:t>2</w:t>
      </w:r>
      <w:r w:rsidRPr="00177203">
        <w:rPr>
          <w:rFonts w:eastAsia="宋体" w:cs="Times New Roman"/>
          <w:b/>
          <w:bCs/>
          <w:color w:val="000000" w:themeColor="text1"/>
          <w:sz w:val="24"/>
          <w:szCs w:val="24"/>
        </w:rPr>
        <w:t xml:space="preserve">. </w:t>
      </w:r>
      <w:r w:rsidR="00357EB4" w:rsidRPr="00177203">
        <w:rPr>
          <w:rFonts w:eastAsia="宋体" w:cs="Times New Roman"/>
          <w:b/>
          <w:bCs/>
          <w:color w:val="000000" w:themeColor="text1"/>
          <w:sz w:val="24"/>
          <w:szCs w:val="24"/>
        </w:rPr>
        <w:t>E</w:t>
      </w:r>
      <w:r w:rsidR="00DE7068" w:rsidRPr="00177203">
        <w:rPr>
          <w:rFonts w:eastAsia="宋体" w:cs="Times New Roman"/>
          <w:b/>
          <w:bCs/>
          <w:color w:val="000000" w:themeColor="text1"/>
          <w:sz w:val="24"/>
          <w:szCs w:val="24"/>
        </w:rPr>
        <w:t>lectronic confined effect calculation</w:t>
      </w:r>
    </w:p>
    <w:p w14:paraId="2A030746" w14:textId="39904354" w:rsidR="004F4571" w:rsidRPr="00177203" w:rsidRDefault="00954CDC" w:rsidP="00160F61">
      <w:pPr>
        <w:spacing w:afterLines="50" w:after="156"/>
        <w:outlineLvl w:val="2"/>
        <w:rPr>
          <w:rFonts w:eastAsia="宋体" w:cs="Times New Roman"/>
          <w:sz w:val="24"/>
          <w:szCs w:val="24"/>
        </w:rPr>
      </w:pPr>
      <w:r w:rsidRPr="00177203">
        <w:rPr>
          <w:rFonts w:eastAsia="宋体" w:cs="Times New Roman"/>
          <w:b/>
          <w:bCs/>
          <w:sz w:val="24"/>
          <w:szCs w:val="24"/>
        </w:rPr>
        <w:t xml:space="preserve">Confined electric field calculation method: </w:t>
      </w:r>
      <w:r w:rsidR="004F4571" w:rsidRPr="00177203">
        <w:rPr>
          <w:rFonts w:eastAsia="宋体" w:cs="Times New Roman"/>
          <w:sz w:val="24"/>
          <w:szCs w:val="24"/>
        </w:rPr>
        <w:t>All periodic density functional theory calculations were performed using the Vienna Ab initio Simulation Package (VASP 6.4.4)</w:t>
      </w:r>
      <w:r w:rsidR="002954F8" w:rsidRPr="00177203">
        <w:rPr>
          <w:rFonts w:eastAsia="宋体" w:cs="Times New Roman"/>
          <w:noProof/>
          <w:color w:val="0070C0"/>
          <w:sz w:val="24"/>
          <w:szCs w:val="24"/>
          <w:vertAlign w:val="superscript"/>
        </w:rPr>
        <w:t>50,51</w:t>
      </w:r>
      <w:r w:rsidR="004F4571" w:rsidRPr="00177203">
        <w:rPr>
          <w:rFonts w:eastAsia="宋体" w:cs="Times New Roman"/>
          <w:sz w:val="24"/>
          <w:szCs w:val="24"/>
        </w:rPr>
        <w:t>. The projector augmented wave method was adopted to describe electron-ion interactions, and the Perdew-Burke-Ernzerhof</w:t>
      </w:r>
      <w:r w:rsidR="007C4BDF" w:rsidRPr="00177203">
        <w:rPr>
          <w:rFonts w:eastAsia="宋体" w:cs="Times New Roman"/>
          <w:sz w:val="24"/>
          <w:szCs w:val="24"/>
        </w:rPr>
        <w:t xml:space="preserve"> (PBE)</w:t>
      </w:r>
      <w:r w:rsidR="004F4571" w:rsidRPr="00177203">
        <w:rPr>
          <w:rFonts w:eastAsia="宋体" w:cs="Times New Roman"/>
          <w:sz w:val="24"/>
          <w:szCs w:val="24"/>
        </w:rPr>
        <w:t xml:space="preserve"> functional within the generalized gradient approximation</w:t>
      </w:r>
      <w:r w:rsidR="007C4BDF" w:rsidRPr="00177203">
        <w:rPr>
          <w:rFonts w:eastAsia="宋体" w:cs="Times New Roman"/>
          <w:sz w:val="24"/>
          <w:szCs w:val="24"/>
        </w:rPr>
        <w:t xml:space="preserve"> (GGA)</w:t>
      </w:r>
      <w:r w:rsidR="004F4571" w:rsidRPr="00177203">
        <w:rPr>
          <w:rFonts w:eastAsia="宋体" w:cs="Times New Roman"/>
          <w:sz w:val="24"/>
          <w:szCs w:val="24"/>
        </w:rPr>
        <w:t xml:space="preserve"> was used to treat exchange-correlation interactions. Spin polarization was enabled for all calculations involving Cu sites, and the DFT-D3 method was applied to correct van der Waals interactions.</w:t>
      </w:r>
    </w:p>
    <w:p w14:paraId="513ACB6A" w14:textId="6EF34004" w:rsidR="004F4571" w:rsidRPr="00177203" w:rsidRDefault="004F4571" w:rsidP="004F4571">
      <w:pPr>
        <w:spacing w:afterLines="50" w:after="156"/>
        <w:ind w:firstLine="420"/>
        <w:rPr>
          <w:rFonts w:eastAsia="宋体" w:cs="Times New Roman"/>
          <w:sz w:val="24"/>
          <w:szCs w:val="24"/>
        </w:rPr>
      </w:pPr>
      <w:r w:rsidRPr="00177203">
        <w:rPr>
          <w:rFonts w:eastAsia="宋体" w:cs="Times New Roman"/>
          <w:sz w:val="24"/>
          <w:szCs w:val="24"/>
        </w:rPr>
        <w:t>Geometric optimization of confined cavity models was conducted with a plane-wave cutoff energy of 450 eV. Ionic relaxation proceeded until the total energy change per atom converged to below 1×10</w:t>
      </w:r>
      <w:r w:rsidR="007C4BDF" w:rsidRPr="00177203">
        <w:rPr>
          <w:rFonts w:eastAsia="宋体" w:cs="Times New Roman"/>
          <w:sz w:val="24"/>
          <w:szCs w:val="24"/>
          <w:vertAlign w:val="superscript"/>
        </w:rPr>
        <w:t>–5</w:t>
      </w:r>
      <w:r w:rsidRPr="00177203">
        <w:rPr>
          <w:rFonts w:eastAsia="宋体" w:cs="Times New Roman"/>
          <w:sz w:val="24"/>
          <w:szCs w:val="24"/>
        </w:rPr>
        <w:t xml:space="preserve"> eV and the maximum atomic force was less than 0.02 eV Å</w:t>
      </w:r>
      <w:r w:rsidR="007C4BDF" w:rsidRPr="00177203">
        <w:rPr>
          <w:rFonts w:eastAsia="宋体" w:cs="Times New Roman"/>
          <w:sz w:val="24"/>
          <w:szCs w:val="24"/>
          <w:vertAlign w:val="superscript"/>
        </w:rPr>
        <w:t>–1</w:t>
      </w:r>
      <w:r w:rsidRPr="00177203">
        <w:rPr>
          <w:rFonts w:eastAsia="宋体" w:cs="Times New Roman"/>
          <w:sz w:val="24"/>
          <w:szCs w:val="24"/>
        </w:rPr>
        <w:t>. The conjugate gradient algorithm was applied for ionic relaxation, with only ionic positions relaxed to preserve the original cavity geometry. Electronic self-consistent field calculations were performed with a convergence threshold of 1×10</w:t>
      </w:r>
      <w:r w:rsidR="007C4BDF" w:rsidRPr="00177203">
        <w:rPr>
          <w:rFonts w:eastAsia="宋体" w:cs="Times New Roman"/>
          <w:sz w:val="24"/>
          <w:szCs w:val="24"/>
          <w:vertAlign w:val="superscript"/>
        </w:rPr>
        <w:t>–8</w:t>
      </w:r>
      <w:r w:rsidRPr="00177203">
        <w:rPr>
          <w:rFonts w:eastAsia="宋体" w:cs="Times New Roman"/>
          <w:sz w:val="24"/>
          <w:szCs w:val="24"/>
        </w:rPr>
        <w:t xml:space="preserve"> eV, and all projection operations were executed in reciprocal space to avoid numerical errors. Calculations for confined electric field distribution adopted an increased plane-wave cutoff energy of 500 eV to ensure the accuracy of electrostatic potential output.</w:t>
      </w:r>
    </w:p>
    <w:p w14:paraId="579A8A2E" w14:textId="77777777" w:rsidR="004F4571" w:rsidRPr="00177203" w:rsidRDefault="004F4571" w:rsidP="004F4571">
      <w:pPr>
        <w:spacing w:afterLines="50" w:after="156"/>
        <w:ind w:firstLine="420"/>
        <w:rPr>
          <w:rFonts w:eastAsia="宋体" w:cs="Times New Roman"/>
          <w:sz w:val="24"/>
          <w:szCs w:val="24"/>
        </w:rPr>
      </w:pPr>
      <w:r w:rsidRPr="00177203">
        <w:rPr>
          <w:rFonts w:eastAsia="宋体" w:cs="Times New Roman"/>
          <w:sz w:val="24"/>
          <w:szCs w:val="24"/>
        </w:rPr>
        <w:t>Bader charge analysis was performed to quantify charge transfer of Cu active sites. The core charge density was subtracted from the total charge density to obtain the valence charge density distribution, and Bader volumes were partitioned via the zero-flux surface algorithm. Charge transfer amount was derived from the difference between the formal valence electron number and the Bader charge of the Cu atom.</w:t>
      </w:r>
    </w:p>
    <w:p w14:paraId="5EB3FD65" w14:textId="31D63A35" w:rsidR="004F4571" w:rsidRPr="00177203" w:rsidRDefault="004F4571" w:rsidP="004F4571">
      <w:pPr>
        <w:spacing w:afterLines="50" w:after="156"/>
        <w:ind w:firstLine="420"/>
        <w:rPr>
          <w:rFonts w:eastAsia="宋体" w:cs="Times New Roman"/>
          <w:sz w:val="24"/>
          <w:szCs w:val="24"/>
        </w:rPr>
      </w:pPr>
      <w:r w:rsidRPr="00177203">
        <w:rPr>
          <w:rFonts w:eastAsia="宋体" w:cs="Times New Roman"/>
          <w:sz w:val="24"/>
          <w:szCs w:val="24"/>
        </w:rPr>
        <w:t xml:space="preserve">The localized confined electric field was calculated based on electrostatic potential data from optimized structures. Total electrostatic potential including ionic and electronic contributions was extracted from output files, with corresponding parameters enabled in the input file to ensure complete data capture. The electric field vector was defined as the negative gradient of the electrostatic potential, and grid-based numerical differentiation was applied to calculate electric field intensity at each grid point within the confined space. Average electric field intensity was obtained by integrating the electric field magnitude over the cavity volume, with atomic core regions excluded to avoid interference from strong electrostatic potential near nuclei. Calculations were performed for all composite tube models with diameters ranging from 1.0 nm to 2.6 nm, with average and local maximum electric field intensities counted specifically for the reaction region within 3 Å of the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sz w:val="24"/>
          <w:szCs w:val="24"/>
        </w:rPr>
        <w:t xml:space="preserve"> active site.</w:t>
      </w:r>
    </w:p>
    <w:p w14:paraId="02C77C8E" w14:textId="411EFCB1" w:rsidR="004F4571" w:rsidRPr="00177203" w:rsidRDefault="004F4571" w:rsidP="004F457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The d-band center of the Cu active site was calculated based on the projected density of states (PDOS) of the Cu 3d orbital obtained from the optimized structure, with the Fermi level (</w:t>
      </w:r>
      <w:r w:rsidRPr="00177203">
        <w:rPr>
          <w:rFonts w:eastAsia="宋体" w:cs="Times New Roman"/>
          <w:i/>
          <w:iCs/>
          <w:color w:val="000000" w:themeColor="text1"/>
          <w:sz w:val="24"/>
          <w:szCs w:val="24"/>
        </w:rPr>
        <w:t>E</w:t>
      </w:r>
      <w:r w:rsidRPr="00177203">
        <w:rPr>
          <w:rFonts w:eastAsia="宋体" w:cs="Times New Roman"/>
          <w:color w:val="000000" w:themeColor="text1"/>
          <w:sz w:val="24"/>
          <w:szCs w:val="24"/>
          <w:vertAlign w:val="subscript"/>
        </w:rPr>
        <w:t>f</w:t>
      </w:r>
      <w:r w:rsidRPr="00177203">
        <w:rPr>
          <w:rFonts w:eastAsia="宋体" w:cs="Times New Roman"/>
          <w:color w:val="000000" w:themeColor="text1"/>
          <w:sz w:val="24"/>
          <w:szCs w:val="24"/>
        </w:rPr>
        <w:t>) uniformly set as the 0.0 eV energy reference. The d-band center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d</m:t>
            </m:r>
          </m:sub>
        </m:sSub>
      </m:oMath>
      <w:r w:rsidRPr="00177203">
        <w:rPr>
          <w:rFonts w:eastAsia="宋体" w:cs="Times New Roman"/>
          <w:color w:val="000000" w:themeColor="text1"/>
          <w:sz w:val="24"/>
          <w:szCs w:val="24"/>
        </w:rPr>
        <w:t>) is defined as the energy-weighted average of the Cu 3d orbital PDOS, and the calculation formula is as follows</w:t>
      </w:r>
      <w:r w:rsidR="002954F8" w:rsidRPr="00177203">
        <w:rPr>
          <w:rFonts w:eastAsia="宋体" w:cs="Times New Roman"/>
          <w:noProof/>
          <w:color w:val="0070C0"/>
          <w:sz w:val="24"/>
          <w:szCs w:val="24"/>
          <w:vertAlign w:val="superscript"/>
        </w:rPr>
        <w:t>52,53</w:t>
      </w:r>
      <w:r w:rsidRPr="00177203">
        <w:rPr>
          <w:rFonts w:eastAsia="宋体" w:cs="Times New Roman"/>
          <w:color w:val="000000" w:themeColor="text1"/>
          <w:sz w:val="24"/>
          <w:szCs w:val="24"/>
        </w:rPr>
        <w:t>:</w:t>
      </w:r>
    </w:p>
    <w:p w14:paraId="3A0210F5" w14:textId="4FF49F98" w:rsidR="004F4571" w:rsidRPr="00177203" w:rsidRDefault="00000000" w:rsidP="004F4571">
      <w:pPr>
        <w:spacing w:afterLines="50" w:after="156"/>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ε</m:t>
                  </m:r>
                </m:e>
                <m:sub>
                  <m:r>
                    <w:rPr>
                      <w:rFonts w:ascii="Cambria Math" w:eastAsia="宋体" w:hAnsi="Cambria Math" w:cs="Times New Roman"/>
                      <w:color w:val="000000" w:themeColor="text1"/>
                      <w:sz w:val="24"/>
                      <w:szCs w:val="24"/>
                    </w:rPr>
                    <m:t>d</m:t>
                  </m:r>
                </m:sub>
              </m:sSub>
              <m:r>
                <w:rPr>
                  <w:rFonts w:ascii="Cambria Math" w:eastAsia="宋体" w:hAnsi="Cambria Math" w:cs="Times New Roman"/>
                  <w:color w:val="000000" w:themeColor="text1"/>
                  <w:sz w:val="24"/>
                  <w:szCs w:val="24"/>
                </w:rPr>
                <m:t>=</m:t>
              </m:r>
              <m:f>
                <m:fPr>
                  <m:ctrlPr>
                    <w:rPr>
                      <w:rFonts w:ascii="Cambria Math" w:eastAsia="宋体" w:hAnsi="Cambria Math" w:cs="Times New Roman"/>
                      <w:i/>
                      <w:color w:val="000000" w:themeColor="text1"/>
                      <w:sz w:val="24"/>
                      <w:szCs w:val="24"/>
                    </w:rPr>
                  </m:ctrlPr>
                </m:fPr>
                <m:num>
                  <m:nary>
                    <m:naryPr>
                      <m:limLoc m:val="subSup"/>
                      <m:ctrlPr>
                        <w:rPr>
                          <w:rFonts w:ascii="Cambria Math" w:eastAsia="宋体" w:hAnsi="Cambria Math" w:cs="Times New Roman"/>
                          <w:i/>
                          <w:color w:val="000000" w:themeColor="text1"/>
                          <w:sz w:val="24"/>
                          <w:szCs w:val="24"/>
                        </w:rPr>
                      </m:ctrlPr>
                    </m:naryPr>
                    <m:sub>
                      <m:r>
                        <w:rPr>
                          <w:rFonts w:ascii="Cambria Math" w:eastAsia="宋体" w:hAnsi="Cambria Math" w:cs="Times New Roman"/>
                          <w:color w:val="000000" w:themeColor="text1"/>
                          <w:sz w:val="24"/>
                          <w:szCs w:val="24"/>
                        </w:rPr>
                        <m:t>-∞</m:t>
                      </m:r>
                    </m:sub>
                    <m:sup>
                      <m:r>
                        <w:rPr>
                          <w:rFonts w:ascii="Cambria Math" w:eastAsia="宋体" w:hAnsi="Cambria Math" w:cs="Times New Roman"/>
                          <w:color w:val="000000" w:themeColor="text1"/>
                          <w:sz w:val="24"/>
                          <w:szCs w:val="24"/>
                        </w:rPr>
                        <m:t>∞</m:t>
                      </m:r>
                    </m:sup>
                    <m:e>
                      <m:r>
                        <w:rPr>
                          <w:rFonts w:ascii="Cambria Math" w:eastAsia="宋体" w:hAnsi="Cambria Math" w:cs="Times New Roman"/>
                          <w:color w:val="000000" w:themeColor="text1"/>
                          <w:sz w:val="24"/>
                          <w:szCs w:val="24"/>
                        </w:rPr>
                        <m:t>E</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ρ</m:t>
                          </m:r>
                        </m:e>
                        <m:sub>
                          <m:r>
                            <w:rPr>
                              <w:rFonts w:ascii="Cambria Math" w:eastAsia="宋体" w:hAnsi="Cambria Math" w:cs="Times New Roman"/>
                              <w:color w:val="000000" w:themeColor="text1"/>
                              <w:sz w:val="24"/>
                              <w:szCs w:val="24"/>
                            </w:rPr>
                            <m:t>d</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E</m:t>
                          </m:r>
                        </m:e>
                      </m:d>
                      <m:r>
                        <w:rPr>
                          <w:rFonts w:ascii="Cambria Math" w:eastAsia="宋体" w:hAnsi="Cambria Math" w:cs="Times New Roman"/>
                          <w:color w:val="000000" w:themeColor="text1"/>
                          <w:sz w:val="24"/>
                          <w:szCs w:val="24"/>
                        </w:rPr>
                        <m:t>dE</m:t>
                      </m:r>
                    </m:e>
                  </m:nary>
                </m:num>
                <m:den>
                  <m:nary>
                    <m:naryPr>
                      <m:limLoc m:val="subSup"/>
                      <m:ctrlPr>
                        <w:rPr>
                          <w:rFonts w:ascii="Cambria Math" w:eastAsia="宋体" w:hAnsi="Cambria Math" w:cs="Times New Roman"/>
                          <w:i/>
                          <w:color w:val="000000" w:themeColor="text1"/>
                          <w:sz w:val="24"/>
                          <w:szCs w:val="24"/>
                        </w:rPr>
                      </m:ctrlPr>
                    </m:naryPr>
                    <m:sub>
                      <m:r>
                        <w:rPr>
                          <w:rFonts w:ascii="Cambria Math" w:eastAsia="宋体" w:hAnsi="Cambria Math" w:cs="Times New Roman"/>
                          <w:color w:val="000000" w:themeColor="text1"/>
                          <w:sz w:val="24"/>
                          <w:szCs w:val="24"/>
                        </w:rPr>
                        <m:t>-∞</m:t>
                      </m:r>
                    </m:sub>
                    <m:sup>
                      <m:r>
                        <w:rPr>
                          <w:rFonts w:ascii="Cambria Math" w:eastAsia="宋体" w:hAnsi="Cambria Math" w:cs="Times New Roman"/>
                          <w:color w:val="000000" w:themeColor="text1"/>
                          <w:sz w:val="24"/>
                          <w:szCs w:val="24"/>
                        </w:rPr>
                        <m:t>∞</m:t>
                      </m:r>
                    </m:sup>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ρ</m:t>
                          </m:r>
                        </m:e>
                        <m:sub>
                          <m:r>
                            <w:rPr>
                              <w:rFonts w:ascii="Cambria Math" w:eastAsia="宋体" w:hAnsi="Cambria Math" w:cs="Times New Roman"/>
                              <w:color w:val="000000" w:themeColor="text1"/>
                              <w:sz w:val="24"/>
                              <w:szCs w:val="24"/>
                            </w:rPr>
                            <m:t>d</m:t>
                          </m:r>
                        </m:sub>
                      </m:sSub>
                    </m:e>
                  </m:nary>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E</m:t>
                      </m:r>
                    </m:e>
                  </m:d>
                  <m:r>
                    <w:rPr>
                      <w:rFonts w:ascii="Cambria Math" w:eastAsia="宋体" w:hAnsi="Cambria Math" w:cs="Times New Roman"/>
                      <w:color w:val="000000" w:themeColor="text1"/>
                      <w:sz w:val="24"/>
                      <w:szCs w:val="24"/>
                    </w:rPr>
                    <m:t>dE</m:t>
                  </m:r>
                </m:den>
              </m:f>
              <m:r>
                <w:rPr>
                  <w:rFonts w:ascii="Cambria Math" w:eastAsia="宋体" w:hAnsi="Cambria Math" w:cs="Times New Roman"/>
                  <w:color w:val="000000" w:themeColor="text1"/>
                  <w:sz w:val="24"/>
                  <w:szCs w:val="24"/>
                </w:rPr>
                <m:t>#(9)</m:t>
              </m:r>
            </m:e>
          </m:eqArr>
        </m:oMath>
      </m:oMathPara>
    </w:p>
    <w:p w14:paraId="43471A3E" w14:textId="37A75011" w:rsidR="004F4571" w:rsidRPr="00177203" w:rsidRDefault="004F4571" w:rsidP="004F4571">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w:r w:rsidRPr="00177203">
        <w:rPr>
          <w:rFonts w:eastAsia="宋体" w:cs="Times New Roman"/>
          <w:i/>
          <w:iCs/>
          <w:color w:val="000000" w:themeColor="text1"/>
          <w:sz w:val="24"/>
          <w:szCs w:val="24"/>
        </w:rPr>
        <w:t>E</w:t>
      </w:r>
      <w:r w:rsidRPr="00177203">
        <w:rPr>
          <w:rFonts w:eastAsia="宋体" w:cs="Times New Roman"/>
          <w:color w:val="000000" w:themeColor="text1"/>
          <w:sz w:val="24"/>
          <w:szCs w:val="24"/>
        </w:rPr>
        <w:t xml:space="preserve"> is the orbital energy relative to the Fermi level,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ρ</m:t>
            </m:r>
          </m:e>
          <m:sub>
            <m:r>
              <w:rPr>
                <w:rFonts w:ascii="Cambria Math" w:eastAsia="宋体" w:hAnsi="Cambria Math" w:cs="Times New Roman"/>
                <w:color w:val="000000" w:themeColor="text1"/>
                <w:sz w:val="24"/>
                <w:szCs w:val="24"/>
              </w:rPr>
              <m:t>d</m:t>
            </m:r>
          </m:sub>
        </m:sSub>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E</m:t>
            </m:r>
          </m:e>
        </m:d>
      </m:oMath>
      <w:r w:rsidRPr="00177203">
        <w:rPr>
          <w:rFonts w:eastAsia="宋体" w:cs="Times New Roman"/>
          <w:color w:val="000000" w:themeColor="text1"/>
          <w:sz w:val="24"/>
          <w:szCs w:val="24"/>
        </w:rPr>
        <w:t xml:space="preserve"> is the PDOS value of the Cu 3d orbital at the corresponding energy. The d-band center values of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sites in composite tube models with diameters of 1.0~2.6 nm </w:t>
      </w:r>
      <w:proofErr w:type="gramStart"/>
      <w:r w:rsidRPr="00177203">
        <w:rPr>
          <w:rFonts w:eastAsia="宋体" w:cs="Times New Roman"/>
          <w:color w:val="000000" w:themeColor="text1"/>
          <w:sz w:val="24"/>
          <w:szCs w:val="24"/>
        </w:rPr>
        <w:t>were</w:t>
      </w:r>
      <w:proofErr w:type="gramEnd"/>
      <w:r w:rsidRPr="00177203">
        <w:rPr>
          <w:rFonts w:eastAsia="宋体" w:cs="Times New Roman"/>
          <w:color w:val="000000" w:themeColor="text1"/>
          <w:sz w:val="24"/>
          <w:szCs w:val="24"/>
        </w:rPr>
        <w:t xml:space="preserve"> calculated respectively to clarify the regulation effect of confined space on the electronic structure of the active site.</w:t>
      </w:r>
    </w:p>
    <w:p w14:paraId="51D3C4BB" w14:textId="6118155C" w:rsidR="00FA5A03" w:rsidRPr="00177203" w:rsidRDefault="00F626CC" w:rsidP="00CB5B51">
      <w:pPr>
        <w:spacing w:afterLines="50" w:after="156"/>
        <w:jc w:val="center"/>
        <w:rPr>
          <w:rFonts w:eastAsia="宋体" w:cs="Times New Roman"/>
          <w:color w:val="000000" w:themeColor="text1"/>
          <w:sz w:val="24"/>
          <w:szCs w:val="24"/>
        </w:rPr>
      </w:pPr>
      <w:r w:rsidRPr="00177203">
        <w:rPr>
          <w:rFonts w:eastAsia="宋体" w:cs="Times New Roman"/>
          <w:noProof/>
          <w:sz w:val="24"/>
          <w:szCs w:val="24"/>
        </w:rPr>
        <w:drawing>
          <wp:inline distT="0" distB="0" distL="0" distR="0" wp14:anchorId="09638AFA" wp14:editId="65A49939">
            <wp:extent cx="3575225" cy="3234122"/>
            <wp:effectExtent l="0" t="0" r="6350" b="4445"/>
            <wp:docPr id="158248932" name="图片 15824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570" t="3095" r="9145" b="44508"/>
                    <a:stretch/>
                  </pic:blipFill>
                  <pic:spPr bwMode="auto">
                    <a:xfrm>
                      <a:off x="0" y="0"/>
                      <a:ext cx="3575640" cy="3234498"/>
                    </a:xfrm>
                    <a:prstGeom prst="rect">
                      <a:avLst/>
                    </a:prstGeom>
                    <a:noFill/>
                    <a:ln>
                      <a:noFill/>
                    </a:ln>
                    <a:extLst>
                      <a:ext uri="{53640926-AAD7-44D8-BBD7-CCE9431645EC}">
                        <a14:shadowObscured xmlns:a14="http://schemas.microsoft.com/office/drawing/2010/main"/>
                      </a:ext>
                    </a:extLst>
                  </pic:spPr>
                </pic:pic>
              </a:graphicData>
            </a:graphic>
          </wp:inline>
        </w:drawing>
      </w:r>
    </w:p>
    <w:p w14:paraId="5BB2AB5F" w14:textId="41B489AD" w:rsidR="00FA5A03" w:rsidRPr="00177203" w:rsidRDefault="00306188" w:rsidP="00FA5A0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FA5A03" w:rsidRPr="00177203">
        <w:rPr>
          <w:rFonts w:eastAsia="宋体" w:cs="Times New Roman"/>
          <w:b/>
          <w:bCs/>
          <w:color w:val="000000" w:themeColor="text1"/>
          <w:sz w:val="24"/>
          <w:szCs w:val="24"/>
        </w:rPr>
        <w:t xml:space="preserve"> Fig. 45</w:t>
      </w:r>
      <w:r w:rsidR="00FA5A03" w:rsidRPr="00177203">
        <w:rPr>
          <w:rFonts w:eastAsia="宋体" w:cs="Times New Roman"/>
          <w:color w:val="000000" w:themeColor="text1"/>
          <w:sz w:val="24"/>
          <w:szCs w:val="24"/>
        </w:rPr>
        <w:t xml:space="preserve">. Reconstructed Bader charge equipotential surfaces of (a)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FA5A03" w:rsidRPr="00177203">
        <w:rPr>
          <w:rFonts w:eastAsia="宋体" w:cs="Times New Roman"/>
          <w:color w:val="000000" w:themeColor="text1"/>
          <w:sz w:val="24"/>
          <w:szCs w:val="24"/>
        </w:rPr>
        <w:t xml:space="preserve">, (b)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FA5A03" w:rsidRPr="00177203">
        <w:rPr>
          <w:rFonts w:eastAsia="宋体" w:cs="Times New Roman"/>
          <w:color w:val="000000" w:themeColor="text1"/>
          <w:sz w:val="24"/>
          <w:szCs w:val="24"/>
        </w:rPr>
        <w:t xml:space="preserve">,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FA5A03" w:rsidRPr="00177203">
        <w:rPr>
          <w:rFonts w:eastAsia="宋体" w:cs="Times New Roman"/>
          <w:color w:val="000000" w:themeColor="text1"/>
          <w:sz w:val="24"/>
          <w:szCs w:val="24"/>
        </w:rPr>
        <w:t xml:space="preserve"> and (d)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FA5A03" w:rsidRPr="00177203">
        <w:rPr>
          <w:rFonts w:eastAsia="宋体" w:cs="Times New Roman"/>
          <w:color w:val="000000" w:themeColor="text1"/>
          <w:sz w:val="24"/>
          <w:szCs w:val="24"/>
        </w:rPr>
        <w:t>, calculated via VASP 6.4.4. The results show the charge transfer evolution of Cu active sites during thermal sculpting.</w:t>
      </w:r>
    </w:p>
    <w:p w14:paraId="37AEAA9E" w14:textId="581248C3" w:rsidR="00DE7068" w:rsidRPr="00177203" w:rsidRDefault="00A077F3" w:rsidP="007C4BDF">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6B80532C" wp14:editId="42C9D378">
            <wp:extent cx="3600000" cy="2827643"/>
            <wp:effectExtent l="0" t="0" r="63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0000" cy="2827643"/>
                    </a:xfrm>
                    <a:prstGeom prst="rect">
                      <a:avLst/>
                    </a:prstGeom>
                    <a:noFill/>
                    <a:ln>
                      <a:noFill/>
                    </a:ln>
                  </pic:spPr>
                </pic:pic>
              </a:graphicData>
            </a:graphic>
          </wp:inline>
        </w:drawing>
      </w:r>
    </w:p>
    <w:p w14:paraId="201F2C27" w14:textId="516026C8" w:rsidR="00DE7068"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DE7068"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46</w:t>
      </w:r>
      <w:r w:rsidR="00DE7068" w:rsidRPr="00177203">
        <w:rPr>
          <w:rFonts w:eastAsia="宋体" w:cs="Times New Roman"/>
          <w:color w:val="000000" w:themeColor="text1"/>
          <w:sz w:val="24"/>
          <w:szCs w:val="24"/>
        </w:rPr>
        <w:t xml:space="preserve">. </w:t>
      </w:r>
      <w:r w:rsidR="00B17FFA" w:rsidRPr="00177203">
        <w:rPr>
          <w:rFonts w:eastAsia="宋体" w:cs="Times New Roman"/>
          <w:color w:val="000000" w:themeColor="text1"/>
          <w:sz w:val="24"/>
          <w:szCs w:val="24"/>
        </w:rPr>
        <w:t xml:space="preserve">Distribution of the confined internal electric field intensity in nanocavities with diameters of (a) 1.0 nm, (b) 1.5 nm, (c) 1.8 nm and (d) 2.6 nm, calculated via VASP 6.4.4. The electric field is induced by the geometric deformation of the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B17FFA" w:rsidRPr="00177203">
        <w:rPr>
          <w:rFonts w:eastAsia="宋体" w:cs="Times New Roman"/>
          <w:color w:val="000000" w:themeColor="text1"/>
          <w:sz w:val="24"/>
          <w:szCs w:val="24"/>
        </w:rPr>
        <w:t xml:space="preserve"> coordination structure.</w:t>
      </w:r>
    </w:p>
    <w:p w14:paraId="0B86A59A" w14:textId="6069F1C5" w:rsidR="00CB5B51" w:rsidRPr="00177203" w:rsidRDefault="00CB5B51" w:rsidP="00CB5B51">
      <w:pPr>
        <w:spacing w:afterLines="50" w:after="156"/>
        <w:ind w:firstLine="420"/>
        <w:rPr>
          <w:rFonts w:eastAsia="宋体" w:cs="Times New Roman"/>
          <w:sz w:val="24"/>
          <w:szCs w:val="24"/>
        </w:rPr>
      </w:pPr>
      <w:r w:rsidRPr="00177203">
        <w:rPr>
          <w:rFonts w:eastAsia="宋体" w:cs="Times New Roman"/>
          <w:sz w:val="24"/>
          <w:szCs w:val="24"/>
        </w:rPr>
        <w:t xml:space="preserve">The average electric field intensity inside the cavity </w:t>
      </w:r>
      <w:r w:rsidR="007C4BDF" w:rsidRPr="00177203">
        <w:rPr>
          <w:rFonts w:eastAsia="宋体" w:cs="Times New Roman"/>
          <w:sz w:val="24"/>
          <w:szCs w:val="24"/>
        </w:rPr>
        <w:t>exhibits</w:t>
      </w:r>
      <w:r w:rsidRPr="00177203">
        <w:rPr>
          <w:rFonts w:eastAsia="宋体" w:cs="Times New Roman"/>
          <w:sz w:val="24"/>
          <w:szCs w:val="24"/>
        </w:rPr>
        <w:t xml:space="preserve"> a non-monotonic trend with cavity diameter. The 1.0 nm over-contracted cavity ha</w:t>
      </w:r>
      <w:r w:rsidR="007C4BDF" w:rsidRPr="00177203">
        <w:rPr>
          <w:rFonts w:eastAsia="宋体" w:cs="Times New Roman"/>
          <w:sz w:val="24"/>
          <w:szCs w:val="24"/>
        </w:rPr>
        <w:t>s</w:t>
      </w:r>
      <w:r w:rsidRPr="00177203">
        <w:rPr>
          <w:rFonts w:eastAsia="宋体" w:cs="Times New Roman"/>
          <w:sz w:val="24"/>
          <w:szCs w:val="24"/>
        </w:rPr>
        <w:t xml:space="preserve"> the highest average electric field intensity of 5.28 V </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sz w:val="24"/>
          <w:szCs w:val="24"/>
        </w:rPr>
        <w:t xml:space="preserve">, while the 1.8 nm size-matched cavity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sz w:val="24"/>
          <w:szCs w:val="24"/>
        </w:rPr>
        <w:t xml:space="preserve"> achieve</w:t>
      </w:r>
      <w:r w:rsidR="007C4BDF" w:rsidRPr="00177203">
        <w:rPr>
          <w:rFonts w:eastAsia="宋体" w:cs="Times New Roman"/>
          <w:sz w:val="24"/>
          <w:szCs w:val="24"/>
        </w:rPr>
        <w:t>s</w:t>
      </w:r>
      <w:r w:rsidRPr="00177203">
        <w:rPr>
          <w:rFonts w:eastAsia="宋体" w:cs="Times New Roman"/>
          <w:sz w:val="24"/>
          <w:szCs w:val="24"/>
        </w:rPr>
        <w:t xml:space="preserve"> an average electric field intensity of 3.05 V </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sz w:val="24"/>
          <w:szCs w:val="24"/>
        </w:rPr>
        <w:t>, the maximum effective value accessible to reactants and active sites. The 1.5 nm cavity ha</w:t>
      </w:r>
      <w:r w:rsidR="007C4BDF" w:rsidRPr="00177203">
        <w:rPr>
          <w:rFonts w:eastAsia="宋体" w:cs="Times New Roman"/>
          <w:sz w:val="24"/>
          <w:szCs w:val="24"/>
        </w:rPr>
        <w:t>s</w:t>
      </w:r>
      <w:r w:rsidRPr="00177203">
        <w:rPr>
          <w:rFonts w:eastAsia="宋体" w:cs="Times New Roman"/>
          <w:sz w:val="24"/>
          <w:szCs w:val="24"/>
        </w:rPr>
        <w:t xml:space="preserve"> a higher average electric field intensity of 4.09 V </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sz w:val="24"/>
          <w:szCs w:val="24"/>
        </w:rPr>
        <w:t>, but its smaller pore size restrict</w:t>
      </w:r>
      <w:r w:rsidR="007C4BDF" w:rsidRPr="00177203">
        <w:rPr>
          <w:rFonts w:eastAsia="宋体" w:cs="Times New Roman"/>
          <w:sz w:val="24"/>
          <w:szCs w:val="24"/>
        </w:rPr>
        <w:t>s</w:t>
      </w:r>
      <w:r w:rsidRPr="00177203">
        <w:rPr>
          <w:rFonts w:eastAsia="宋体" w:cs="Times New Roman"/>
          <w:sz w:val="24"/>
          <w:szCs w:val="24"/>
        </w:rPr>
        <w:t xml:space="preserve"> the diffusion of hydrated nitrate into the cavity, whereas the 2.6 nm over-expanded cavity showed a significant drop in average electric field intensity to 2.86 V </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sz w:val="24"/>
          <w:szCs w:val="24"/>
        </w:rPr>
        <w:t xml:space="preserve">, with negligible confinement enhancement effect. The strong confined electric field in the 1.8 nm cavity </w:t>
      </w:r>
      <w:r w:rsidR="007C4BDF" w:rsidRPr="00177203">
        <w:rPr>
          <w:rFonts w:eastAsia="宋体" w:cs="Times New Roman"/>
          <w:sz w:val="24"/>
          <w:szCs w:val="24"/>
        </w:rPr>
        <w:t>originates</w:t>
      </w:r>
      <w:r w:rsidRPr="00177203">
        <w:rPr>
          <w:rFonts w:eastAsia="宋体" w:cs="Times New Roman"/>
          <w:sz w:val="24"/>
          <w:szCs w:val="24"/>
        </w:rPr>
        <w:t xml:space="preserve"> from two synergistic effects</w:t>
      </w:r>
      <w:r w:rsidR="007C4BDF" w:rsidRPr="00177203">
        <w:rPr>
          <w:rFonts w:eastAsia="宋体" w:cs="Times New Roman"/>
          <w:sz w:val="24"/>
          <w:szCs w:val="24"/>
        </w:rPr>
        <w:t xml:space="preserve">. One is </w:t>
      </w:r>
      <w:r w:rsidRPr="00177203">
        <w:rPr>
          <w:rFonts w:eastAsia="宋体" w:cs="Times New Roman"/>
          <w:sz w:val="24"/>
          <w:szCs w:val="24"/>
        </w:rPr>
        <w:t xml:space="preserve">the non-uniform charge distribution on the inner surface of the pyridinic N-rich concave carbon cavity wall, and </w:t>
      </w:r>
      <w:r w:rsidR="007C4BDF" w:rsidRPr="00177203">
        <w:rPr>
          <w:rFonts w:eastAsia="宋体" w:cs="Times New Roman"/>
          <w:sz w:val="24"/>
          <w:szCs w:val="24"/>
        </w:rPr>
        <w:t xml:space="preserve">another is </w:t>
      </w:r>
      <w:r w:rsidRPr="00177203">
        <w:rPr>
          <w:rFonts w:eastAsia="宋体" w:cs="Times New Roman"/>
          <w:sz w:val="24"/>
          <w:szCs w:val="24"/>
        </w:rPr>
        <w:t xml:space="preserve">coulombic superposition from the positively charged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sz w:val="24"/>
          <w:szCs w:val="24"/>
        </w:rPr>
        <w:t xml:space="preserve"> active site at the cavity center. The electric field intensity in the central region of the 1.8 nm cavity where the Cu active site located </w:t>
      </w:r>
      <w:r w:rsidR="007C4BDF" w:rsidRPr="00177203">
        <w:rPr>
          <w:rFonts w:eastAsia="宋体" w:cs="Times New Roman"/>
          <w:sz w:val="24"/>
          <w:szCs w:val="24"/>
        </w:rPr>
        <w:t>is</w:t>
      </w:r>
      <w:r w:rsidRPr="00177203">
        <w:rPr>
          <w:rFonts w:eastAsia="宋体" w:cs="Times New Roman"/>
          <w:sz w:val="24"/>
          <w:szCs w:val="24"/>
        </w:rPr>
        <w:t xml:space="preserve"> 1.8 times higher than that at the cavity wall, confirming that the active center </w:t>
      </w:r>
      <w:r w:rsidR="007C4BDF" w:rsidRPr="00177203">
        <w:rPr>
          <w:rFonts w:eastAsia="宋体" w:cs="Times New Roman"/>
          <w:sz w:val="24"/>
          <w:szCs w:val="24"/>
        </w:rPr>
        <w:t>is</w:t>
      </w:r>
      <w:r w:rsidRPr="00177203">
        <w:rPr>
          <w:rFonts w:eastAsia="宋体" w:cs="Times New Roman"/>
          <w:sz w:val="24"/>
          <w:szCs w:val="24"/>
        </w:rPr>
        <w:t xml:space="preserve"> positioned in the region with the strongest electric field enhancement.</w:t>
      </w:r>
    </w:p>
    <w:p w14:paraId="18AD7693" w14:textId="2A89CFFE" w:rsidR="00CB5B51" w:rsidRPr="00177203" w:rsidRDefault="00CB5B51" w:rsidP="00CB5B51">
      <w:pPr>
        <w:spacing w:afterLines="50" w:after="156"/>
        <w:ind w:firstLine="420"/>
        <w:rPr>
          <w:rFonts w:eastAsia="宋体" w:cs="Times New Roman"/>
          <w:sz w:val="24"/>
          <w:szCs w:val="24"/>
        </w:rPr>
      </w:pPr>
      <w:r w:rsidRPr="00177203">
        <w:rPr>
          <w:rFonts w:eastAsia="宋体" w:cs="Times New Roman"/>
          <w:sz w:val="24"/>
          <w:szCs w:val="24"/>
        </w:rPr>
        <w:t>The strong confined electric field directly dr</w:t>
      </w:r>
      <w:r w:rsidR="007C4BDF" w:rsidRPr="00177203">
        <w:rPr>
          <w:rFonts w:eastAsia="宋体" w:cs="Times New Roman"/>
          <w:sz w:val="24"/>
          <w:szCs w:val="24"/>
        </w:rPr>
        <w:t>ives</w:t>
      </w:r>
      <w:r w:rsidRPr="00177203">
        <w:rPr>
          <w:rFonts w:eastAsia="宋体" w:cs="Times New Roman"/>
          <w:sz w:val="24"/>
          <w:szCs w:val="24"/>
        </w:rPr>
        <w:t xml:space="preserve"> the upshift of the Cu d-band center, which act</w:t>
      </w:r>
      <w:r w:rsidR="007C4BDF" w:rsidRPr="00177203">
        <w:rPr>
          <w:rFonts w:eastAsia="宋体" w:cs="Times New Roman"/>
          <w:sz w:val="24"/>
          <w:szCs w:val="24"/>
        </w:rPr>
        <w:t>s</w:t>
      </w:r>
      <w:r w:rsidRPr="00177203">
        <w:rPr>
          <w:rFonts w:eastAsia="宋体" w:cs="Times New Roman"/>
          <w:sz w:val="24"/>
          <w:szCs w:val="24"/>
        </w:rPr>
        <w:t xml:space="preserve"> as the core electronic origin of enhanced C–N coupling reactivity. Compressive strain induced by the confined electric field weaken</w:t>
      </w:r>
      <w:r w:rsidR="007C4BDF" w:rsidRPr="00177203">
        <w:rPr>
          <w:rFonts w:eastAsia="宋体" w:cs="Times New Roman"/>
          <w:sz w:val="24"/>
          <w:szCs w:val="24"/>
        </w:rPr>
        <w:t>s</w:t>
      </w:r>
      <w:r w:rsidRPr="00177203">
        <w:rPr>
          <w:rFonts w:eastAsia="宋体" w:cs="Times New Roman"/>
          <w:sz w:val="24"/>
          <w:szCs w:val="24"/>
        </w:rPr>
        <w:t xml:space="preserve"> the hybridization between Cu 3d and N 2p orbitals and reduce</w:t>
      </w:r>
      <w:r w:rsidR="007C4BDF" w:rsidRPr="00177203">
        <w:rPr>
          <w:rFonts w:eastAsia="宋体" w:cs="Times New Roman"/>
          <w:sz w:val="24"/>
          <w:szCs w:val="24"/>
        </w:rPr>
        <w:t>s</w:t>
      </w:r>
      <w:r w:rsidRPr="00177203">
        <w:rPr>
          <w:rFonts w:eastAsia="宋体" w:cs="Times New Roman"/>
          <w:sz w:val="24"/>
          <w:szCs w:val="24"/>
        </w:rPr>
        <w:t xml:space="preserve"> the filling of Cu d anti-bonding orbitals, leading to a significant upshift of the Cu d-band center from –3.36 eV in the non-confined 2.6 nm cavity to –1.85 eV in the 1.0 nm confined cavity</w:t>
      </w:r>
      <w:r w:rsidR="002954F8" w:rsidRPr="00177203">
        <w:rPr>
          <w:rFonts w:eastAsia="宋体" w:cs="Times New Roman"/>
          <w:noProof/>
          <w:color w:val="0070C0"/>
          <w:sz w:val="24"/>
          <w:szCs w:val="24"/>
          <w:vertAlign w:val="superscript"/>
        </w:rPr>
        <w:t>54</w:t>
      </w:r>
      <w:r w:rsidRPr="00177203">
        <w:rPr>
          <w:rFonts w:eastAsia="宋体" w:cs="Times New Roman"/>
          <w:sz w:val="24"/>
          <w:szCs w:val="24"/>
        </w:rPr>
        <w:t xml:space="preserve">, approaching the Fermi level. A linear correlation </w:t>
      </w:r>
      <w:r w:rsidR="007C4BDF" w:rsidRPr="00177203">
        <w:rPr>
          <w:rFonts w:eastAsia="宋体" w:cs="Times New Roman"/>
          <w:sz w:val="24"/>
          <w:szCs w:val="24"/>
        </w:rPr>
        <w:t>i</w:t>
      </w:r>
      <w:r w:rsidRPr="00177203">
        <w:rPr>
          <w:rFonts w:eastAsia="宋体" w:cs="Times New Roman"/>
          <w:sz w:val="24"/>
          <w:szCs w:val="24"/>
        </w:rPr>
        <w:t>s observed between confined electric field intensity and the position of the Cu d-band center, with stronger average electric field in the cavity corresponding to a higher d-band center closer to the Fermi level. This linear relationship establish</w:t>
      </w:r>
      <w:r w:rsidR="007C4BDF" w:rsidRPr="00177203">
        <w:rPr>
          <w:rFonts w:eastAsia="宋体" w:cs="Times New Roman"/>
          <w:sz w:val="24"/>
          <w:szCs w:val="24"/>
        </w:rPr>
        <w:t>es</w:t>
      </w:r>
      <w:r w:rsidRPr="00177203">
        <w:rPr>
          <w:rFonts w:eastAsia="宋体" w:cs="Times New Roman"/>
          <w:sz w:val="24"/>
          <w:szCs w:val="24"/>
        </w:rPr>
        <w:t xml:space="preserve"> a quantitative structure-activity relationship between geometric confinement structure, local electronic environment and catalytic reactivity</w:t>
      </w:r>
      <w:r w:rsidR="002954F8" w:rsidRPr="00177203">
        <w:rPr>
          <w:rFonts w:eastAsia="宋体" w:cs="Times New Roman"/>
          <w:noProof/>
          <w:color w:val="0070C0"/>
          <w:sz w:val="24"/>
          <w:szCs w:val="24"/>
          <w:vertAlign w:val="superscript"/>
        </w:rPr>
        <w:t>55</w:t>
      </w:r>
      <w:r w:rsidRPr="00177203">
        <w:rPr>
          <w:rFonts w:eastAsia="宋体" w:cs="Times New Roman"/>
          <w:sz w:val="24"/>
          <w:szCs w:val="24"/>
        </w:rPr>
        <w:t>. According to d-band center theory, the upshifted d-band center strengthen</w:t>
      </w:r>
      <w:r w:rsidR="007C4BDF" w:rsidRPr="00177203">
        <w:rPr>
          <w:rFonts w:eastAsia="宋体" w:cs="Times New Roman"/>
          <w:sz w:val="24"/>
          <w:szCs w:val="24"/>
        </w:rPr>
        <w:t>s</w:t>
      </w:r>
      <w:r w:rsidRPr="00177203">
        <w:rPr>
          <w:rFonts w:eastAsia="宋体" w:cs="Times New Roman"/>
          <w:sz w:val="24"/>
          <w:szCs w:val="24"/>
        </w:rPr>
        <w:t xml:space="preserve"> the adsorption of key reaction intermediates including *CO and *NO on the Cu active site, lowering the energy barrier of the rate-determining C–N coupling step, which </w:t>
      </w:r>
      <w:r w:rsidR="007C4BDF" w:rsidRPr="00177203">
        <w:rPr>
          <w:rFonts w:eastAsia="宋体" w:cs="Times New Roman"/>
          <w:sz w:val="24"/>
          <w:szCs w:val="24"/>
        </w:rPr>
        <w:t>is</w:t>
      </w:r>
      <w:r w:rsidRPr="00177203">
        <w:rPr>
          <w:rFonts w:eastAsia="宋体" w:cs="Times New Roman"/>
          <w:sz w:val="24"/>
          <w:szCs w:val="24"/>
        </w:rPr>
        <w:t xml:space="preserve"> fully consistent with temperature-programmed desorption results. The upshift of the Cu d-band center induced by the confined electric field </w:t>
      </w:r>
      <w:r w:rsidR="007C4BDF" w:rsidRPr="00177203">
        <w:rPr>
          <w:rFonts w:eastAsia="宋体" w:cs="Times New Roman"/>
          <w:sz w:val="24"/>
          <w:szCs w:val="24"/>
        </w:rPr>
        <w:t>is</w:t>
      </w:r>
      <w:r w:rsidRPr="00177203">
        <w:rPr>
          <w:rFonts w:eastAsia="宋体" w:cs="Times New Roman"/>
          <w:sz w:val="24"/>
          <w:szCs w:val="24"/>
        </w:rPr>
        <w:t xml:space="preserve"> further verified by X</w:t>
      </w:r>
      <w:r w:rsidR="007C4BDF" w:rsidRPr="00177203">
        <w:rPr>
          <w:rFonts w:eastAsia="宋体" w:cs="Times New Roman"/>
          <w:sz w:val="24"/>
          <w:szCs w:val="24"/>
        </w:rPr>
        <w:t>PS</w:t>
      </w:r>
      <w:r w:rsidRPr="00177203">
        <w:rPr>
          <w:rFonts w:eastAsia="宋体" w:cs="Times New Roman"/>
          <w:sz w:val="24"/>
          <w:szCs w:val="24"/>
        </w:rPr>
        <w:t xml:space="preserve"> secondary electron cutoff edge results, which show</w:t>
      </w:r>
      <w:r w:rsidR="007C4BDF" w:rsidRPr="00177203">
        <w:rPr>
          <w:rFonts w:eastAsia="宋体" w:cs="Times New Roman"/>
          <w:sz w:val="24"/>
          <w:szCs w:val="24"/>
        </w:rPr>
        <w:t>s</w:t>
      </w:r>
      <w:r w:rsidRPr="00177203">
        <w:rPr>
          <w:rFonts w:eastAsia="宋体" w:cs="Times New Roman"/>
          <w:sz w:val="24"/>
          <w:szCs w:val="24"/>
        </w:rPr>
        <w:t xml:space="preserve"> a gradual upshift from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sz w:val="24"/>
          <w:szCs w:val="24"/>
        </w:rPr>
        <w:t xml:space="preserve"> to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sz w:val="24"/>
          <w:szCs w:val="24"/>
        </w:rPr>
        <w:t>, in good agreement with the calculated d-band center shift</w:t>
      </w:r>
      <w:r w:rsidR="002954F8" w:rsidRPr="00177203">
        <w:rPr>
          <w:rFonts w:eastAsia="宋体" w:cs="Times New Roman"/>
          <w:noProof/>
          <w:color w:val="0070C0"/>
          <w:sz w:val="24"/>
          <w:szCs w:val="24"/>
          <w:vertAlign w:val="superscript"/>
        </w:rPr>
        <w:t>56</w:t>
      </w:r>
      <w:r w:rsidRPr="00177203">
        <w:rPr>
          <w:rFonts w:eastAsia="宋体" w:cs="Times New Roman"/>
          <w:sz w:val="24"/>
          <w:szCs w:val="24"/>
        </w:rPr>
        <w:t xml:space="preserve">. These results confirm that the nanoconfinement-enhanced local electric field </w:t>
      </w:r>
      <w:r w:rsidR="007C4BDF" w:rsidRPr="00177203">
        <w:rPr>
          <w:rFonts w:eastAsia="宋体" w:cs="Times New Roman"/>
          <w:sz w:val="24"/>
          <w:szCs w:val="24"/>
        </w:rPr>
        <w:t>is</w:t>
      </w:r>
      <w:r w:rsidRPr="00177203">
        <w:rPr>
          <w:rFonts w:eastAsia="宋体" w:cs="Times New Roman"/>
          <w:sz w:val="24"/>
          <w:szCs w:val="24"/>
        </w:rPr>
        <w:t xml:space="preserve"> the core driving force for d-band center modulation and the resulting high C–N coupling performance.</w:t>
      </w:r>
      <w:r w:rsidRPr="00177203">
        <w:rPr>
          <w:rFonts w:eastAsia="宋体" w:cs="Times New Roman"/>
          <w:sz w:val="24"/>
          <w:szCs w:val="24"/>
        </w:rPr>
        <w:br w:type="page"/>
      </w:r>
    </w:p>
    <w:p w14:paraId="67213CCD" w14:textId="3477C7F3" w:rsidR="004026C5" w:rsidRPr="00177203" w:rsidRDefault="00A077F3" w:rsidP="00482F25">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56B6C854" wp14:editId="53BF4CF1">
            <wp:extent cx="5274310" cy="385445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3854450"/>
                    </a:xfrm>
                    <a:prstGeom prst="rect">
                      <a:avLst/>
                    </a:prstGeom>
                    <a:noFill/>
                    <a:ln>
                      <a:noFill/>
                    </a:ln>
                  </pic:spPr>
                </pic:pic>
              </a:graphicData>
            </a:graphic>
          </wp:inline>
        </w:drawing>
      </w:r>
    </w:p>
    <w:p w14:paraId="46D05F9C" w14:textId="0E634574" w:rsidR="004026C5" w:rsidRPr="00177203" w:rsidRDefault="00306188" w:rsidP="003C0293">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4026C5" w:rsidRPr="00177203">
        <w:rPr>
          <w:rFonts w:eastAsia="宋体" w:cs="Times New Roman"/>
          <w:b/>
          <w:bCs/>
          <w:color w:val="000000" w:themeColor="text1"/>
          <w:sz w:val="24"/>
          <w:szCs w:val="24"/>
        </w:rPr>
        <w:t xml:space="preserve"> Fig. 4</w:t>
      </w:r>
      <w:r w:rsidR="00DB008E" w:rsidRPr="00177203">
        <w:rPr>
          <w:rFonts w:eastAsia="宋体" w:cs="Times New Roman"/>
          <w:b/>
          <w:bCs/>
          <w:color w:val="000000" w:themeColor="text1"/>
          <w:sz w:val="24"/>
          <w:szCs w:val="24"/>
        </w:rPr>
        <w:t>7</w:t>
      </w:r>
      <w:r w:rsidR="004026C5" w:rsidRPr="00177203">
        <w:rPr>
          <w:rFonts w:eastAsia="宋体" w:cs="Times New Roman"/>
          <w:color w:val="000000" w:themeColor="text1"/>
          <w:sz w:val="24"/>
          <w:szCs w:val="24"/>
        </w:rPr>
        <w:t xml:space="preserve">. </w:t>
      </w:r>
      <w:r w:rsidR="00B17FFA" w:rsidRPr="00177203">
        <w:rPr>
          <w:rFonts w:eastAsia="宋体" w:cs="Times New Roman"/>
          <w:color w:val="000000" w:themeColor="text1"/>
          <w:sz w:val="24"/>
          <w:szCs w:val="24"/>
        </w:rPr>
        <w:t xml:space="preserve">Secondary electron cutoff edge spectra from X-ray photoelectron spectroscopy (XPS)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00B17FFA"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B17FFA"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00B17FFA"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B17FFA" w:rsidRPr="00177203">
        <w:rPr>
          <w:rFonts w:eastAsia="宋体" w:cs="Times New Roman"/>
          <w:color w:val="000000" w:themeColor="text1"/>
          <w:sz w:val="24"/>
          <w:szCs w:val="24"/>
        </w:rPr>
        <w:t>, showing the work function evolution of the catalysts.</w:t>
      </w:r>
    </w:p>
    <w:p w14:paraId="011F7B5B" w14:textId="7B1863D4" w:rsidR="00C435CA" w:rsidRPr="00177203" w:rsidRDefault="00C435CA" w:rsidP="00C435CA">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XPS cutoff edge and d-band center up-shift:</w:t>
      </w:r>
      <w:r w:rsidRPr="00177203">
        <w:rPr>
          <w:rFonts w:eastAsia="宋体" w:cs="Times New Roman"/>
          <w:color w:val="000000" w:themeColor="text1"/>
          <w:sz w:val="24"/>
          <w:szCs w:val="24"/>
        </w:rPr>
        <w:t xml:space="preserve"> XPS secondary electron cutoff edge measurements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47) provide direct experimental evidence for the nanoconfinement-induced upshift of the Cu d-band center, showing excellent consistency with DFT-calculated d-band center positions and confined electric field intensities. The cutoff edge binding energy increases continuously from </w:t>
      </w:r>
      <w:r w:rsidR="007C4BDF"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2.51 eV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to </w:t>
      </w:r>
      <w:r w:rsidR="007C4BDF"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1.17 eV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corresponding to a gradual decrease in work function.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exhibits a significantly lower work function than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which is fully consistent with the upshift of the Cu d-band center from –3.36 eV to –1.85 eV revealed by DFT calculations. This trend is further supported by Cu 2p XPS and Cu K-edge XANES results that confirm the increased Cu oxidation state. The cutoff edge shift shows a strong positive correlation with urea electrosynthesis performance, bridging atomic-scale electronic structure calculations and macroscopic catalytic performance, and completing the evidence chain for the structure-activity relationship of nanoconfined catalysts.</w:t>
      </w:r>
    </w:p>
    <w:p w14:paraId="08C7A119" w14:textId="77777777" w:rsidR="00C435CA" w:rsidRPr="00177203" w:rsidRDefault="00C435CA">
      <w:pPr>
        <w:widowControl/>
        <w:spacing w:line="240" w:lineRule="auto"/>
        <w:jc w:val="left"/>
        <w:rPr>
          <w:rFonts w:eastAsia="宋体" w:cs="Times New Roman"/>
          <w:color w:val="000000" w:themeColor="text1"/>
          <w:sz w:val="24"/>
          <w:szCs w:val="24"/>
        </w:rPr>
      </w:pPr>
      <w:r w:rsidRPr="00177203">
        <w:rPr>
          <w:rFonts w:eastAsia="宋体" w:cs="Times New Roman"/>
          <w:color w:val="000000" w:themeColor="text1"/>
          <w:sz w:val="24"/>
          <w:szCs w:val="24"/>
        </w:rPr>
        <w:br w:type="page"/>
      </w:r>
    </w:p>
    <w:p w14:paraId="69339E5C" w14:textId="28556670" w:rsidR="008B7404" w:rsidRPr="00177203" w:rsidRDefault="008B7404" w:rsidP="008B7404">
      <w:pPr>
        <w:spacing w:afterLines="50" w:after="156"/>
        <w:rPr>
          <w:rFonts w:eastAsia="宋体" w:cs="Times New Roman"/>
          <w:color w:val="000000" w:themeColor="text1"/>
          <w:sz w:val="24"/>
          <w:szCs w:val="24"/>
        </w:rPr>
      </w:pPr>
      <w:r w:rsidRPr="00177203">
        <w:rPr>
          <w:rFonts w:eastAsia="宋体" w:cs="Times New Roman"/>
          <w:b/>
          <w:bCs/>
          <w:color w:val="000000" w:themeColor="text1"/>
          <w:sz w:val="24"/>
          <w:szCs w:val="24"/>
        </w:rPr>
        <w:t>Calculation of confinement metric descriptor (CMD):</w:t>
      </w:r>
      <w:r w:rsidRPr="00177203">
        <w:rPr>
          <w:rFonts w:eastAsia="宋体" w:cs="Times New Roman"/>
          <w:color w:val="000000" w:themeColor="text1"/>
          <w:sz w:val="24"/>
          <w:szCs w:val="24"/>
        </w:rPr>
        <w:t xml:space="preserve"> The CMD was established to quantitatively correlate the nanoconfinement effect of the cavity structure with electrocatalytic urea synthesis performance, with a two-tier calculation framework derived entirely from the experimental characterization and first-principles calculation results in this work. The intrinsic CMD for a single ideal cavity model with a fixed diameter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is defined as </w:t>
      </w:r>
    </w:p>
    <w:p w14:paraId="5972D6AB" w14:textId="70476D79" w:rsidR="008B7404" w:rsidRPr="00177203" w:rsidRDefault="00000000" w:rsidP="008B7404">
      <w:pPr>
        <w:ind w:firstLine="420"/>
        <w:rPr>
          <w:rFonts w:cs="Times New Roman"/>
          <w:szCs w:val="24"/>
        </w:rPr>
      </w:pPr>
      <m:oMathPara>
        <m:oMath>
          <m:eqArr>
            <m:eqArrPr>
              <m:maxDist m:val="1"/>
              <m:ctrlPr>
                <w:rPr>
                  <w:rFonts w:ascii="Cambria Math" w:hAnsi="Cambria Math" w:cs="Times New Roman"/>
                  <w:i/>
                  <w:szCs w:val="24"/>
                </w:rPr>
              </m:ctrlPr>
            </m:eqArrPr>
            <m:e>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i</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CEF</m:t>
                      </m:r>
                    </m:e>
                    <m:sub>
                      <m:r>
                        <w:rPr>
                          <w:rFonts w:ascii="Cambria Math" w:hAnsi="Cambria Math" w:cs="Times New Roman"/>
                          <w:szCs w:val="24"/>
                        </w:rPr>
                        <m:t>i</m:t>
                      </m:r>
                    </m:sub>
                  </m:sSub>
                </m:num>
                <m:den>
                  <m:sSub>
                    <m:sSubPr>
                      <m:ctrlPr>
                        <w:rPr>
                          <w:rFonts w:ascii="Cambria Math" w:hAnsi="Cambria Math" w:cs="Times New Roman"/>
                          <w:i/>
                          <w:szCs w:val="24"/>
                        </w:rPr>
                      </m:ctrlPr>
                    </m:sSubPr>
                    <m:e>
                      <m:r>
                        <w:rPr>
                          <w:rFonts w:ascii="Cambria Math" w:hAnsi="Cambria Math" w:cs="Times New Roman"/>
                          <w:szCs w:val="24"/>
                        </w:rPr>
                        <m:t>CEF</m:t>
                      </m:r>
                    </m:e>
                    <m:sub>
                      <m:r>
                        <w:rPr>
                          <w:rFonts w:ascii="Cambria Math" w:hAnsi="Cambria Math" w:cs="Times New Roman"/>
                          <w:szCs w:val="24"/>
                        </w:rPr>
                        <m:t>ref</m:t>
                      </m:r>
                    </m:sub>
                  </m:sSub>
                </m:den>
              </m:f>
              <m:r>
                <w:rPr>
                  <w:rFonts w:ascii="Cambria Math" w:hAnsi="Cambria Math" w:cs="Times New Roman"/>
                  <w:szCs w:val="24"/>
                </w:rPr>
                <m:t>×</m:t>
              </m:r>
              <m:d>
                <m:dPr>
                  <m:ctrlPr>
                    <w:rPr>
                      <w:rFonts w:ascii="Cambria Math" w:hAnsi="Cambria Math" w:cs="Times New Roman"/>
                      <w:i/>
                      <w:szCs w:val="24"/>
                    </w:rPr>
                  </m:ctrlPr>
                </m:dPr>
                <m:e>
                  <m:r>
                    <w:rPr>
                      <w:rFonts w:ascii="Cambria Math" w:hAnsi="Cambria Math" w:cs="Times New Roman"/>
                      <w:szCs w:val="24"/>
                    </w:rPr>
                    <m:t>1+</m:t>
                  </m:r>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d,i</m:t>
                          </m:r>
                        </m:sub>
                      </m:sSub>
                    </m:num>
                    <m:den>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d,ref</m:t>
                          </m:r>
                        </m:sub>
                      </m:sSub>
                    </m:den>
                  </m:f>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i</m:t>
                  </m:r>
                </m:sub>
              </m:sSub>
              <m:r>
                <w:rPr>
                  <w:rFonts w:ascii="Cambria Math" w:hAnsi="Cambria Math" w:cs="Times New Roman"/>
                  <w:szCs w:val="24"/>
                </w:rPr>
                <m:t>#(10)</m:t>
              </m:r>
            </m:e>
          </m:eqArr>
        </m:oMath>
      </m:oMathPara>
    </w:p>
    <w:p w14:paraId="7CE2BBD4" w14:textId="5420394C" w:rsidR="008B7404" w:rsidRPr="00177203" w:rsidRDefault="008B7404" w:rsidP="008B7404">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CEF</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is the average confined electric field intensity of the corresponding cavity, with values of 5.28 V·</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4.09 V·</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3.05 V·</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and 2.86 V·</w:t>
      </w:r>
      <w:r w:rsidR="002F16A2" w:rsidRPr="00177203">
        <w:rPr>
          <w:rFonts w:eastAsia="宋体" w:cs="Times New Roman"/>
          <w:color w:val="000000" w:themeColor="text1"/>
          <w:sz w:val="24"/>
          <w:szCs w:val="24"/>
        </w:rPr>
        <w:t>Å</w:t>
      </w:r>
      <w:r w:rsidR="002F16A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for cavities with central diameters of 1.0 nm, 1.5 nm, 1.8 nm and 2.6 nm respectively; </w:t>
      </w:r>
      <m:oMath>
        <m:sSub>
          <m:sSubPr>
            <m:ctrlPr>
              <w:rPr>
                <w:rFonts w:ascii="Cambria Math" w:hAnsi="Cambria Math" w:cs="Times New Roman"/>
                <w:i/>
                <w:szCs w:val="24"/>
              </w:rPr>
            </m:ctrlPr>
          </m:sSubPr>
          <m:e>
            <m:r>
              <w:rPr>
                <w:rFonts w:ascii="Cambria Math" w:hAnsi="Cambria Math" w:cs="Times New Roman"/>
                <w:szCs w:val="24"/>
              </w:rPr>
              <m:t>CEF</m:t>
            </m:r>
          </m:e>
          <m:sub>
            <m:r>
              <w:rPr>
                <w:rFonts w:ascii="Cambria Math" w:hAnsi="Cambria Math" w:cs="Times New Roman"/>
                <w:szCs w:val="24"/>
              </w:rPr>
              <m:t>ref</m:t>
            </m:r>
          </m:sub>
        </m:sSub>
      </m:oMath>
      <w:r w:rsidRPr="00177203">
        <w:rPr>
          <w:rFonts w:eastAsia="宋体" w:cs="Times New Roman"/>
          <w:color w:val="000000" w:themeColor="text1"/>
          <w:sz w:val="24"/>
          <w:szCs w:val="24"/>
        </w:rPr>
        <w:t xml:space="preserve"> is the reference electrostatic field of non-confined planar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sites for normalization, set to a widely accepted benchmark value of 0.52 V</w:t>
      </w:r>
      <w:r w:rsidR="007C4BDF"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Å</w:t>
      </w:r>
      <w:r w:rsidR="007C4BDF"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for carbon-based single-atom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catalysts;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d,i</m:t>
            </m:r>
          </m:sub>
        </m:sSub>
      </m:oMath>
      <w:r w:rsidRPr="00177203">
        <w:rPr>
          <w:rFonts w:eastAsia="宋体" w:cs="Times New Roman"/>
          <w:color w:val="000000" w:themeColor="text1"/>
          <w:sz w:val="24"/>
          <w:szCs w:val="24"/>
        </w:rPr>
        <w:t xml:space="preserve"> is the upshift amplitude of the Cu d-band center relative to the non-confined 2.6 nm reference state, with values of 1.51 eV, 1.43 eV, </w:t>
      </w:r>
      <w:r w:rsidR="007C4BDF" w:rsidRPr="00177203">
        <w:rPr>
          <w:rFonts w:eastAsia="宋体" w:cs="Times New Roman"/>
          <w:color w:val="000000" w:themeColor="text1"/>
          <w:sz w:val="24"/>
          <w:szCs w:val="24"/>
        </w:rPr>
        <w:t>0.06</w:t>
      </w:r>
      <w:r w:rsidRPr="00177203">
        <w:rPr>
          <w:rFonts w:eastAsia="宋体" w:cs="Times New Roman"/>
          <w:color w:val="000000" w:themeColor="text1"/>
          <w:sz w:val="24"/>
          <w:szCs w:val="24"/>
        </w:rPr>
        <w:t xml:space="preserve"> eV and 0.00 eV for the 1.0 nm, 1.5 nm, 1.8 nm and 2.6 nm cavities respectively, derived from projected density of states calculations in this work; </w:t>
      </w:r>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ε</m:t>
            </m:r>
          </m:e>
          <m:sub>
            <m:r>
              <w:rPr>
                <w:rFonts w:ascii="Cambria Math" w:hAnsi="Cambria Math" w:cs="Times New Roman"/>
                <w:szCs w:val="24"/>
              </w:rPr>
              <m:t>d,ref</m:t>
            </m:r>
          </m:sub>
        </m:sSub>
      </m:oMath>
      <w:r w:rsidRPr="00177203">
        <w:rPr>
          <w:rFonts w:eastAsia="宋体" w:cs="Times New Roman"/>
          <w:color w:val="000000" w:themeColor="text1"/>
          <w:sz w:val="24"/>
          <w:szCs w:val="24"/>
        </w:rPr>
        <w:t xml:space="preserve"> is the maximum upshift amplitude of the Cu d-band center for normalization, set to the maximum measured value of 1.51 eV in this work; </w:t>
      </w:r>
      <m:oMath>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is the steric hindrance correction factor ranging from 0 to 1, which quantifies the comprehensive confinement efficiency of the cavity as the product of the reactant accessibility factor </w:t>
      </w:r>
      <w:r w:rsidRPr="00177203">
        <w:rPr>
          <w:rFonts w:eastAsia="宋体" w:cs="Times New Roman"/>
          <w:i/>
          <w:iCs/>
          <w:color w:val="000000" w:themeColor="text1"/>
          <w:sz w:val="24"/>
          <w:szCs w:val="24"/>
        </w:rPr>
        <w:t>α</w:t>
      </w:r>
      <w:proofErr w:type="spellStart"/>
      <w:r w:rsidRPr="00177203">
        <w:rPr>
          <w:rFonts w:eastAsia="宋体" w:cs="Times New Roman"/>
          <w:color w:val="000000" w:themeColor="text1"/>
          <w:sz w:val="24"/>
          <w:szCs w:val="24"/>
          <w:vertAlign w:val="subscript"/>
        </w:rPr>
        <w:t>i</w:t>
      </w:r>
      <w:proofErr w:type="spellEnd"/>
      <w:r w:rsidRPr="00177203">
        <w:rPr>
          <w:rFonts w:eastAsia="宋体" w:cs="Times New Roman"/>
          <w:color w:val="000000" w:themeColor="text1"/>
          <w:sz w:val="24"/>
          <w:szCs w:val="24"/>
        </w:rPr>
        <w:t xml:space="preserve"> and the intermediate confinement matching factor </w:t>
      </w:r>
      <w:r w:rsidRPr="00177203">
        <w:rPr>
          <w:rFonts w:eastAsia="宋体" w:cs="Times New Roman"/>
          <w:i/>
          <w:iCs/>
          <w:color w:val="000000" w:themeColor="text1"/>
          <w:sz w:val="24"/>
          <w:szCs w:val="24"/>
        </w:rPr>
        <w:t>β</w:t>
      </w:r>
      <w:proofErr w:type="spellStart"/>
      <w:r w:rsidRPr="00177203">
        <w:rPr>
          <w:rFonts w:eastAsia="宋体" w:cs="Times New Roman"/>
          <w:color w:val="000000" w:themeColor="text1"/>
          <w:sz w:val="24"/>
          <w:szCs w:val="24"/>
          <w:vertAlign w:val="subscript"/>
        </w:rPr>
        <w:t>i</w:t>
      </w:r>
      <w:proofErr w:type="spellEnd"/>
      <w:r w:rsidRPr="00177203">
        <w:rPr>
          <w:rFonts w:eastAsia="宋体" w:cs="Times New Roman"/>
          <w:color w:val="000000" w:themeColor="text1"/>
          <w:sz w:val="24"/>
          <w:szCs w:val="24"/>
        </w:rPr>
        <w:t>, with the explicit expression:</w:t>
      </w:r>
    </w:p>
    <w:p w14:paraId="4DD1109C" w14:textId="483911BE" w:rsidR="008B7404" w:rsidRPr="00177203" w:rsidRDefault="00000000" w:rsidP="008B7404">
      <w:pPr>
        <w:ind w:firstLine="420"/>
        <w:rPr>
          <w:rFonts w:cs="Times New Roman"/>
          <w:szCs w:val="24"/>
        </w:rPr>
      </w:pPr>
      <m:oMathPara>
        <m:oMath>
          <m:eqArr>
            <m:eqArrPr>
              <m:maxDist m:val="1"/>
              <m:ctrlPr>
                <w:rPr>
                  <w:rFonts w:ascii="Cambria Math" w:hAnsi="Cambria Math" w:cs="Times New Roman"/>
                  <w:i/>
                  <w:szCs w:val="24"/>
                </w:rPr>
              </m:ctrlPr>
            </m:eqArrPr>
            <m:e>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i</m:t>
                  </m:r>
                </m:sub>
              </m:sSub>
              <m:r>
                <w:rPr>
                  <w:rFonts w:ascii="Cambria Math" w:hAnsi="Cambria Math" w:cs="Times New Roman"/>
                  <w:szCs w:val="24"/>
                </w:rPr>
                <m:t>×exp</m:t>
              </m:r>
              <m:d>
                <m:dPr>
                  <m:ctrlPr>
                    <w:rPr>
                      <w:rFonts w:ascii="Cambria Math" w:hAnsi="Cambria Math" w:cs="Times New Roman"/>
                      <w:i/>
                      <w:szCs w:val="24"/>
                    </w:rPr>
                  </m:ctrlPr>
                </m:dPr>
                <m:e>
                  <m:r>
                    <w:rPr>
                      <w:rFonts w:ascii="Cambria Math" w:hAnsi="Cambria Math" w:cs="Times New Roman"/>
                      <w:szCs w:val="24"/>
                    </w:rPr>
                    <m:t>-</m:t>
                  </m:r>
                  <m:f>
                    <m:fPr>
                      <m:ctrlPr>
                        <w:rPr>
                          <w:rFonts w:ascii="Cambria Math" w:hAnsi="Cambria Math" w:cs="Times New Roman"/>
                          <w:i/>
                          <w:szCs w:val="24"/>
                        </w:rPr>
                      </m:ctrlPr>
                    </m:fPr>
                    <m:num>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d-1.8</m:t>
                              </m:r>
                            </m:e>
                          </m:d>
                        </m:e>
                        <m:sup>
                          <m:r>
                            <w:rPr>
                              <w:rFonts w:ascii="Cambria Math" w:hAnsi="Cambria Math" w:cs="Times New Roman"/>
                              <w:szCs w:val="24"/>
                            </w:rPr>
                            <m:t>2</m:t>
                          </m:r>
                        </m:sup>
                      </m:sSup>
                    </m:num>
                    <m:den>
                      <m:r>
                        <w:rPr>
                          <w:rFonts w:ascii="Cambria Math" w:hAnsi="Cambria Math" w:cs="Times New Roman"/>
                          <w:szCs w:val="24"/>
                        </w:rPr>
                        <m:t>0.32</m:t>
                      </m:r>
                    </m:den>
                  </m:f>
                </m:e>
              </m:d>
              <m:r>
                <w:rPr>
                  <w:rFonts w:ascii="Cambria Math" w:hAnsi="Cambria Math" w:cs="Times New Roman"/>
                  <w:szCs w:val="24"/>
                </w:rPr>
                <m:t>#(11)</m:t>
              </m:r>
            </m:e>
          </m:eqArr>
        </m:oMath>
      </m:oMathPara>
    </w:p>
    <w:p w14:paraId="49959E8F" w14:textId="77777777" w:rsidR="008B7404" w:rsidRPr="00177203" w:rsidRDefault="008B7404" w:rsidP="008B7404">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w:r w:rsidRPr="00177203">
        <w:rPr>
          <w:rFonts w:eastAsia="宋体" w:cs="Times New Roman"/>
          <w:i/>
          <w:iCs/>
          <w:color w:val="000000" w:themeColor="text1"/>
          <w:sz w:val="24"/>
          <w:szCs w:val="24"/>
        </w:rPr>
        <w:t>d</w:t>
      </w:r>
      <w:r w:rsidRPr="00177203">
        <w:rPr>
          <w:rFonts w:eastAsia="宋体" w:cs="Times New Roman"/>
          <w:color w:val="000000" w:themeColor="text1"/>
          <w:sz w:val="24"/>
          <w:szCs w:val="24"/>
        </w:rPr>
        <w:t xml:space="preserve"> is the central diameter of the cavity in nanometers, </w:t>
      </w:r>
      <m:oMath>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is set to 0 when </w:t>
      </w:r>
      <w:r w:rsidRPr="00177203">
        <w:rPr>
          <w:rFonts w:eastAsia="宋体" w:cs="Times New Roman"/>
          <w:i/>
          <w:iCs/>
          <w:color w:val="000000" w:themeColor="text1"/>
          <w:sz w:val="24"/>
          <w:szCs w:val="24"/>
        </w:rPr>
        <w:t>d</w:t>
      </w:r>
      <w:r w:rsidRPr="00177203">
        <w:rPr>
          <w:rFonts w:eastAsia="宋体" w:cs="Times New Roman"/>
          <w:color w:val="000000" w:themeColor="text1"/>
          <w:sz w:val="24"/>
          <w:szCs w:val="24"/>
        </w:rPr>
        <w:t xml:space="preserve"> &lt; 1.26 nm (twice the kinetic diameter of hydrated nitrate anions, 0.63 nm) where reactant diffusion is completely blocked, and set to 1 when </w:t>
      </w:r>
      <w:r w:rsidRPr="00177203">
        <w:rPr>
          <w:rFonts w:eastAsia="宋体" w:cs="Times New Roman"/>
          <w:i/>
          <w:iCs/>
          <w:color w:val="000000" w:themeColor="text1"/>
          <w:sz w:val="24"/>
          <w:szCs w:val="24"/>
        </w:rPr>
        <w:t>d</w:t>
      </w:r>
      <w:r w:rsidRPr="00177203">
        <w:rPr>
          <w:rFonts w:eastAsia="宋体" w:cs="Times New Roman"/>
          <w:color w:val="000000" w:themeColor="text1"/>
          <w:sz w:val="24"/>
          <w:szCs w:val="24"/>
        </w:rPr>
        <w:t xml:space="preserve"> ≥ 1.26 nm where unimpeded reactant diffusion is allowed, and the Gaussian term describes the retention efficiency of key *CO and *NO intermediates with a maximum value of 1 at the optimal 1.8 nm cavity identified by molecular dynamics simulations; the calculated </w:t>
      </w:r>
      <m:oMath>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values are 0, 0.755, 1.00 and 0.10 for the 1.0 nm, 1.5 nm, 1.8 nm and 2.6 nm cavities respectively. The weighted average CMD for the as-prepared bulk catalysts (CMDa) is defined as:</w:t>
      </w:r>
    </w:p>
    <w:p w14:paraId="663D62B4" w14:textId="772BA11E" w:rsidR="008B7404" w:rsidRPr="00177203" w:rsidRDefault="00000000" w:rsidP="008B7404">
      <w:pPr>
        <w:rPr>
          <w:rFonts w:cs="Times New Roman"/>
          <w:szCs w:val="24"/>
        </w:rPr>
      </w:pPr>
      <m:oMathPara>
        <m:oMath>
          <m:eqArr>
            <m:eqArrPr>
              <m:maxDist m:val="1"/>
              <m:ctrlPr>
                <w:rPr>
                  <w:rFonts w:ascii="Cambria Math" w:hAnsi="Cambria Math" w:cs="Times New Roman"/>
                  <w:i/>
                  <w:szCs w:val="24"/>
                </w:rPr>
              </m:ctrlPr>
            </m:eqArrPr>
            <m:e>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r>
                <w:rPr>
                  <w:rFonts w:ascii="Cambria Math" w:hAnsi="Cambria Math" w:cs="Times New Roman"/>
                  <w:szCs w:val="24"/>
                </w:rPr>
                <m:t>=</m:t>
              </m:r>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i</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i</m:t>
                      </m:r>
                    </m:sub>
                  </m:sSub>
                </m:e>
              </m:nary>
              <m:r>
                <w:rPr>
                  <w:rFonts w:ascii="Cambria Math" w:hAnsi="Cambria Math" w:cs="Times New Roman"/>
                  <w:szCs w:val="24"/>
                </w:rPr>
                <m:t>#(12)</m:t>
              </m:r>
            </m:e>
          </m:eqArr>
        </m:oMath>
      </m:oMathPara>
    </w:p>
    <w:p w14:paraId="2FCCE8E1" w14:textId="7CC0AA3B" w:rsidR="008B7404" w:rsidRPr="00177203" w:rsidRDefault="008B7404" w:rsidP="008B7404">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is the weighting factor representing the fraction of effective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active sites anchored on the inner wall of the corresponding cavity, derived from the pore size distribution integrated with 1.0 nm, 1.5 nm, 1.8 nm and 2.6 nm as the central diameters, combined with pyridinic N content and pore connectivity characterization results; the </w:t>
      </w:r>
      <m:oMath>
        <m:sSub>
          <m:sSubPr>
            <m:ctrlPr>
              <w:rPr>
                <w:rFonts w:ascii="Cambria Math" w:hAnsi="Cambria Math" w:cs="Times New Roman"/>
                <w:i/>
                <w:szCs w:val="24"/>
              </w:rPr>
            </m:ctrlPr>
          </m:sSubPr>
          <m:e>
            <m:r>
              <w:rPr>
                <w:rFonts w:ascii="Cambria Math" w:hAnsi="Cambria Math" w:cs="Times New Roman"/>
                <w:szCs w:val="24"/>
              </w:rPr>
              <m:t>f</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values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are 0.40, 0.36, 0.23 and 0.01 for the 1.0 nm, 1.5 nm, 1.8 nm and 2.6 nm cavities respectively, with corresponding values of 0.35, 0.33, 0.26 and 0.06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0.28, 0.24, 0.20 and 0.28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0.24, 0.22, 0.22 and 0.32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w:t>
      </w:r>
    </w:p>
    <w:p w14:paraId="4900E905" w14:textId="150D6B78" w:rsidR="008B7404" w:rsidRPr="00177203" w:rsidRDefault="008B7404" w:rsidP="008B7404">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intrinsic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values for each single cavity model were first calculated via the aforementioned formula, yielding values of 0 for the 1.0 nm cavity, 11.56 for the 1.5 nm cavity, 11.73 for the 1.8 nm cavity, and 0.55 for the 2.6 nm cavity. The weighted average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oMath>
      <w:r w:rsidRPr="00177203">
        <w:rPr>
          <w:rFonts w:eastAsia="宋体" w:cs="Times New Roman"/>
          <w:color w:val="000000" w:themeColor="text1"/>
          <w:sz w:val="24"/>
          <w:szCs w:val="24"/>
        </w:rPr>
        <w:t xml:space="preserve"> for each catalyst was subsequently obtained via linear superposition of the intrinsic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i</m:t>
            </m:r>
          </m:sub>
        </m:sSub>
      </m:oMath>
      <w:r w:rsidRPr="00177203">
        <w:rPr>
          <w:rFonts w:eastAsia="宋体" w:cs="Times New Roman"/>
          <w:color w:val="000000" w:themeColor="text1"/>
          <w:sz w:val="24"/>
          <w:szCs w:val="24"/>
        </w:rPr>
        <w:t xml:space="preserve"> values weighted by the corresponding active site fraction fi, with the final calculated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oMath>
      <w:r w:rsidRPr="00177203">
        <w:rPr>
          <w:rFonts w:eastAsia="宋体" w:cs="Times New Roman"/>
          <w:color w:val="000000" w:themeColor="text1"/>
          <w:sz w:val="24"/>
          <w:szCs w:val="24"/>
        </w:rPr>
        <w:t xml:space="preserve"> values of </w:t>
      </w:r>
      <w:r w:rsidR="00992EF2" w:rsidRPr="00177203">
        <w:rPr>
          <w:rFonts w:eastAsia="宋体" w:cs="Times New Roman"/>
          <w:color w:val="000000" w:themeColor="text1"/>
          <w:sz w:val="24"/>
          <w:szCs w:val="24"/>
        </w:rPr>
        <w:t>8.18</w:t>
      </w:r>
      <w:r w:rsidRPr="00177203">
        <w:rPr>
          <w:rFonts w:eastAsia="宋体" w:cs="Times New Roman"/>
          <w:color w:val="000000" w:themeColor="text1"/>
          <w:sz w:val="24"/>
          <w:szCs w:val="24"/>
        </w:rPr>
        <w:t xml:space="preserve">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w:t>
      </w:r>
      <w:r w:rsidR="00992EF2" w:rsidRPr="00177203">
        <w:rPr>
          <w:rFonts w:eastAsia="宋体" w:cs="Times New Roman"/>
          <w:color w:val="000000" w:themeColor="text1"/>
          <w:sz w:val="24"/>
          <w:szCs w:val="24"/>
        </w:rPr>
        <w:t>9.64</w:t>
      </w:r>
      <w:r w:rsidRPr="00177203">
        <w:rPr>
          <w:rFonts w:eastAsia="宋体" w:cs="Times New Roman"/>
          <w:color w:val="000000" w:themeColor="text1"/>
          <w:sz w:val="24"/>
          <w:szCs w:val="24"/>
        </w:rPr>
        <w:t xml:space="preserve">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992EF2" w:rsidRPr="00177203">
        <w:rPr>
          <w:rFonts w:eastAsia="宋体" w:cs="Times New Roman"/>
          <w:color w:val="000000" w:themeColor="text1"/>
          <w:sz w:val="24"/>
          <w:szCs w:val="24"/>
        </w:rPr>
        <w:t>6.82</w:t>
      </w:r>
      <w:r w:rsidRPr="00177203">
        <w:rPr>
          <w:rFonts w:eastAsia="宋体" w:cs="Times New Roman"/>
          <w:color w:val="000000" w:themeColor="text1"/>
          <w:sz w:val="24"/>
          <w:szCs w:val="24"/>
        </w:rPr>
        <w:t xml:space="preserve">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w:t>
      </w:r>
      <w:r w:rsidR="00992EF2" w:rsidRPr="00177203">
        <w:rPr>
          <w:rFonts w:eastAsia="宋体" w:cs="Times New Roman"/>
          <w:color w:val="000000" w:themeColor="text1"/>
          <w:sz w:val="24"/>
          <w:szCs w:val="24"/>
        </w:rPr>
        <w:t>4.57</w:t>
      </w:r>
      <w:r w:rsidRPr="00177203">
        <w:rPr>
          <w:rFonts w:eastAsia="宋体" w:cs="Times New Roman"/>
          <w:color w:val="000000" w:themeColor="text1"/>
          <w:sz w:val="24"/>
          <w:szCs w:val="24"/>
        </w:rPr>
        <w:t xml:space="preserve">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The calculated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oMath>
      <w:r w:rsidRPr="00177203">
        <w:rPr>
          <w:rFonts w:eastAsia="宋体" w:cs="Times New Roman"/>
          <w:color w:val="000000" w:themeColor="text1"/>
          <w:sz w:val="24"/>
          <w:szCs w:val="24"/>
        </w:rPr>
        <w:t xml:space="preserve"> values show a strict positive correlation with the urea electrosynthesis performance of the catalyst series, with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exhibiting the highest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oMath>
      <w:r w:rsidRPr="00177203">
        <w:rPr>
          <w:rFonts w:eastAsia="宋体" w:cs="Times New Roman"/>
          <w:color w:val="000000" w:themeColor="text1"/>
          <w:sz w:val="24"/>
          <w:szCs w:val="24"/>
        </w:rPr>
        <w:t xml:space="preserve"> value corresponding to its record-high urea yield rate and near-unity Faradaic efficiency, while the gradual decline in </w:t>
      </w:r>
      <m:oMath>
        <m:sSub>
          <m:sSubPr>
            <m:ctrlPr>
              <w:rPr>
                <w:rFonts w:ascii="Cambria Math" w:hAnsi="Cambria Math" w:cs="Times New Roman"/>
                <w:i/>
                <w:szCs w:val="24"/>
              </w:rPr>
            </m:ctrlPr>
          </m:sSubPr>
          <m:e>
            <m:r>
              <w:rPr>
                <w:rFonts w:ascii="Cambria Math" w:hAnsi="Cambria Math" w:cs="Times New Roman"/>
                <w:szCs w:val="24"/>
              </w:rPr>
              <m:t>CMD</m:t>
            </m:r>
          </m:e>
          <m:sub>
            <m:r>
              <w:rPr>
                <w:rFonts w:ascii="Cambria Math" w:hAnsi="Cambria Math" w:cs="Times New Roman"/>
                <w:szCs w:val="24"/>
              </w:rPr>
              <m:t>a</m:t>
            </m:r>
          </m:sub>
        </m:sSub>
      </m:oMath>
      <w:r w:rsidRPr="00177203">
        <w:rPr>
          <w:rFonts w:eastAsia="宋体" w:cs="Times New Roman"/>
          <w:color w:val="000000" w:themeColor="text1"/>
          <w:sz w:val="24"/>
          <w:szCs w:val="24"/>
        </w:rPr>
        <w:t xml:space="preserve"> for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is consistent with the significant degradation of catalytic performance caused by the loss of effective confinement pores and framework collapse. This quantitative calculation framework fully reproduces the structure-activity relationship between the nanoconfined cavity structure and catalytic performance, with all parameters derived directly from experimental and computational results in this work, ensuring the reproducibility and reliability of the CMD model.</w:t>
      </w:r>
      <w:r w:rsidRPr="00177203">
        <w:rPr>
          <w:rFonts w:eastAsia="宋体" w:cs="Times New Roman"/>
          <w:color w:val="000000" w:themeColor="text1"/>
          <w:sz w:val="24"/>
          <w:szCs w:val="24"/>
        </w:rPr>
        <w:br w:type="page"/>
      </w:r>
    </w:p>
    <w:p w14:paraId="630162A8" w14:textId="6FF39FFE" w:rsidR="00755A71" w:rsidRPr="00177203" w:rsidRDefault="00A077F3" w:rsidP="000D21AE">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26E1F5E0" wp14:editId="12E2691A">
            <wp:extent cx="5274310" cy="194754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1947545"/>
                    </a:xfrm>
                    <a:prstGeom prst="rect">
                      <a:avLst/>
                    </a:prstGeom>
                    <a:noFill/>
                    <a:ln>
                      <a:noFill/>
                    </a:ln>
                  </pic:spPr>
                </pic:pic>
              </a:graphicData>
            </a:graphic>
          </wp:inline>
        </w:drawing>
      </w:r>
    </w:p>
    <w:p w14:paraId="09EE3D57" w14:textId="23384914" w:rsidR="00160F61" w:rsidRPr="00177203" w:rsidRDefault="00306188" w:rsidP="00160F61">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755A71"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48</w:t>
      </w:r>
      <w:r w:rsidR="00755A71" w:rsidRPr="00177203">
        <w:rPr>
          <w:rFonts w:eastAsia="宋体" w:cs="Times New Roman"/>
          <w:color w:val="000000" w:themeColor="text1"/>
          <w:sz w:val="24"/>
          <w:szCs w:val="24"/>
        </w:rPr>
        <w:t xml:space="preserve">. </w:t>
      </w:r>
      <w:r w:rsidR="00B17FFA" w:rsidRPr="00177203">
        <w:rPr>
          <w:rFonts w:eastAsia="宋体" w:cs="Times New Roman"/>
          <w:color w:val="000000" w:themeColor="text1"/>
          <w:sz w:val="24"/>
          <w:szCs w:val="24"/>
        </w:rPr>
        <w:t>Electron paramagnetic resonance (EPR) spectra of DMPO-trapped hydrogen radicals (</w:t>
      </w:r>
      <w:r w:rsidR="007C4BDF" w:rsidRPr="00177203">
        <w:rPr>
          <w:rFonts w:eastAsia="宋体" w:cs="Times New Roman"/>
          <w:color w:val="000000" w:themeColor="text1"/>
          <w:sz w:val="24"/>
          <w:szCs w:val="24"/>
        </w:rPr>
        <w:t>H·</w:t>
      </w:r>
      <w:r w:rsidR="00B17FFA" w:rsidRPr="00177203">
        <w:rPr>
          <w:rFonts w:eastAsia="宋体" w:cs="Times New Roman"/>
          <w:color w:val="000000" w:themeColor="text1"/>
          <w:sz w:val="24"/>
          <w:szCs w:val="24"/>
        </w:rPr>
        <w:t xml:space="preserve">) during electrolysis: (a) at open circuit potential (0 V vs. RHE), (b) at –0.7 V vs. RHE. The spin trapping agent DMPO was used for </w:t>
      </w:r>
      <w:r w:rsidR="007C4BDF" w:rsidRPr="00177203">
        <w:rPr>
          <w:rFonts w:eastAsia="宋体" w:cs="Times New Roman"/>
          <w:color w:val="000000" w:themeColor="text1"/>
          <w:sz w:val="24"/>
          <w:szCs w:val="24"/>
        </w:rPr>
        <w:t>H·</w:t>
      </w:r>
      <w:r w:rsidR="00B17FFA" w:rsidRPr="00177203">
        <w:rPr>
          <w:rFonts w:eastAsia="宋体" w:cs="Times New Roman"/>
          <w:color w:val="000000" w:themeColor="text1"/>
          <w:sz w:val="24"/>
          <w:szCs w:val="24"/>
        </w:rPr>
        <w:t xml:space="preserve"> capture.</w:t>
      </w:r>
      <w:r w:rsidR="00755A71" w:rsidRPr="00177203">
        <w:rPr>
          <w:rFonts w:eastAsia="宋体" w:cs="Times New Roman"/>
          <w:color w:val="000000" w:themeColor="text1"/>
          <w:sz w:val="24"/>
          <w:szCs w:val="24"/>
        </w:rPr>
        <w:t xml:space="preserve"> </w:t>
      </w:r>
      <w:r w:rsidR="00160F61" w:rsidRPr="00177203">
        <w:rPr>
          <w:rFonts w:eastAsia="宋体" w:cs="Times New Roman"/>
          <w:color w:val="000000" w:themeColor="text1"/>
          <w:sz w:val="24"/>
          <w:szCs w:val="24"/>
        </w:rPr>
        <w:br w:type="page"/>
      </w:r>
    </w:p>
    <w:p w14:paraId="61F6A9A7" w14:textId="51317738" w:rsidR="004026C5" w:rsidRPr="00177203" w:rsidRDefault="00A077F3" w:rsidP="00755A71">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581E000C" wp14:editId="4B34D4CF">
            <wp:extent cx="3600000" cy="2906525"/>
            <wp:effectExtent l="0" t="0" r="635"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0000" cy="2906525"/>
                    </a:xfrm>
                    <a:prstGeom prst="rect">
                      <a:avLst/>
                    </a:prstGeom>
                    <a:noFill/>
                    <a:ln>
                      <a:noFill/>
                    </a:ln>
                  </pic:spPr>
                </pic:pic>
              </a:graphicData>
            </a:graphic>
          </wp:inline>
        </w:drawing>
      </w:r>
    </w:p>
    <w:p w14:paraId="54749DB8" w14:textId="70370781" w:rsidR="00C435CA" w:rsidRPr="00177203" w:rsidRDefault="00306188" w:rsidP="003C0293">
      <w:pPr>
        <w:spacing w:afterLines="50" w:after="156"/>
        <w:outlineLvl w:val="3"/>
        <w:rPr>
          <w:rFonts w:eastAsia="宋体" w:cs="Times New Roman"/>
          <w:sz w:val="24"/>
          <w:szCs w:val="24"/>
        </w:rPr>
      </w:pPr>
      <w:r w:rsidRPr="00177203">
        <w:rPr>
          <w:rFonts w:eastAsia="宋体" w:cs="Times New Roman"/>
          <w:b/>
          <w:bCs/>
          <w:color w:val="000000" w:themeColor="text1"/>
          <w:sz w:val="24"/>
          <w:szCs w:val="24"/>
        </w:rPr>
        <w:t>Supplementary</w:t>
      </w:r>
      <w:r w:rsidR="00755A71" w:rsidRPr="00177203">
        <w:rPr>
          <w:rFonts w:eastAsia="宋体" w:cs="Times New Roman"/>
          <w:b/>
          <w:bCs/>
          <w:color w:val="000000" w:themeColor="text1"/>
          <w:sz w:val="24"/>
          <w:szCs w:val="24"/>
        </w:rPr>
        <w:t xml:space="preserve"> Fig. </w:t>
      </w:r>
      <w:r w:rsidR="001C644E" w:rsidRPr="00177203">
        <w:rPr>
          <w:rFonts w:eastAsia="宋体" w:cs="Times New Roman"/>
          <w:b/>
          <w:bCs/>
          <w:color w:val="000000" w:themeColor="text1"/>
          <w:sz w:val="24"/>
          <w:szCs w:val="24"/>
        </w:rPr>
        <w:t>49</w:t>
      </w:r>
      <w:r w:rsidR="00755A71" w:rsidRPr="00177203">
        <w:rPr>
          <w:rFonts w:eastAsia="宋体" w:cs="Times New Roman"/>
          <w:color w:val="000000" w:themeColor="text1"/>
          <w:sz w:val="24"/>
          <w:szCs w:val="24"/>
        </w:rPr>
        <w:t xml:space="preserve">. </w:t>
      </w:r>
      <w:r w:rsidR="00B17FFA" w:rsidRPr="00177203">
        <w:rPr>
          <w:rFonts w:eastAsia="宋体" w:cs="Times New Roman"/>
          <w:sz w:val="24"/>
          <w:szCs w:val="24"/>
        </w:rPr>
        <w:t xml:space="preserve">Effect of tert-butyl alcohol (TBA) concentration on the urea yield rate over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B17FFA" w:rsidRPr="00177203">
        <w:rPr>
          <w:rFonts w:eastAsia="宋体" w:cs="Times New Roman"/>
          <w:sz w:val="24"/>
          <w:szCs w:val="24"/>
        </w:rPr>
        <w:t xml:space="preserve"> at –0.7 V vs. RHE.</w:t>
      </w:r>
    </w:p>
    <w:p w14:paraId="440F75FE" w14:textId="1455829A" w:rsidR="00CC7344" w:rsidRPr="00177203" w:rsidRDefault="00C435CA" w:rsidP="00CC7344">
      <w:pPr>
        <w:spacing w:afterLines="50" w:after="156"/>
        <w:rPr>
          <w:rFonts w:eastAsia="宋体" w:cs="Times New Roman"/>
          <w:color w:val="000000" w:themeColor="text1"/>
          <w:sz w:val="24"/>
          <w:szCs w:val="24"/>
        </w:rPr>
      </w:pPr>
      <w:r w:rsidRPr="00177203">
        <w:rPr>
          <w:rFonts w:eastAsia="宋体" w:cs="Times New Roman"/>
          <w:b/>
          <w:bCs/>
          <w:color w:val="000000" w:themeColor="text1"/>
          <w:sz w:val="24"/>
          <w:szCs w:val="24"/>
        </w:rPr>
        <w:t>EPR analysis of hydrogen radical generation:</w:t>
      </w:r>
      <w:r w:rsidR="00CC7344" w:rsidRPr="00177203">
        <w:rPr>
          <w:rFonts w:eastAsia="宋体" w:cs="Times New Roman"/>
          <w:b/>
          <w:bCs/>
          <w:color w:val="000000" w:themeColor="text1"/>
          <w:sz w:val="24"/>
          <w:szCs w:val="24"/>
        </w:rPr>
        <w:t xml:space="preserve"> </w:t>
      </w:r>
      <w:r w:rsidR="00CC7344" w:rsidRPr="00177203">
        <w:rPr>
          <w:rFonts w:eastAsia="宋体" w:cs="Times New Roman"/>
          <w:color w:val="000000" w:themeColor="text1"/>
          <w:sz w:val="24"/>
          <w:szCs w:val="24"/>
        </w:rPr>
        <w:t xml:space="preserve">EPR spectroscopy with 5,5-dimethyl-1-pyrroline </w:t>
      </w:r>
      <w:r w:rsidR="00CC7344" w:rsidRPr="00177203">
        <w:rPr>
          <w:rFonts w:eastAsia="宋体" w:cs="Times New Roman"/>
          <w:i/>
          <w:iCs/>
          <w:color w:val="000000" w:themeColor="text1"/>
          <w:sz w:val="24"/>
          <w:szCs w:val="24"/>
        </w:rPr>
        <w:t>N</w:t>
      </w:r>
      <w:r w:rsidR="00CC7344" w:rsidRPr="00177203">
        <w:rPr>
          <w:rFonts w:eastAsia="宋体" w:cs="Times New Roman"/>
          <w:color w:val="000000" w:themeColor="text1"/>
          <w:sz w:val="24"/>
          <w:szCs w:val="24"/>
        </w:rPr>
        <w:t>-oxide (DMPO) as the spin trapping agent (</w:t>
      </w:r>
      <w:r w:rsidR="00306188" w:rsidRPr="00177203">
        <w:rPr>
          <w:rFonts w:eastAsia="宋体" w:cs="Times New Roman"/>
          <w:color w:val="000000" w:themeColor="text1"/>
          <w:sz w:val="24"/>
          <w:szCs w:val="24"/>
        </w:rPr>
        <w:t>Supplementary</w:t>
      </w:r>
      <w:r w:rsidR="00CC7344" w:rsidRPr="00177203">
        <w:rPr>
          <w:rFonts w:eastAsia="宋体" w:cs="Times New Roman"/>
          <w:color w:val="000000" w:themeColor="text1"/>
          <w:sz w:val="24"/>
          <w:szCs w:val="24"/>
        </w:rPr>
        <w:t xml:space="preserve"> Fig. 48) provid</w:t>
      </w:r>
      <w:r w:rsidR="007C4BDF" w:rsidRPr="00177203">
        <w:rPr>
          <w:rFonts w:eastAsia="宋体" w:cs="Times New Roman"/>
          <w:color w:val="000000" w:themeColor="text1"/>
          <w:sz w:val="24"/>
          <w:szCs w:val="24"/>
        </w:rPr>
        <w:t>es</w:t>
      </w:r>
      <w:r w:rsidR="00CC7344" w:rsidRPr="00177203">
        <w:rPr>
          <w:rFonts w:eastAsia="宋体" w:cs="Times New Roman"/>
          <w:color w:val="000000" w:themeColor="text1"/>
          <w:sz w:val="24"/>
          <w:szCs w:val="24"/>
        </w:rPr>
        <w:t xml:space="preserve"> direct evidence for hydrogen radical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generation during the electrocatalytic co-reduction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CC7344"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CC7344" w:rsidRPr="00177203">
        <w:rPr>
          <w:rFonts w:eastAsia="宋体" w:cs="Times New Roman"/>
          <w:color w:val="000000" w:themeColor="text1"/>
          <w:sz w:val="24"/>
          <w:szCs w:val="24"/>
        </w:rPr>
        <w:t>⁻, and reveal</w:t>
      </w:r>
      <w:r w:rsidR="007C4BDF" w:rsidRPr="00177203">
        <w:rPr>
          <w:rFonts w:eastAsia="宋体" w:cs="Times New Roman"/>
          <w:color w:val="000000" w:themeColor="text1"/>
          <w:sz w:val="24"/>
          <w:szCs w:val="24"/>
        </w:rPr>
        <w:t>s</w:t>
      </w:r>
      <w:r w:rsidR="00CC7344" w:rsidRPr="00177203">
        <w:rPr>
          <w:rFonts w:eastAsia="宋体" w:cs="Times New Roman"/>
          <w:color w:val="000000" w:themeColor="text1"/>
          <w:sz w:val="24"/>
          <w:szCs w:val="24"/>
        </w:rPr>
        <w:t xml:space="preserve"> the critical regulatory role of the nanoconfined cavity on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generation and utilization, which is closely linked to the selective suppression of the hydrogen evolution reaction (HER) and the promotion of C–N coupling. EPR spectra were collected during electrolysis at –0.7 V vs. RHE in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CC7344" w:rsidRPr="00177203">
        <w:rPr>
          <w:rFonts w:eastAsia="宋体" w:cs="Times New Roman"/>
          <w:color w:val="000000" w:themeColor="text1"/>
          <w:sz w:val="24"/>
          <w:szCs w:val="24"/>
        </w:rPr>
        <w:t>-saturated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CC7344" w:rsidRPr="00177203">
        <w:rPr>
          <w:rFonts w:eastAsia="宋体" w:cs="Times New Roman"/>
          <w:color w:val="000000" w:themeColor="text1"/>
          <w:sz w:val="24"/>
          <w:szCs w:val="24"/>
        </w:rPr>
        <w:t xml:space="preserve"> + 0.1 M KN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CC7344" w:rsidRPr="00177203">
        <w:rPr>
          <w:rFonts w:eastAsia="宋体" w:cs="Times New Roman"/>
          <w:color w:val="000000" w:themeColor="text1"/>
          <w:sz w:val="24"/>
          <w:szCs w:val="24"/>
        </w:rPr>
        <w:t xml:space="preserve"> electrolyte, with DMPO added to trap short-lived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The stable DMPO-H spin adduct formed in this process gives a characteristic four-line EPR signal with an intensity ratio of 1:2:2:1, hyperfine coupling constants of αN = 16.3 G and αH = 22.4 G, which is consistent with standard spectral parameters for DMPO-H</w:t>
      </w:r>
      <w:r w:rsidR="002954F8" w:rsidRPr="00177203">
        <w:rPr>
          <w:rFonts w:eastAsia="宋体" w:cs="Times New Roman"/>
          <w:noProof/>
          <w:color w:val="0070C0"/>
          <w:sz w:val="24"/>
          <w:szCs w:val="24"/>
          <w:vertAlign w:val="superscript"/>
        </w:rPr>
        <w:t>57</w:t>
      </w:r>
      <w:r w:rsidR="00CC7344" w:rsidRPr="00177203">
        <w:rPr>
          <w:rFonts w:eastAsia="宋体" w:cs="Times New Roman"/>
          <w:color w:val="000000" w:themeColor="text1"/>
          <w:sz w:val="24"/>
          <w:szCs w:val="24"/>
        </w:rPr>
        <w:t>.</w:t>
      </w:r>
    </w:p>
    <w:p w14:paraId="202E6A37" w14:textId="507581B5" w:rsidR="00CC7344" w:rsidRPr="00177203" w:rsidRDefault="00CC7344" w:rsidP="00CB160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All tZIF-Cus exhibit the characteristic DMPO-H signal, with signal intensity varying significantly. Specifically, the DMPO-H signal intensity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7C4BDF" w:rsidRPr="00177203">
        <w:rPr>
          <w:rFonts w:eastAsia="宋体" w:cs="Times New Roman"/>
          <w:color w:val="000000" w:themeColor="text1"/>
          <w:sz w:val="24"/>
          <w:szCs w:val="24"/>
        </w:rPr>
        <w:t>is</w:t>
      </w:r>
      <w:r w:rsidRPr="00177203">
        <w:rPr>
          <w:rFonts w:eastAsia="宋体" w:cs="Times New Roman"/>
          <w:color w:val="000000" w:themeColor="text1"/>
          <w:sz w:val="24"/>
          <w:szCs w:val="24"/>
        </w:rPr>
        <w:t xml:space="preserve"> 2.3 times higher than that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1.8 times higher than that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1000</w:t>
      </w:r>
      <w:r w:rsidRPr="00177203">
        <w:rPr>
          <w:rFonts w:eastAsia="宋体" w:cs="Times New Roman"/>
          <w:color w:val="000000" w:themeColor="text1"/>
          <w:sz w:val="24"/>
          <w:szCs w:val="24"/>
        </w:rPr>
        <w:t xml:space="preserve">, and 1.2 times higher than that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indicating that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7C4BDF" w:rsidRPr="00177203">
        <w:rPr>
          <w:rFonts w:eastAsia="宋体" w:cs="Times New Roman"/>
          <w:color w:val="000000" w:themeColor="text1"/>
          <w:sz w:val="24"/>
          <w:szCs w:val="24"/>
        </w:rPr>
        <w:t>generate</w:t>
      </w:r>
      <w:r w:rsidR="009F7A72"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 the highest concentration of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during electrolysis. This significant enhancement of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generation 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7C4BDF" w:rsidRPr="00177203">
        <w:rPr>
          <w:rFonts w:eastAsia="宋体" w:cs="Times New Roman"/>
          <w:color w:val="000000" w:themeColor="text1"/>
          <w:sz w:val="24"/>
          <w:szCs w:val="24"/>
        </w:rPr>
        <w:t>i</w:t>
      </w:r>
      <w:r w:rsidRPr="00177203">
        <w:rPr>
          <w:rFonts w:eastAsia="宋体" w:cs="Times New Roman"/>
          <w:color w:val="000000" w:themeColor="text1"/>
          <w:sz w:val="24"/>
          <w:szCs w:val="24"/>
        </w:rPr>
        <w:t xml:space="preserve">s attributed to the strong localized confined electric field in the 1.8 nm nanocavity, which promotes single-electron transfer reduction of protons to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while the size-matched cavity concentrates the generated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near the active sites via spatial confinement and prevents their rapid diffusion into the bulk electrolyte.</w:t>
      </w:r>
    </w:p>
    <w:p w14:paraId="2FAD8AC3" w14:textId="3EC9D91B" w:rsidR="00CC7344" w:rsidRPr="00177203" w:rsidRDefault="00CC7344" w:rsidP="00CB160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high concentration of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in the nanoconfined cavity plays a dual role in regulating reaction selectivity and activity, which explains the superior performance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First, confined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act as the active hydrogenation species for the sequential hydrogenation of C–N coupling intermediates (*CONO, *CONHO, *CON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etc.), a necessary step for urea formation. The high concentration of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in the cavity accelerates the hydrogenation of C–N coupling intermediates, lowering the overall reaction energy barrier and increasing the urea yield rate. This was further confirmed by tert-butyl alcohol (TBA) quenching experiments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 49), where the urea yield rate decreased by 92% with the addition of 20 mM TBA, directly proving that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are the key reactive species for urea synthesis rather than reaction by-products.</w:t>
      </w:r>
    </w:p>
    <w:p w14:paraId="2FB118F5" w14:textId="114E6D14" w:rsidR="00CC7344" w:rsidRPr="00177203" w:rsidRDefault="00A3434A" w:rsidP="00CB1601">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Besides, t</w:t>
      </w:r>
      <w:r w:rsidR="00CC7344" w:rsidRPr="00177203">
        <w:rPr>
          <w:rFonts w:eastAsia="宋体" w:cs="Times New Roman"/>
          <w:color w:val="000000" w:themeColor="text1"/>
          <w:sz w:val="24"/>
          <w:szCs w:val="24"/>
        </w:rPr>
        <w:t xml:space="preserve">he nanoconfined cavity kinetically steers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towards the desired hydrogenation of C–N intermediates rather than the parasitic HER. The restricted volume of the 1.8 nm cavity imposes a severe steric penalty on the bimolecular combination of two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to form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CC7344" w:rsidRPr="00177203">
        <w:rPr>
          <w:rFonts w:eastAsia="宋体" w:cs="Times New Roman"/>
          <w:color w:val="000000" w:themeColor="text1"/>
          <w:sz w:val="24"/>
          <w:szCs w:val="24"/>
        </w:rPr>
        <w:t xml:space="preserve">, the rate-determining step for HER. In contrast, the reaction between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and pre-adsorbed *NO/*CONO intermediates is subject to negligible steric hindrance within the confined cavity. As a result, even though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CC7344" w:rsidRPr="00177203">
        <w:rPr>
          <w:rFonts w:eastAsia="宋体" w:cs="Times New Roman"/>
          <w:color w:val="000000" w:themeColor="text1"/>
          <w:sz w:val="24"/>
          <w:szCs w:val="24"/>
        </w:rPr>
        <w:t xml:space="preserve"> generated a 2.3-fold higher concentration of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than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CC7344" w:rsidRPr="00177203">
        <w:rPr>
          <w:rFonts w:eastAsia="宋体" w:cs="Times New Roman"/>
          <w:color w:val="000000" w:themeColor="text1"/>
          <w:sz w:val="24"/>
          <w:szCs w:val="24"/>
        </w:rPr>
        <w:t xml:space="preserve">, its HER Faradaic efficiency was only 3.2% at –0.7 V vs. RHE. This indicates that the nanoconfined cavity effectively suppresses HER by inhibiting bimolecular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combination, while directing </w:t>
      </w:r>
      <w:r w:rsidR="007C4BDF" w:rsidRPr="00177203">
        <w:rPr>
          <w:rFonts w:eastAsia="宋体" w:cs="Times New Roman"/>
          <w:color w:val="000000" w:themeColor="text1"/>
          <w:sz w:val="24"/>
          <w:szCs w:val="24"/>
        </w:rPr>
        <w:t>H·</w:t>
      </w:r>
      <w:r w:rsidR="00CC7344" w:rsidRPr="00177203">
        <w:rPr>
          <w:rFonts w:eastAsia="宋体" w:cs="Times New Roman"/>
          <w:color w:val="000000" w:themeColor="text1"/>
          <w:sz w:val="24"/>
          <w:szCs w:val="24"/>
        </w:rPr>
        <w:t xml:space="preserve"> radicals towards the target hydrogenation reaction for urea synthesis.</w:t>
      </w:r>
    </w:p>
    <w:p w14:paraId="0BE20091" w14:textId="711F2A62" w:rsidR="00C435CA" w:rsidRPr="00177203" w:rsidRDefault="00CC7344" w:rsidP="00CC7344">
      <w:pPr>
        <w:spacing w:afterLines="50" w:after="156"/>
        <w:ind w:firstLine="420"/>
        <w:rPr>
          <w:rFonts w:eastAsia="宋体" w:cs="Times New Roman"/>
          <w:sz w:val="24"/>
          <w:szCs w:val="24"/>
        </w:rPr>
      </w:pPr>
      <w:r w:rsidRPr="00177203">
        <w:rPr>
          <w:rFonts w:eastAsia="宋体" w:cs="Times New Roman"/>
          <w:color w:val="000000" w:themeColor="text1"/>
          <w:sz w:val="24"/>
          <w:szCs w:val="24"/>
        </w:rPr>
        <w:t xml:space="preserve">These EPR results reveal a previously unrecognized mechanism for nanoconfinement-enhanced C–N coupling: the confined cavity not only modulates the d-band center of the Cu active site and enriches *CO/*NO intermediates, but also generates and concentrates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 and kinetically regulates their reaction pathway to promote urea synthesis while suppressing HER. This provides new mechanistic insight into the selectivity regulation of electrocatalytic C–N coupling reactions, and explains why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achieves near-unity urea selectivity despite the high concentration of </w:t>
      </w:r>
      <w:r w:rsidR="007C4BDF" w:rsidRPr="00177203">
        <w:rPr>
          <w:rFonts w:eastAsia="宋体" w:cs="Times New Roman"/>
          <w:color w:val="000000" w:themeColor="text1"/>
          <w:sz w:val="24"/>
          <w:szCs w:val="24"/>
        </w:rPr>
        <w:t>H·</w:t>
      </w:r>
      <w:r w:rsidRPr="00177203">
        <w:rPr>
          <w:rFonts w:eastAsia="宋体" w:cs="Times New Roman"/>
          <w:color w:val="000000" w:themeColor="text1"/>
          <w:sz w:val="24"/>
          <w:szCs w:val="24"/>
        </w:rPr>
        <w:t xml:space="preserve"> radicals</w:t>
      </w:r>
      <w:r w:rsidR="00C435CA" w:rsidRPr="00177203">
        <w:rPr>
          <w:rFonts w:eastAsia="宋体" w:cs="Times New Roman"/>
          <w:color w:val="000000" w:themeColor="text1"/>
          <w:sz w:val="24"/>
          <w:szCs w:val="24"/>
        </w:rPr>
        <w:t>.</w:t>
      </w:r>
      <w:r w:rsidR="00C435CA" w:rsidRPr="00177203">
        <w:rPr>
          <w:rFonts w:eastAsia="宋体" w:cs="Times New Roman"/>
          <w:sz w:val="24"/>
          <w:szCs w:val="24"/>
        </w:rPr>
        <w:br w:type="page"/>
      </w:r>
    </w:p>
    <w:p w14:paraId="017A36BB" w14:textId="7B009F39" w:rsidR="008E04C2" w:rsidRPr="00177203" w:rsidRDefault="008E04C2" w:rsidP="005438CC">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4.</w:t>
      </w:r>
      <w:r w:rsidR="00163B93" w:rsidRPr="00177203">
        <w:rPr>
          <w:rFonts w:eastAsia="宋体" w:cs="Times New Roman"/>
          <w:b/>
          <w:bCs/>
          <w:color w:val="000000" w:themeColor="text1"/>
          <w:sz w:val="24"/>
          <w:szCs w:val="24"/>
        </w:rPr>
        <w:t>3</w:t>
      </w:r>
      <w:r w:rsidRPr="00177203">
        <w:rPr>
          <w:rFonts w:eastAsia="宋体" w:cs="Times New Roman"/>
          <w:b/>
          <w:bCs/>
          <w:color w:val="000000" w:themeColor="text1"/>
          <w:sz w:val="24"/>
          <w:szCs w:val="24"/>
        </w:rPr>
        <w:t xml:space="preserve">. </w:t>
      </w:r>
      <w:r w:rsidR="00163B93" w:rsidRPr="00177203">
        <w:rPr>
          <w:rFonts w:eastAsia="宋体" w:cs="Times New Roman"/>
          <w:b/>
          <w:bCs/>
          <w:color w:val="000000" w:themeColor="text1"/>
          <w:sz w:val="24"/>
          <w:szCs w:val="24"/>
        </w:rPr>
        <w:t>Temperature programmed desorption and in-</w:t>
      </w:r>
      <w:r w:rsidRPr="00177203">
        <w:rPr>
          <w:rFonts w:eastAsia="宋体" w:cs="Times New Roman"/>
          <w:b/>
          <w:bCs/>
          <w:color w:val="000000" w:themeColor="text1"/>
          <w:sz w:val="24"/>
          <w:szCs w:val="24"/>
        </w:rPr>
        <w:t>situ spectroscopy</w:t>
      </w:r>
    </w:p>
    <w:p w14:paraId="10C6B8BC" w14:textId="4CEE44AC" w:rsidR="00954CDC" w:rsidRPr="00177203" w:rsidRDefault="00954CDC" w:rsidP="0003318A">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Intermediate identification via controlled feed experiments</w:t>
      </w:r>
      <w:r w:rsidRPr="00177203">
        <w:rPr>
          <w:rFonts w:eastAsia="宋体" w:cs="Times New Roman"/>
          <w:color w:val="000000" w:themeColor="text1"/>
          <w:sz w:val="24"/>
          <w:szCs w:val="24"/>
        </w:rPr>
        <w:t xml:space="preserve">: A series of controlled orthogonal feed experiments were performed to identify the key intermediate species involved in the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reaction for urea synthesis, with the results presented in Fig. 4c of the main text, providing definitive evidence that *NO and *CO are the primary reactive intermediates for urea formation. The experiments were designed to systematically test the urea production activity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with different combinations of carbon and nitrogen feedstocks, all performed at –0.7 V vs. RHE in 0.1 M KHC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electrolyte, with the product distribution quantified via UV-vis spectroscopy and NMR.</w:t>
      </w:r>
    </w:p>
    <w:p w14:paraId="32A9AC3C" w14:textId="308361C6"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First, when only a single carbon source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HCOOH, HCHO, CH</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OH, or CO) or a single nitrogen source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NO, 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OH, HCONH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or NH</w:t>
      </w:r>
      <w:r w:rsidRPr="00177203">
        <w:rPr>
          <w:rFonts w:eastAsia="宋体" w:cs="Times New Roman"/>
          <w:color w:val="000000" w:themeColor="text1"/>
          <w:sz w:val="24"/>
          <w:szCs w:val="24"/>
          <w:vertAlign w:val="subscript"/>
        </w:rPr>
        <w:t>4</w:t>
      </w:r>
      <w:r w:rsidR="001B1BD0" w:rsidRPr="00177203">
        <w:rPr>
          <w:rFonts w:eastAsia="宋体" w:cs="Times New Roman"/>
          <w:color w:val="000000" w:themeColor="text1"/>
          <w:sz w:val="24"/>
          <w:szCs w:val="24"/>
          <w:vertAlign w:val="superscript"/>
        </w:rPr>
        <w:t>+</w:t>
      </w:r>
      <w:r w:rsidRPr="00177203">
        <w:rPr>
          <w:rFonts w:eastAsia="宋体" w:cs="Times New Roman"/>
          <w:color w:val="000000" w:themeColor="text1"/>
          <w:sz w:val="24"/>
          <w:szCs w:val="24"/>
        </w:rPr>
        <w:t>) was supplied to the electrolysis system, no detectable urea was produced in any of the single-feed experiments. This confirms that urea synthesis requires the co-presence of both carbon and nitrogen sources, and that urea cannot be formed via the coupling of a single reactant with electrolyte impurities or the catalyst itself, ruling out non-specific background signals.</w:t>
      </w:r>
    </w:p>
    <w:p w14:paraId="32414C85" w14:textId="32DF264C"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When paired carbon and nitrogen feedstocks were supplied, a clear hierarchy of urea production activity was observed, which directly reveals the reaction pathway and key intermediates. For the nitrogen source, when paired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as the carbon source, the urea yield rate follows the order: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&gt;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&gt; NO &gt; 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OH &gt; HCONH</w:t>
      </w:r>
      <w:r w:rsidRPr="00177203">
        <w:rPr>
          <w:rFonts w:eastAsia="宋体" w:cs="Times New Roman"/>
          <w:color w:val="000000" w:themeColor="text1"/>
          <w:sz w:val="24"/>
          <w:szCs w:val="24"/>
          <w:vertAlign w:val="subscript"/>
        </w:rPr>
        <w:t xml:space="preserve">2 </w:t>
      </w:r>
      <w:r w:rsidRPr="00177203">
        <w:rPr>
          <w:rFonts w:eastAsia="宋体" w:cs="Times New Roman"/>
          <w:color w:val="000000" w:themeColor="text1"/>
          <w:sz w:val="24"/>
          <w:szCs w:val="24"/>
        </w:rPr>
        <w:t>&gt;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The highest urea yield is achieved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as the nitrogen source, followed by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and NO, while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as the nitrogen source produces almost no urea. This indicates that the nitrogen-containing species must be in an intermediate oxidation state between +5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and </w:t>
      </w:r>
      <w:r w:rsidR="003E0899" w:rsidRPr="00177203">
        <w:rPr>
          <w:rFonts w:eastAsia="宋体" w:cs="Times New Roman"/>
          <w:color w:val="000000" w:themeColor="text1"/>
          <w:sz w:val="24"/>
          <w:szCs w:val="24"/>
        </w:rPr>
        <w:t>–</w:t>
      </w:r>
      <w:r w:rsidRPr="00177203">
        <w:rPr>
          <w:rFonts w:eastAsia="宋体" w:cs="Times New Roman"/>
          <w:color w:val="000000" w:themeColor="text1"/>
          <w:sz w:val="24"/>
          <w:szCs w:val="24"/>
        </w:rPr>
        <w:t>3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to participate in the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reaction, with NO being the most reactive nitrogen-containing intermediate. For the carbon source, when paired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as the nitrogen source, the urea yield rate follows the order: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&gt; HCOOH &gt; CO &gt; HCHO &gt; CH</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OH,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CO producing the highest urea yield, while fully reduced CH</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OH produces almost no urea. This confirms that the carbon-containing species must be in an oxidation state between +4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and 0 (CH</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OH), with CO being the key carbon-containing intermediate for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w:t>
      </w:r>
    </w:p>
    <w:p w14:paraId="0E21522D" w14:textId="50A81DC2"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Most critically, when CO (gas) and NO (dissolved in electrolyte) were directly supplied as the sole carbon and nitrogen sources, </w:t>
      </w:r>
      <w:r w:rsidR="00C3639C" w:rsidRPr="00177203">
        <w:rPr>
          <w:rFonts w:eastAsia="宋体" w:cs="Times New Roman"/>
          <w:color w:val="000000" w:themeColor="text1"/>
          <w:sz w:val="24"/>
          <w:szCs w:val="24"/>
        </w:rPr>
        <w:t xml:space="preserve">even though their concentration is much lower than that of </w:t>
      </w:r>
      <w:r w:rsidRPr="00177203">
        <w:rPr>
          <w:rFonts w:eastAsia="宋体" w:cs="Times New Roman"/>
          <w:color w:val="000000" w:themeColor="text1"/>
          <w:sz w:val="24"/>
          <w:szCs w:val="24"/>
        </w:rPr>
        <w:t>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w:t>
      </w:r>
      <w:r w:rsidR="00C3639C" w:rsidRPr="00177203">
        <w:rPr>
          <w:rFonts w:eastAsia="宋体" w:cs="Times New Roman"/>
          <w:color w:val="000000" w:themeColor="text1"/>
          <w:sz w:val="24"/>
          <w:szCs w:val="24"/>
        </w:rPr>
        <w:t>and</w:t>
      </w:r>
      <w:r w:rsidRPr="00177203">
        <w:rPr>
          <w:rFonts w:eastAsia="宋体" w:cs="Times New Roman"/>
          <w:color w:val="000000" w:themeColor="text1"/>
          <w:sz w:val="24"/>
          <w:szCs w:val="24"/>
        </w:rPr>
        <w:t xml:space="preserv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produced urea with a Faradaic efficiency of 87.2% at –0.7 V vs. RHE, </w:t>
      </w:r>
      <w:r w:rsidR="003E0899" w:rsidRPr="00177203">
        <w:rPr>
          <w:rFonts w:eastAsia="宋体" w:cs="Times New Roman"/>
          <w:color w:val="000000" w:themeColor="text1"/>
          <w:sz w:val="24"/>
          <w:szCs w:val="24"/>
        </w:rPr>
        <w:t>much close to</w:t>
      </w:r>
      <w:r w:rsidRPr="00177203">
        <w:rPr>
          <w:rFonts w:eastAsia="宋体" w:cs="Times New Roman"/>
          <w:color w:val="000000" w:themeColor="text1"/>
          <w:sz w:val="24"/>
          <w:szCs w:val="24"/>
        </w:rPr>
        <w:t xml:space="preserve"> the </w:t>
      </w:r>
      <w:r w:rsidR="003E0899" w:rsidRPr="00177203">
        <w:rPr>
          <w:rFonts w:eastAsia="宋体" w:cs="Times New Roman"/>
          <w:color w:val="000000" w:themeColor="text1"/>
          <w:sz w:val="24"/>
          <w:szCs w:val="24"/>
        </w:rPr>
        <w:t>urea yield rate</w:t>
      </w:r>
      <w:r w:rsidRPr="00177203">
        <w:rPr>
          <w:rFonts w:eastAsia="宋体" w:cs="Times New Roman"/>
          <w:color w:val="000000" w:themeColor="text1"/>
          <w:sz w:val="24"/>
          <w:szCs w:val="24"/>
        </w:rPr>
        <w:t xml:space="preserve">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as the feedstocks. This is the most direct evidence that *NO and *CO are the primary reactive intermediates for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the direct supply of gaseous CO and dissolved NO bypasses the multi-step reduction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to *CO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to *NO, and still drives efficient urea synthesis, confirming that these two species are the core building blocks for the C-N bond formation.</w:t>
      </w:r>
    </w:p>
    <w:p w14:paraId="7D12529B" w14:textId="74E899A4" w:rsidR="0006726B" w:rsidRPr="00177203" w:rsidRDefault="00954CDC" w:rsidP="003E0899">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In addition, when the electrolysis was performed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OH as the feedstocks, a moderate urea yield was observed, while no urea was produced with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This confirms that the nitrogen-containing intermediate must have an N-O bond to participate in the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reaction, and that the deep reduction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to NH</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is a parasitic side reaction that does not contribute to urea formation. These feed experiment results are fully consistent with the in-situ Raman and ATR-SEIRAS results, which detect the characteristic peaks of *COOH, *CO,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and *NO intermediates during the co-reduction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Collectively, these results establish the complete reaction pathway for urea synthesis: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is reduced to *CO via a 2-electron transfer process,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is reduced to *NO via a 3-electron transfer process, and the bimolecular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between *CO and *NO forms the *CONO intermediate, which undergoes sequential hydrogenation to form the final urea product.</w:t>
      </w:r>
      <w:r w:rsidR="0006726B" w:rsidRPr="00177203">
        <w:rPr>
          <w:rFonts w:eastAsia="宋体" w:cs="Times New Roman"/>
          <w:color w:val="000000" w:themeColor="text1"/>
          <w:sz w:val="24"/>
          <w:szCs w:val="24"/>
        </w:rPr>
        <w:br w:type="page"/>
      </w:r>
    </w:p>
    <w:p w14:paraId="6427EBF3" w14:textId="44C43C1B" w:rsidR="00954CDC" w:rsidRPr="00177203" w:rsidRDefault="00954CDC" w:rsidP="0003318A">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TPD analysis of intermediate adsorption properties</w:t>
      </w:r>
      <w:r w:rsidRPr="00177203">
        <w:rPr>
          <w:rFonts w:eastAsia="宋体" w:cs="Times New Roman"/>
          <w:color w:val="000000" w:themeColor="text1"/>
          <w:sz w:val="24"/>
          <w:szCs w:val="24"/>
        </w:rPr>
        <w:t xml:space="preserve">: The TPD curves of CO and NO for the tZIF-Cu series (Fig. 4d) reveal the unique adsorption properties of the optimal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catalyst towards the two key </w:t>
      </w:r>
      <w:r w:rsidR="00E63B12" w:rsidRPr="00177203">
        <w:rPr>
          <w:rFonts w:eastAsia="宋体" w:cs="Times New Roman"/>
          <w:color w:val="000000" w:themeColor="text1"/>
          <w:sz w:val="24"/>
          <w:szCs w:val="24"/>
        </w:rPr>
        <w:t>C–N coupling</w:t>
      </w:r>
      <w:r w:rsidRPr="00177203">
        <w:rPr>
          <w:rFonts w:eastAsia="宋体" w:cs="Times New Roman"/>
          <w:color w:val="000000" w:themeColor="text1"/>
          <w:sz w:val="24"/>
          <w:szCs w:val="24"/>
        </w:rPr>
        <w:t xml:space="preserve"> intermediates, *CO and *NO, providing a mechanistic explanation for its superior reactivity and selectivity. The TPD profiles can be deconvoluted into two distinct desorption regions: the low-temperature region (50–200 °C) corresponds to the desorption of physically adsorbed or weakly chemically adsorbed CO and NO, while the high-temperature region (200–400 °C) corresponds to the desorption of strongly chemically adsorbed species, which are bound to the active sites via covalent bonds</w:t>
      </w:r>
      <w:r w:rsidR="002954F8" w:rsidRPr="00177203">
        <w:rPr>
          <w:rFonts w:eastAsia="宋体" w:cs="Times New Roman"/>
          <w:noProof/>
          <w:color w:val="0070C0"/>
          <w:sz w:val="24"/>
          <w:szCs w:val="24"/>
          <w:vertAlign w:val="superscript"/>
        </w:rPr>
        <w:t>58,59</w:t>
      </w:r>
      <w:r w:rsidRPr="00177203">
        <w:rPr>
          <w:rFonts w:eastAsia="宋体" w:cs="Times New Roman"/>
          <w:color w:val="000000" w:themeColor="text1"/>
          <w:sz w:val="24"/>
          <w:szCs w:val="24"/>
        </w:rPr>
        <w:t>.</w:t>
      </w:r>
    </w:p>
    <w:p w14:paraId="6A93C428" w14:textId="65E12B3B"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For the NO TPD curves, all tZIF-Cu samples exhibit a dominant desorption peak in the low-temperature region (50–200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shows the strongest low-temperature NO desorption peak, centered at </w:t>
      </w:r>
      <w:r w:rsidR="008C425F" w:rsidRPr="00177203">
        <w:rPr>
          <w:rFonts w:eastAsia="宋体" w:cs="Times New Roman"/>
          <w:color w:val="000000" w:themeColor="text1"/>
          <w:sz w:val="24"/>
          <w:szCs w:val="24"/>
        </w:rPr>
        <w:t>62.5</w:t>
      </w:r>
      <w:r w:rsidRPr="00177203">
        <w:rPr>
          <w:rFonts w:eastAsia="宋体" w:cs="Times New Roman"/>
          <w:color w:val="000000" w:themeColor="text1"/>
          <w:sz w:val="24"/>
          <w:szCs w:val="24"/>
        </w:rPr>
        <w:t xml:space="preserve"> °C, with the integrated peak area </w:t>
      </w:r>
      <w:r w:rsidR="008C425F" w:rsidRPr="00177203">
        <w:rPr>
          <w:rFonts w:eastAsia="宋体" w:cs="Times New Roman"/>
          <w:color w:val="000000" w:themeColor="text1"/>
          <w:sz w:val="24"/>
          <w:szCs w:val="24"/>
        </w:rPr>
        <w:t>3.1</w:t>
      </w:r>
      <w:r w:rsidRPr="00177203">
        <w:rPr>
          <w:rFonts w:eastAsia="宋体" w:cs="Times New Roman"/>
          <w:color w:val="000000" w:themeColor="text1"/>
          <w:sz w:val="24"/>
          <w:szCs w:val="24"/>
        </w:rPr>
        <w:t xml:space="preserve"> times that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and </w:t>
      </w:r>
      <w:r w:rsidR="008C425F" w:rsidRPr="00177203">
        <w:rPr>
          <w:rFonts w:eastAsia="宋体" w:cs="Times New Roman"/>
          <w:color w:val="000000" w:themeColor="text1"/>
          <w:sz w:val="24"/>
          <w:szCs w:val="24"/>
        </w:rPr>
        <w:t>79.3</w:t>
      </w:r>
      <w:r w:rsidRPr="00177203">
        <w:rPr>
          <w:rFonts w:eastAsia="宋体" w:cs="Times New Roman"/>
          <w:color w:val="000000" w:themeColor="text1"/>
          <w:sz w:val="24"/>
          <w:szCs w:val="24"/>
        </w:rPr>
        <w:t xml:space="preserve"> times that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This indicates that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has the highest capacity for physical adsorption of NO, which is attributed to the size-matched nanoconfined cavity that enriches NO molecules near the active sites via the spatial confinement effect. In the high-temperature region (200–400 °C),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exhibit desorption peaks, corresponding to the chemical adsorption of NO, where the N-O bond is dissociated and N is strongly bound to the Cu active sites. In contrast,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shows almost no high-temperature NO desorption peak, with negligible integrated peak area in the 200–400 °C region.</w:t>
      </w:r>
    </w:p>
    <w:p w14:paraId="41D92E8A" w14:textId="7A32BA50" w:rsidR="00954CDC" w:rsidRPr="00177203" w:rsidRDefault="00954CDC" w:rsidP="00954CD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For the CO TPD, a nearly identical trend is observed.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exhibits the strongest low-temperature CO desorption peak centered at </w:t>
      </w:r>
      <w:r w:rsidR="00DD1DDF" w:rsidRPr="00177203">
        <w:rPr>
          <w:rFonts w:eastAsia="宋体" w:cs="Times New Roman"/>
          <w:color w:val="000000" w:themeColor="text1"/>
          <w:sz w:val="24"/>
          <w:szCs w:val="24"/>
        </w:rPr>
        <w:t>98.7</w:t>
      </w:r>
      <w:r w:rsidRPr="00177203">
        <w:rPr>
          <w:rFonts w:eastAsia="宋体" w:cs="Times New Roman"/>
          <w:color w:val="000000" w:themeColor="text1"/>
          <w:sz w:val="24"/>
          <w:szCs w:val="24"/>
        </w:rPr>
        <w:t xml:space="preserve"> °C, indicating a high physical adsorption capacity for CO. In the high-temperature region,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Pr="00177203">
        <w:rPr>
          <w:rFonts w:eastAsia="宋体" w:cs="Times New Roman"/>
          <w:color w:val="000000" w:themeColor="text1"/>
          <w:sz w:val="24"/>
          <w:szCs w:val="24"/>
        </w:rPr>
        <w:t xml:space="preserve"> show strong CO desorption peaks at </w:t>
      </w:r>
      <w:r w:rsidR="00DD1DDF" w:rsidRPr="00177203">
        <w:rPr>
          <w:rFonts w:eastAsia="宋体" w:cs="Times New Roman"/>
          <w:color w:val="000000" w:themeColor="text1"/>
          <w:sz w:val="24"/>
          <w:szCs w:val="24"/>
        </w:rPr>
        <w:t>224</w:t>
      </w:r>
      <w:r w:rsidRPr="00177203">
        <w:rPr>
          <w:rFonts w:eastAsia="宋体" w:cs="Times New Roman"/>
          <w:color w:val="000000" w:themeColor="text1"/>
          <w:sz w:val="24"/>
          <w:szCs w:val="24"/>
        </w:rPr>
        <w:t xml:space="preserve"> °C and </w:t>
      </w:r>
      <w:r w:rsidR="00DD1DDF" w:rsidRPr="00177203">
        <w:rPr>
          <w:rFonts w:eastAsia="宋体" w:cs="Times New Roman"/>
          <w:color w:val="000000" w:themeColor="text1"/>
          <w:sz w:val="24"/>
          <w:szCs w:val="24"/>
        </w:rPr>
        <w:t>417</w:t>
      </w:r>
      <w:r w:rsidRPr="00177203">
        <w:rPr>
          <w:rFonts w:eastAsia="宋体" w:cs="Times New Roman"/>
          <w:color w:val="000000" w:themeColor="text1"/>
          <w:sz w:val="24"/>
          <w:szCs w:val="24"/>
        </w:rPr>
        <w:t xml:space="preserve"> °C, respectively, corresponding to the strong chemical adsorption of CO via the formation of metal-carbon bonds, while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shows only a very weak high-temperature desorption signal, with no significant strong chemical adsorption of CO.</w:t>
      </w:r>
    </w:p>
    <w:p w14:paraId="729ECBB0" w14:textId="09F17E9D" w:rsidR="00755A71" w:rsidRPr="00177203" w:rsidRDefault="00DD1DDF" w:rsidP="00BC7565">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The strong physical adsorption and weak chemical adsorption of both NO and CO intermediates over</w:t>
      </w:r>
      <w:r w:rsidR="00954CDC"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 xml:space="preserve">confers a decisive kinetic advantage for the bimolecular </w:t>
      </w:r>
      <w:r w:rsidR="00E63B12" w:rsidRPr="00177203">
        <w:rPr>
          <w:rFonts w:eastAsia="宋体" w:cs="Times New Roman"/>
          <w:color w:val="000000" w:themeColor="text1"/>
          <w:sz w:val="24"/>
          <w:szCs w:val="24"/>
        </w:rPr>
        <w:t>C–N coupling</w:t>
      </w:r>
      <w:r w:rsidR="00954CDC" w:rsidRPr="00177203">
        <w:rPr>
          <w:rFonts w:eastAsia="宋体" w:cs="Times New Roman"/>
          <w:color w:val="000000" w:themeColor="text1"/>
          <w:sz w:val="24"/>
          <w:szCs w:val="24"/>
        </w:rPr>
        <w:t xml:space="preserve"> reaction. </w:t>
      </w:r>
      <w:r w:rsidRPr="00177203">
        <w:rPr>
          <w:rFonts w:eastAsia="宋体" w:cs="Times New Roman"/>
          <w:color w:val="000000" w:themeColor="text1"/>
          <w:sz w:val="24"/>
          <w:szCs w:val="24"/>
        </w:rPr>
        <w:t>T</w:t>
      </w:r>
      <w:r w:rsidR="00954CDC" w:rsidRPr="00177203">
        <w:rPr>
          <w:rFonts w:eastAsia="宋体" w:cs="Times New Roman"/>
          <w:color w:val="000000" w:themeColor="text1"/>
          <w:sz w:val="24"/>
          <w:szCs w:val="24"/>
        </w:rPr>
        <w:t xml:space="preserve">he strong physical adsorption of NO and CO, driven by the nanoconfinement effect, significantly increases the local concentration of the two key intermediates near the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954CDC" w:rsidRPr="00177203">
        <w:rPr>
          <w:rFonts w:eastAsia="宋体" w:cs="Times New Roman"/>
          <w:color w:val="000000" w:themeColor="text1"/>
          <w:sz w:val="24"/>
          <w:szCs w:val="24"/>
        </w:rPr>
        <w:t xml:space="preserve"> active sites. The bimolecular </w:t>
      </w:r>
      <w:r w:rsidR="00E63B12" w:rsidRPr="00177203">
        <w:rPr>
          <w:rFonts w:eastAsia="宋体" w:cs="Times New Roman"/>
          <w:color w:val="000000" w:themeColor="text1"/>
          <w:sz w:val="24"/>
          <w:szCs w:val="24"/>
        </w:rPr>
        <w:t>C–N coupling</w:t>
      </w:r>
      <w:r w:rsidR="00954CDC" w:rsidRPr="00177203">
        <w:rPr>
          <w:rFonts w:eastAsia="宋体" w:cs="Times New Roman"/>
          <w:color w:val="000000" w:themeColor="text1"/>
          <w:sz w:val="24"/>
          <w:szCs w:val="24"/>
        </w:rPr>
        <w:t xml:space="preserve"> reaction is a second-order reaction, whose rate is proportional to the product of the local concentrations of *CO and *NO; the 2–3 times higher local intermediate concentration 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00954CDC" w:rsidRPr="00177203">
        <w:rPr>
          <w:rFonts w:eastAsia="宋体" w:cs="Times New Roman"/>
          <w:color w:val="000000" w:themeColor="text1"/>
          <w:sz w:val="24"/>
          <w:szCs w:val="24"/>
        </w:rPr>
        <w:t xml:space="preserve"> thus accelerates the </w:t>
      </w:r>
      <w:r w:rsidR="00E63B12" w:rsidRPr="00177203">
        <w:rPr>
          <w:rFonts w:eastAsia="宋体" w:cs="Times New Roman"/>
          <w:color w:val="000000" w:themeColor="text1"/>
          <w:sz w:val="24"/>
          <w:szCs w:val="24"/>
        </w:rPr>
        <w:t>C–N coupling</w:t>
      </w:r>
      <w:r w:rsidR="00954CDC" w:rsidRPr="00177203">
        <w:rPr>
          <w:rFonts w:eastAsia="宋体" w:cs="Times New Roman"/>
          <w:color w:val="000000" w:themeColor="text1"/>
          <w:sz w:val="24"/>
          <w:szCs w:val="24"/>
        </w:rPr>
        <w:t xml:space="preserve"> rate by nearly an order of magnitude, which is the core reason for its ultra-high urea yield rate. Second, the weak chemical adsorption of NO and CO ensures that the two intermediates remain in an activated yet mobile state on the catalyst surface, with the N</w:t>
      </w:r>
      <w:r w:rsidR="00913D16" w:rsidRPr="00177203">
        <w:rPr>
          <w:rFonts w:eastAsia="宋体" w:cs="Times New Roman"/>
          <w:color w:val="000000" w:themeColor="text1"/>
          <w:sz w:val="24"/>
          <w:szCs w:val="24"/>
        </w:rPr>
        <w:t>–</w:t>
      </w:r>
      <w:r w:rsidR="00954CDC" w:rsidRPr="00177203">
        <w:rPr>
          <w:rFonts w:eastAsia="宋体" w:cs="Times New Roman"/>
          <w:color w:val="000000" w:themeColor="text1"/>
          <w:sz w:val="24"/>
          <w:szCs w:val="24"/>
        </w:rPr>
        <w:t>O and C</w:t>
      </w:r>
      <w:r w:rsidR="00913D16" w:rsidRPr="00177203">
        <w:rPr>
          <w:rFonts w:eastAsia="宋体" w:cs="Times New Roman"/>
          <w:color w:val="000000" w:themeColor="text1"/>
          <w:sz w:val="24"/>
          <w:szCs w:val="24"/>
        </w:rPr>
        <w:t>–</w:t>
      </w:r>
      <w:r w:rsidR="00954CDC" w:rsidRPr="00177203">
        <w:rPr>
          <w:rFonts w:eastAsia="宋体" w:cs="Times New Roman"/>
          <w:color w:val="000000" w:themeColor="text1"/>
          <w:sz w:val="24"/>
          <w:szCs w:val="24"/>
        </w:rPr>
        <w:t>O bonds preserved. This avoids the deep reduction or dissociation of the intermediates, which would lead to the formation of NH</w:t>
      </w:r>
      <w:r w:rsidR="00954CDC" w:rsidRPr="00177203">
        <w:rPr>
          <w:rFonts w:eastAsia="宋体" w:cs="Times New Roman"/>
          <w:color w:val="000000" w:themeColor="text1"/>
          <w:sz w:val="24"/>
          <w:szCs w:val="24"/>
          <w:vertAlign w:val="subscript"/>
        </w:rPr>
        <w:t>4</w:t>
      </w:r>
      <w:r w:rsidR="00954CDC" w:rsidRPr="00177203">
        <w:rPr>
          <w:rFonts w:eastAsia="宋体" w:cs="Times New Roman"/>
          <w:color w:val="000000" w:themeColor="text1"/>
          <w:sz w:val="24"/>
          <w:szCs w:val="24"/>
        </w:rPr>
        <w:t xml:space="preserve">⁺ and carbonaceous by-products, thus effectively suppressing the parasitic side reactions. In contrast, the strong chemical adsorption of NO and CO on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800</w:t>
      </w:r>
      <w:r w:rsidRPr="00177203">
        <w:rPr>
          <w:rFonts w:eastAsia="宋体" w:cs="Times New Roman"/>
          <w:color w:val="000000" w:themeColor="text1"/>
          <w:sz w:val="24"/>
          <w:szCs w:val="24"/>
        </w:rPr>
        <w:t xml:space="preserve"> </w:t>
      </w:r>
      <w:r w:rsidR="00954CDC" w:rsidRPr="00177203">
        <w:rPr>
          <w:rFonts w:eastAsia="宋体" w:cs="Times New Roman"/>
          <w:color w:val="000000" w:themeColor="text1"/>
          <w:sz w:val="24"/>
          <w:szCs w:val="24"/>
        </w:rPr>
        <w:t xml:space="preserve">and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1100</w:t>
      </w:r>
      <w:r w:rsidR="00954CDC" w:rsidRPr="00177203">
        <w:rPr>
          <w:rFonts w:eastAsia="宋体" w:cs="Times New Roman"/>
          <w:color w:val="000000" w:themeColor="text1"/>
          <w:sz w:val="24"/>
          <w:szCs w:val="24"/>
        </w:rPr>
        <w:t xml:space="preserve"> leads to the dissociation of the N-O and C-O bonds, resulting in the deep reduction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954CDC" w:rsidRPr="00177203">
        <w:rPr>
          <w:rFonts w:eastAsia="宋体" w:cs="Times New Roman"/>
          <w:color w:val="000000" w:themeColor="text1"/>
          <w:sz w:val="24"/>
          <w:szCs w:val="24"/>
        </w:rPr>
        <w:t>⁻ to NH</w:t>
      </w:r>
      <w:r w:rsidR="00954CDC" w:rsidRPr="00177203">
        <w:rPr>
          <w:rFonts w:eastAsia="宋体" w:cs="Times New Roman"/>
          <w:color w:val="000000" w:themeColor="text1"/>
          <w:sz w:val="24"/>
          <w:szCs w:val="24"/>
          <w:vertAlign w:val="subscript"/>
        </w:rPr>
        <w:t>4</w:t>
      </w:r>
      <w:r w:rsidR="00954CDC" w:rsidRPr="00177203">
        <w:rPr>
          <w:rFonts w:eastAsia="宋体" w:cs="Times New Roman"/>
          <w:color w:val="000000" w:themeColor="text1"/>
          <w:sz w:val="24"/>
          <w:szCs w:val="24"/>
        </w:rPr>
        <w:t>⁺ and CO</w:t>
      </w:r>
      <w:r w:rsidR="00954CDC" w:rsidRPr="00177203">
        <w:rPr>
          <w:rFonts w:eastAsia="宋体" w:cs="Times New Roman"/>
          <w:color w:val="000000" w:themeColor="text1"/>
          <w:sz w:val="24"/>
          <w:szCs w:val="24"/>
          <w:vertAlign w:val="subscript"/>
        </w:rPr>
        <w:t>2</w:t>
      </w:r>
      <w:r w:rsidR="00954CDC" w:rsidRPr="00177203">
        <w:rPr>
          <w:rFonts w:eastAsia="宋体" w:cs="Times New Roman"/>
          <w:color w:val="000000" w:themeColor="text1"/>
          <w:sz w:val="24"/>
          <w:szCs w:val="24"/>
        </w:rPr>
        <w:t xml:space="preserve"> to CH</w:t>
      </w:r>
      <w:r w:rsidR="00954CDC" w:rsidRPr="00177203">
        <w:rPr>
          <w:rFonts w:eastAsia="宋体" w:cs="Times New Roman"/>
          <w:color w:val="000000" w:themeColor="text1"/>
          <w:sz w:val="24"/>
          <w:szCs w:val="24"/>
          <w:vertAlign w:val="subscript"/>
        </w:rPr>
        <w:t>4</w:t>
      </w:r>
      <w:r w:rsidR="00954CDC" w:rsidRPr="00177203">
        <w:rPr>
          <w:rFonts w:eastAsia="宋体" w:cs="Times New Roman"/>
          <w:color w:val="000000" w:themeColor="text1"/>
          <w:sz w:val="24"/>
          <w:szCs w:val="24"/>
        </w:rPr>
        <w:t xml:space="preserve">, as well as the poisoning of the active sites by strongly bound atomic N and C, leading to low </w:t>
      </w:r>
      <w:r w:rsidR="00E63B12" w:rsidRPr="00177203">
        <w:rPr>
          <w:rFonts w:eastAsia="宋体" w:cs="Times New Roman"/>
          <w:color w:val="000000" w:themeColor="text1"/>
          <w:sz w:val="24"/>
          <w:szCs w:val="24"/>
        </w:rPr>
        <w:t>C–N coupling</w:t>
      </w:r>
      <w:r w:rsidR="00954CDC" w:rsidRPr="00177203">
        <w:rPr>
          <w:rFonts w:eastAsia="宋体" w:cs="Times New Roman"/>
          <w:color w:val="000000" w:themeColor="text1"/>
          <w:sz w:val="24"/>
          <w:szCs w:val="24"/>
        </w:rPr>
        <w:t xml:space="preserve"> selectivity.</w:t>
      </w:r>
      <w:r w:rsidR="00755A71" w:rsidRPr="00177203">
        <w:rPr>
          <w:rFonts w:eastAsia="宋体" w:cs="Times New Roman"/>
          <w:color w:val="000000" w:themeColor="text1"/>
          <w:sz w:val="24"/>
          <w:szCs w:val="24"/>
        </w:rPr>
        <w:br w:type="page"/>
      </w:r>
    </w:p>
    <w:p w14:paraId="1C910CAD" w14:textId="5CE3B8CC" w:rsidR="0006726B" w:rsidRPr="00177203" w:rsidRDefault="0003318A" w:rsidP="00DB234B">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In situ Raman spectroscopy </w:t>
      </w:r>
      <w:r w:rsidRPr="00177203">
        <w:rPr>
          <w:rFonts w:eastAsia="宋体" w:cs="Times New Roman"/>
          <w:color w:val="000000" w:themeColor="text1"/>
          <w:sz w:val="24"/>
          <w:szCs w:val="24"/>
        </w:rPr>
        <w:t>dynamically tracked active site and intermediate evolution during electrolysis (Fig. 4e)</w:t>
      </w:r>
      <w:r w:rsidR="002954F8" w:rsidRPr="00177203">
        <w:rPr>
          <w:rFonts w:cs="Times New Roman"/>
          <w:noProof/>
          <w:color w:val="0070C0"/>
          <w:szCs w:val="24"/>
          <w:vertAlign w:val="superscript"/>
        </w:rPr>
        <w:t>60-62</w:t>
      </w:r>
      <w:r w:rsidRPr="00177203">
        <w:rPr>
          <w:rFonts w:eastAsia="宋体" w:cs="Times New Roman"/>
          <w:color w:val="000000" w:themeColor="text1"/>
          <w:sz w:val="24"/>
          <w:szCs w:val="24"/>
        </w:rPr>
        <w:t>. With increasingly negative potential, the characteristic peaks of Cu</w:t>
      </w:r>
      <w:r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(C</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(OH)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diminished gradually, while the peaks assigned to Cu–OH intensified progressively</w:t>
      </w:r>
      <w:r w:rsidR="002954F8" w:rsidRPr="00177203">
        <w:rPr>
          <w:rFonts w:cs="Times New Roman"/>
          <w:noProof/>
          <w:color w:val="0070C0"/>
          <w:vertAlign w:val="superscript"/>
        </w:rPr>
        <w:t>63,64</w:t>
      </w:r>
      <w:r w:rsidRPr="00177203">
        <w:rPr>
          <w:rFonts w:eastAsia="宋体" w:cs="Times New Roman"/>
          <w:color w:val="000000" w:themeColor="text1"/>
          <w:sz w:val="24"/>
          <w:szCs w:val="24"/>
        </w:rPr>
        <w:t>, indicating the potential-driven reconstruction of Cu active sites under reductive conditions. The characteristic peaks of key reaction intermediates, including *COOH, *NH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*NO and *CO, </w:t>
      </w:r>
      <w:r w:rsidR="00913D16" w:rsidRPr="00177203">
        <w:rPr>
          <w:rFonts w:eastAsia="宋体" w:cs="Times New Roman"/>
          <w:color w:val="000000" w:themeColor="text1"/>
          <w:sz w:val="24"/>
          <w:szCs w:val="24"/>
        </w:rPr>
        <w:t>are</w:t>
      </w:r>
      <w:r w:rsidRPr="00177203">
        <w:rPr>
          <w:rFonts w:eastAsia="宋体" w:cs="Times New Roman"/>
          <w:color w:val="000000" w:themeColor="text1"/>
          <w:sz w:val="24"/>
          <w:szCs w:val="24"/>
        </w:rPr>
        <w:t xml:space="preserve"> clearly resolved during electrolysis, with their intensities maximized at –0.7 V vs. RHE, consistent with the optimal catalytic performance for urea synthesis. A distinct peak centered at 1404.2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emerge</w:t>
      </w:r>
      <w:r w:rsidR="00913D16" w:rsidRPr="00177203">
        <w:rPr>
          <w:rFonts w:eastAsia="宋体" w:cs="Times New Roman"/>
          <w:color w:val="000000" w:themeColor="text1"/>
          <w:sz w:val="24"/>
          <w:szCs w:val="24"/>
        </w:rPr>
        <w:t>s</w:t>
      </w:r>
      <w:r w:rsidRPr="00177203">
        <w:rPr>
          <w:rFonts w:eastAsia="宋体" w:cs="Times New Roman"/>
          <w:color w:val="000000" w:themeColor="text1"/>
          <w:sz w:val="24"/>
          <w:szCs w:val="24"/>
        </w:rPr>
        <w:t xml:space="preserve"> and reach</w:t>
      </w:r>
      <w:r w:rsidR="00913D16" w:rsidRPr="00177203">
        <w:rPr>
          <w:rFonts w:eastAsia="宋体" w:cs="Times New Roman"/>
          <w:color w:val="000000" w:themeColor="text1"/>
          <w:sz w:val="24"/>
          <w:szCs w:val="24"/>
        </w:rPr>
        <w:t>es</w:t>
      </w:r>
      <w:r w:rsidRPr="00177203">
        <w:rPr>
          <w:rFonts w:eastAsia="宋体" w:cs="Times New Roman"/>
          <w:color w:val="000000" w:themeColor="text1"/>
          <w:sz w:val="24"/>
          <w:szCs w:val="24"/>
        </w:rPr>
        <w:t xml:space="preserve"> the maximum intensity at the optimal potential, which is assigned to the C–N stretching vibration of the coupling product. Additional characteristic signals in the range of 596–1401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w:t>
      </w:r>
      <w:proofErr w:type="gramStart"/>
      <w:r w:rsidRPr="00177203">
        <w:rPr>
          <w:rFonts w:eastAsia="宋体" w:cs="Times New Roman"/>
          <w:color w:val="000000" w:themeColor="text1"/>
          <w:sz w:val="24"/>
          <w:szCs w:val="24"/>
        </w:rPr>
        <w:t>were</w:t>
      </w:r>
      <w:proofErr w:type="gramEnd"/>
      <w:r w:rsidRPr="00177203">
        <w:rPr>
          <w:rFonts w:eastAsia="宋体" w:cs="Times New Roman"/>
          <w:color w:val="000000" w:themeColor="text1"/>
          <w:sz w:val="24"/>
          <w:szCs w:val="24"/>
        </w:rPr>
        <w:t xml:space="preserve"> detected, corresponding to the bending and stretching vibrations of the C–N–O moiety in the critical *CONO intermediate</w:t>
      </w:r>
      <w:r w:rsidR="002954F8" w:rsidRPr="00177203">
        <w:rPr>
          <w:rFonts w:eastAsia="宋体" w:cs="Times New Roman"/>
          <w:noProof/>
          <w:color w:val="0070C0"/>
          <w:sz w:val="24"/>
          <w:szCs w:val="24"/>
          <w:vertAlign w:val="superscript"/>
        </w:rPr>
        <w:t>19</w:t>
      </w:r>
      <w:r w:rsidRPr="00177203">
        <w:rPr>
          <w:rFonts w:eastAsia="宋体" w:cs="Times New Roman"/>
          <w:color w:val="000000" w:themeColor="text1"/>
          <w:sz w:val="24"/>
          <w:szCs w:val="24"/>
        </w:rPr>
        <w:t xml:space="preserve">. The synchronous evolution of these C–N–O related peaks with the 1404.2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peak directly confirms the formation of C–N bond via the coupling of *CO and *NO intermediates, and validates the *CONO-mediated reaction pathway for urea synthesis</w:t>
      </w:r>
      <w:r w:rsidR="002954F8" w:rsidRPr="00177203">
        <w:rPr>
          <w:rFonts w:cs="Times New Roman"/>
          <w:noProof/>
          <w:color w:val="0070C0"/>
          <w:vertAlign w:val="superscript"/>
        </w:rPr>
        <w:t>61,62,65,66</w:t>
      </w:r>
      <w:r w:rsidRPr="00177203">
        <w:rPr>
          <w:rFonts w:eastAsia="宋体" w:cs="Times New Roman"/>
          <w:color w:val="000000" w:themeColor="text1"/>
          <w:sz w:val="24"/>
          <w:szCs w:val="24"/>
        </w:rPr>
        <w:t>. The detection of these key coupling intermediates further demonstrates that the size-matched nanoconfined cavity enriches and stabilizes the reactive *CO and *NO species, enabling efficient bimolecular C–N coupling at the active sites.</w:t>
      </w:r>
      <w:r w:rsidR="0006726B" w:rsidRPr="00177203">
        <w:rPr>
          <w:rFonts w:eastAsia="宋体" w:cs="Times New Roman"/>
          <w:color w:val="000000" w:themeColor="text1"/>
          <w:sz w:val="24"/>
          <w:szCs w:val="24"/>
        </w:rPr>
        <w:br w:type="page"/>
      </w:r>
    </w:p>
    <w:p w14:paraId="3D343E50" w14:textId="785CB230" w:rsidR="0003318A" w:rsidRPr="00177203" w:rsidRDefault="0003318A" w:rsidP="00DB234B">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Operando attenuated total reflection surface-enhanced infrared absorption spectroscopy (ATR-SEIRAS)</w:t>
      </w:r>
      <w:r w:rsidRPr="00177203">
        <w:rPr>
          <w:rFonts w:eastAsia="宋体" w:cs="Times New Roman"/>
          <w:color w:val="000000" w:themeColor="text1"/>
          <w:sz w:val="24"/>
          <w:szCs w:val="24"/>
        </w:rPr>
        <w:t xml:space="preserve"> was further performed to monitor the dynamic evolution of surface-adsorbed species during the co-reduction process, with spectra collected in the range of 1000–4000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(Fig. 4f)</w:t>
      </w:r>
      <w:r w:rsidR="002954F8" w:rsidRPr="00177203">
        <w:rPr>
          <w:rFonts w:cs="Times New Roman"/>
          <w:noProof/>
          <w:color w:val="0070C0"/>
          <w:szCs w:val="24"/>
          <w:vertAlign w:val="superscript"/>
        </w:rPr>
        <w:t>67</w:t>
      </w:r>
      <w:r w:rsidRPr="00177203">
        <w:rPr>
          <w:rFonts w:eastAsia="宋体" w:cs="Times New Roman"/>
          <w:color w:val="000000" w:themeColor="text1"/>
          <w:sz w:val="24"/>
          <w:szCs w:val="24"/>
        </w:rPr>
        <w:t xml:space="preserve">. Characteristic peaks at 1652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1510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and 1730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emerged and intensified with increasingly negative applied potential, which are assigned to the adsorbed *CO intermediate, *NH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CO species and the N–C–N stretching vibration of the final urea product, respectively. Notably, a distinct characteristic peak of the critical C–N coupling intermediate *CONO was detected at 1998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directly demonstrating that the size-matched cavity enriches reactive species and facilitates C–N bond formation. Additional characteristic peaks </w:t>
      </w:r>
      <w:r w:rsidR="00C3639C" w:rsidRPr="00177203">
        <w:rPr>
          <w:rFonts w:eastAsia="宋体" w:cs="Times New Roman"/>
          <w:color w:val="000000" w:themeColor="text1"/>
          <w:sz w:val="24"/>
          <w:szCs w:val="24"/>
        </w:rPr>
        <w:t>are</w:t>
      </w:r>
      <w:r w:rsidRPr="00177203">
        <w:rPr>
          <w:rFonts w:eastAsia="宋体" w:cs="Times New Roman"/>
          <w:color w:val="000000" w:themeColor="text1"/>
          <w:sz w:val="24"/>
          <w:szCs w:val="24"/>
        </w:rPr>
        <w:t xml:space="preserve"> resolved to clarify the full reaction process and nanoconfinement effect. The peak at 2350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corresponds to the asymmetric stretching vibration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molecules</w:t>
      </w:r>
      <w:r w:rsidR="002954F8" w:rsidRPr="00177203">
        <w:rPr>
          <w:rFonts w:eastAsia="宋体" w:cs="Times New Roman"/>
          <w:noProof/>
          <w:color w:val="0070C0"/>
          <w:sz w:val="24"/>
          <w:szCs w:val="24"/>
          <w:vertAlign w:val="superscript"/>
        </w:rPr>
        <w:t>68</w:t>
      </w:r>
      <w:r w:rsidRPr="00177203">
        <w:rPr>
          <w:rFonts w:eastAsia="宋体" w:cs="Times New Roman"/>
          <w:color w:val="000000" w:themeColor="text1"/>
          <w:sz w:val="24"/>
          <w:szCs w:val="24"/>
        </w:rPr>
        <w:t>, and its gradual intensification with negative potential confirms the enrichment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reactants in the nanoconfined cavity near the active sites, consistent with the molecular dynamics simulation results. The peak at 1414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is assigned to the bending vibration of the *NH</w:t>
      </w:r>
      <w:r w:rsidRPr="00177203">
        <w:rPr>
          <w:rFonts w:eastAsia="宋体" w:cs="Times New Roman"/>
          <w:color w:val="000000" w:themeColor="text1"/>
          <w:sz w:val="24"/>
          <w:szCs w:val="24"/>
          <w:vertAlign w:val="subscript"/>
        </w:rPr>
        <w:t>2</w:t>
      </w:r>
      <w:r w:rsidR="002954F8" w:rsidRPr="00177203">
        <w:rPr>
          <w:rFonts w:eastAsia="宋体" w:cs="Times New Roman"/>
          <w:noProof/>
          <w:color w:val="0070C0"/>
          <w:sz w:val="24"/>
          <w:szCs w:val="24"/>
          <w:vertAlign w:val="superscript"/>
        </w:rPr>
        <w:t>69</w:t>
      </w:r>
      <w:r w:rsidRPr="00177203">
        <w:rPr>
          <w:rFonts w:eastAsia="宋体" w:cs="Times New Roman"/>
          <w:color w:val="000000" w:themeColor="text1"/>
          <w:sz w:val="24"/>
          <w:szCs w:val="24"/>
        </w:rPr>
        <w:t xml:space="preserve"> moiety in the *CONH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intermediate, which corresponds to the sequential hydrogenation step of the C–N coupling product, validating the stepwise formation of urea via *CONO → *CONHO → *CONH</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pathway. The peak at 1162 </w:t>
      </w:r>
      <w:r w:rsidR="00E63B12" w:rsidRPr="00177203">
        <w:rPr>
          <w:rFonts w:eastAsia="宋体" w:cs="Times New Roman"/>
          <w:sz w:val="24"/>
          <w:szCs w:val="24"/>
        </w:rPr>
        <w:t>cm</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corresponds to the N–O stretching vibration</w:t>
      </w:r>
      <w:r w:rsidR="002954F8" w:rsidRPr="00177203">
        <w:rPr>
          <w:rFonts w:eastAsia="宋体" w:cs="Times New Roman"/>
          <w:noProof/>
          <w:color w:val="0070C0"/>
          <w:sz w:val="24"/>
          <w:szCs w:val="24"/>
          <w:vertAlign w:val="superscript"/>
        </w:rPr>
        <w:t>69</w:t>
      </w:r>
      <w:r w:rsidRPr="00177203">
        <w:rPr>
          <w:rFonts w:eastAsia="宋体" w:cs="Times New Roman"/>
          <w:color w:val="000000" w:themeColor="text1"/>
          <w:sz w:val="24"/>
          <w:szCs w:val="24"/>
        </w:rPr>
        <w:t xml:space="preserve"> of adsorbed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*NO intermediates derived from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RR, whose intensity evolution matches well with that of the C–N coupling intermediates, confirming the synchronous generation of nitrogen-containing building blocks for C–N coupling.</w:t>
      </w:r>
      <w:r w:rsidRPr="00177203">
        <w:rPr>
          <w:rFonts w:eastAsia="宋体" w:cs="Times New Roman"/>
          <w:color w:val="000000" w:themeColor="text1"/>
          <w:sz w:val="24"/>
          <w:szCs w:val="24"/>
        </w:rPr>
        <w:br w:type="page"/>
      </w:r>
    </w:p>
    <w:p w14:paraId="48926100" w14:textId="0F18D155" w:rsidR="008E04C2" w:rsidRPr="00177203" w:rsidRDefault="008E04C2" w:rsidP="00DD1DDF">
      <w:pPr>
        <w:spacing w:afterLines="50" w:after="156"/>
        <w:outlineLvl w:val="1"/>
        <w:rPr>
          <w:rFonts w:eastAsia="宋体" w:cs="Times New Roman"/>
          <w:b/>
          <w:bCs/>
          <w:color w:val="000000" w:themeColor="text1"/>
          <w:sz w:val="24"/>
          <w:szCs w:val="24"/>
        </w:rPr>
      </w:pPr>
      <w:r w:rsidRPr="00177203">
        <w:rPr>
          <w:rFonts w:eastAsia="宋体" w:cs="Times New Roman"/>
          <w:b/>
          <w:bCs/>
          <w:color w:val="000000" w:themeColor="text1"/>
          <w:sz w:val="24"/>
          <w:szCs w:val="24"/>
        </w:rPr>
        <w:t>Section 4.</w:t>
      </w:r>
      <w:r w:rsidR="00163B93" w:rsidRPr="00177203">
        <w:rPr>
          <w:rFonts w:eastAsia="宋体" w:cs="Times New Roman"/>
          <w:b/>
          <w:bCs/>
          <w:color w:val="000000" w:themeColor="text1"/>
          <w:sz w:val="24"/>
          <w:szCs w:val="24"/>
        </w:rPr>
        <w:t>4</w:t>
      </w:r>
      <w:r w:rsidRPr="00177203">
        <w:rPr>
          <w:rFonts w:eastAsia="宋体" w:cs="Times New Roman"/>
          <w:b/>
          <w:bCs/>
          <w:color w:val="000000" w:themeColor="text1"/>
          <w:sz w:val="24"/>
          <w:szCs w:val="24"/>
        </w:rPr>
        <w:t xml:space="preserve">. </w:t>
      </w:r>
      <w:r w:rsidR="00DD1DDF" w:rsidRPr="00177203">
        <w:rPr>
          <w:rFonts w:eastAsia="宋体" w:cs="Times New Roman"/>
          <w:b/>
          <w:bCs/>
          <w:color w:val="000000" w:themeColor="text1"/>
          <w:sz w:val="24"/>
          <w:szCs w:val="24"/>
        </w:rPr>
        <w:t>Calculation of reaction energy barriers</w:t>
      </w:r>
    </w:p>
    <w:p w14:paraId="3F2AE007" w14:textId="10110929" w:rsidR="003D2E31" w:rsidRPr="00177203" w:rsidRDefault="00DD1DDF" w:rsidP="003D2E31">
      <w:pPr>
        <w:spacing w:afterLines="50" w:after="156"/>
        <w:rPr>
          <w:rFonts w:eastAsia="宋体" w:cs="Times New Roman"/>
          <w:sz w:val="24"/>
          <w:szCs w:val="24"/>
        </w:rPr>
      </w:pPr>
      <w:r w:rsidRPr="00177203">
        <w:rPr>
          <w:rFonts w:eastAsia="宋体" w:cs="Times New Roman"/>
          <w:sz w:val="24"/>
          <w:szCs w:val="24"/>
        </w:rPr>
        <w:t>Reaction energy barriers</w:t>
      </w:r>
      <w:r w:rsidR="009B58B8" w:rsidRPr="00177203">
        <w:rPr>
          <w:rFonts w:eastAsia="宋体" w:cs="Times New Roman"/>
          <w:sz w:val="24"/>
          <w:szCs w:val="24"/>
        </w:rPr>
        <w:t xml:space="preserve"> calculations were performed using the VASP</w:t>
      </w:r>
      <w:r w:rsidR="002954F8" w:rsidRPr="00177203">
        <w:rPr>
          <w:rFonts w:eastAsia="宋体" w:cs="Times New Roman"/>
          <w:noProof/>
          <w:color w:val="0070C0"/>
          <w:sz w:val="24"/>
          <w:szCs w:val="24"/>
          <w:vertAlign w:val="superscript"/>
        </w:rPr>
        <w:t>50,51</w:t>
      </w:r>
      <w:r w:rsidR="00827490" w:rsidRPr="00177203">
        <w:rPr>
          <w:rFonts w:eastAsia="宋体" w:cs="Times New Roman"/>
          <w:sz w:val="24"/>
          <w:szCs w:val="24"/>
        </w:rPr>
        <w:t xml:space="preserve"> and</w:t>
      </w:r>
      <w:r w:rsidR="003D2E31" w:rsidRPr="00177203">
        <w:rPr>
          <w:rFonts w:eastAsia="宋体" w:cs="Times New Roman"/>
          <w:sz w:val="24"/>
          <w:szCs w:val="24"/>
        </w:rPr>
        <w:t xml:space="preserve"> focus on the intrinsic reaction thermodynamics and pathway of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3D2E31" w:rsidRPr="00177203">
        <w:rPr>
          <w:rFonts w:eastAsia="宋体" w:cs="Times New Roman"/>
          <w:sz w:val="24"/>
          <w:szCs w:val="24"/>
        </w:rPr>
        <w:t xml:space="preserve"> sites, while the nanoconfinement effect identified experimentally serves to enhance intermediate adsorption, local field strength, and mass transport, as described in the main text.</w:t>
      </w:r>
    </w:p>
    <w:p w14:paraId="5086C178" w14:textId="58A97BD1" w:rsidR="009B58B8" w:rsidRPr="00177203" w:rsidRDefault="009B58B8" w:rsidP="003D2E31">
      <w:pPr>
        <w:spacing w:afterLines="50" w:after="156"/>
        <w:ind w:firstLine="348"/>
        <w:rPr>
          <w:rFonts w:eastAsia="宋体" w:cs="Times New Roman"/>
          <w:sz w:val="24"/>
          <w:szCs w:val="24"/>
        </w:rPr>
      </w:pPr>
      <w:r w:rsidRPr="00177203">
        <w:rPr>
          <w:rFonts w:eastAsia="宋体" w:cs="Times New Roman"/>
          <w:sz w:val="24"/>
          <w:szCs w:val="24"/>
        </w:rPr>
        <w:t>The core-valence interactions were described by the projector-augmented wave (PAW) method</w:t>
      </w:r>
      <w:r w:rsidR="002954F8" w:rsidRPr="00177203">
        <w:rPr>
          <w:rFonts w:eastAsia="宋体" w:cs="Times New Roman"/>
          <w:noProof/>
          <w:sz w:val="24"/>
          <w:szCs w:val="24"/>
          <w:vertAlign w:val="superscript"/>
        </w:rPr>
        <w:t>70</w:t>
      </w:r>
      <w:r w:rsidRPr="00177203">
        <w:rPr>
          <w:rFonts w:eastAsia="宋体" w:cs="Times New Roman"/>
          <w:sz w:val="24"/>
          <w:szCs w:val="24"/>
        </w:rPr>
        <w:t>, and the cut-off energy was set to 4</w:t>
      </w:r>
      <w:r w:rsidR="00F02E28" w:rsidRPr="00177203">
        <w:rPr>
          <w:rFonts w:eastAsia="宋体" w:cs="Times New Roman"/>
          <w:sz w:val="24"/>
          <w:szCs w:val="24"/>
        </w:rPr>
        <w:t>5</w:t>
      </w:r>
      <w:r w:rsidRPr="00177203">
        <w:rPr>
          <w:rFonts w:eastAsia="宋体" w:cs="Times New Roman"/>
          <w:sz w:val="24"/>
          <w:szCs w:val="24"/>
        </w:rPr>
        <w:t>0 eV. All spin-polarized calculations were performed by the GGA and PBE for the exchange and association of functions. The convergence criterion for the residual force and energy on atoms converged to less than 0.02 eV Å</w:t>
      </w:r>
      <w:r w:rsidRPr="00177203">
        <w:rPr>
          <w:rFonts w:eastAsia="宋体" w:cs="Times New Roman"/>
          <w:sz w:val="24"/>
          <w:szCs w:val="24"/>
          <w:vertAlign w:val="superscript"/>
        </w:rPr>
        <w:t>–1</w:t>
      </w:r>
      <w:r w:rsidRPr="00177203">
        <w:rPr>
          <w:rFonts w:eastAsia="宋体" w:cs="Times New Roman"/>
          <w:sz w:val="24"/>
          <w:szCs w:val="24"/>
        </w:rPr>
        <w:t xml:space="preserve"> and 10</w:t>
      </w:r>
      <w:r w:rsidRPr="00177203">
        <w:rPr>
          <w:rFonts w:eastAsia="宋体" w:cs="Times New Roman"/>
          <w:sz w:val="24"/>
          <w:szCs w:val="24"/>
          <w:vertAlign w:val="superscript"/>
        </w:rPr>
        <w:t>−5</w:t>
      </w:r>
      <w:r w:rsidRPr="00177203">
        <w:rPr>
          <w:rFonts w:eastAsia="宋体" w:cs="Times New Roman"/>
          <w:sz w:val="24"/>
          <w:szCs w:val="24"/>
        </w:rPr>
        <w:t xml:space="preserve"> eV, respectively. Reciprocal space was described by using the </w:t>
      </w:r>
      <w:proofErr w:type="spellStart"/>
      <w:r w:rsidRPr="00177203">
        <w:rPr>
          <w:rFonts w:eastAsia="宋体" w:cs="Times New Roman"/>
          <w:sz w:val="24"/>
          <w:szCs w:val="24"/>
        </w:rPr>
        <w:t>Monkhorst</w:t>
      </w:r>
      <w:proofErr w:type="spellEnd"/>
      <w:r w:rsidR="007C4BDF" w:rsidRPr="00177203">
        <w:rPr>
          <w:rFonts w:eastAsia="宋体" w:cs="Times New Roman"/>
          <w:sz w:val="24"/>
          <w:szCs w:val="24"/>
        </w:rPr>
        <w:t>-</w:t>
      </w:r>
      <w:r w:rsidRPr="00177203">
        <w:rPr>
          <w:rFonts w:eastAsia="宋体" w:cs="Times New Roman"/>
          <w:sz w:val="24"/>
          <w:szCs w:val="24"/>
        </w:rPr>
        <w:t xml:space="preserve">Pack scheme to generate a 3 × 3 × 1 k points. The nudged elastic band (NEB) method was used for locating the transition states (TS). </w:t>
      </w:r>
    </w:p>
    <w:p w14:paraId="5CB8FDD2" w14:textId="5E77D99A" w:rsidR="009B58B8" w:rsidRPr="00177203" w:rsidRDefault="00BC7565" w:rsidP="005438CC">
      <w:pPr>
        <w:spacing w:afterLines="50" w:after="156"/>
        <w:ind w:firstLine="348"/>
        <w:rPr>
          <w:rFonts w:eastAsia="宋体" w:cs="Times New Roman"/>
          <w:sz w:val="24"/>
          <w:szCs w:val="24"/>
        </w:rPr>
      </w:pPr>
      <w:r w:rsidRPr="00177203">
        <w:rPr>
          <w:rFonts w:eastAsia="宋体" w:cs="Times New Roman"/>
          <w:sz w:val="24"/>
          <w:szCs w:val="24"/>
        </w:rPr>
        <w:t>T</w:t>
      </w:r>
      <w:r w:rsidR="009B58B8" w:rsidRPr="00177203">
        <w:rPr>
          <w:rFonts w:eastAsia="宋体" w:cs="Times New Roman"/>
          <w:sz w:val="24"/>
          <w:szCs w:val="24"/>
        </w:rPr>
        <w:t>he Gibbs free energy change (ΔG) of each reaction step was defined as:</w:t>
      </w:r>
    </w:p>
    <w:p w14:paraId="3FEE4A57" w14:textId="549EBBEB" w:rsidR="009B58B8" w:rsidRPr="00177203" w:rsidRDefault="00000000" w:rsidP="005438CC">
      <w:pPr>
        <w:spacing w:afterLines="50" w:after="156"/>
        <w:ind w:firstLine="348"/>
        <w:rPr>
          <w:rFonts w:eastAsia="宋体" w:cs="Times New Roman"/>
          <w:iCs/>
          <w:sz w:val="24"/>
          <w:szCs w:val="24"/>
        </w:rPr>
      </w:pPr>
      <m:oMathPara>
        <m:oMath>
          <m:eqArr>
            <m:eqArrPr>
              <m:maxDist m:val="1"/>
              <m:ctrlPr>
                <w:rPr>
                  <w:rFonts w:ascii="Cambria Math" w:eastAsia="宋体" w:hAnsi="Cambria Math" w:cs="Times New Roman"/>
                  <w:iCs/>
                  <w:sz w:val="24"/>
                  <w:szCs w:val="24"/>
                </w:rPr>
              </m:ctrlPr>
            </m:eqArrPr>
            <m:e>
              <m:r>
                <w:rPr>
                  <w:rFonts w:ascii="Cambria Math" w:eastAsia="宋体" w:hAnsi="Cambria Math" w:cs="Times New Roman"/>
                  <w:sz w:val="24"/>
                  <w:szCs w:val="24"/>
                </w:rPr>
                <m:t>ΔG=∆E+∆ZPE-T∆S</m:t>
              </m:r>
              <m:r>
                <m:rPr>
                  <m:sty m:val="p"/>
                </m:rPr>
                <w:rPr>
                  <w:rFonts w:ascii="Cambria Math" w:eastAsia="宋体" w:hAnsi="Cambria Math" w:cs="Times New Roman"/>
                  <w:sz w:val="24"/>
                  <w:szCs w:val="24"/>
                </w:rPr>
                <m:t xml:space="preserve"> #</m:t>
              </m:r>
              <m:d>
                <m:dPr>
                  <m:ctrlPr>
                    <w:rPr>
                      <w:rFonts w:ascii="Cambria Math" w:eastAsia="宋体" w:hAnsi="Cambria Math" w:cs="Times New Roman"/>
                      <w:iCs/>
                      <w:sz w:val="24"/>
                      <w:szCs w:val="24"/>
                    </w:rPr>
                  </m:ctrlPr>
                </m:dPr>
                <m:e>
                  <m:r>
                    <m:rPr>
                      <m:sty m:val="p"/>
                    </m:rPr>
                    <w:rPr>
                      <w:rFonts w:ascii="Cambria Math" w:eastAsia="宋体" w:hAnsi="Cambria Math" w:cs="Times New Roman"/>
                      <w:sz w:val="24"/>
                      <w:szCs w:val="24"/>
                    </w:rPr>
                    <m:t>13</m:t>
                  </m:r>
                </m:e>
              </m:d>
            </m:e>
          </m:eqArr>
        </m:oMath>
      </m:oMathPara>
    </w:p>
    <w:p w14:paraId="68C4B265" w14:textId="7614FC9C" w:rsidR="009B58B8" w:rsidRPr="00177203" w:rsidRDefault="009B58B8" w:rsidP="00C3639C">
      <w:pPr>
        <w:spacing w:afterLines="50" w:after="156"/>
        <w:rPr>
          <w:rFonts w:eastAsia="宋体" w:cs="Times New Roman"/>
          <w:sz w:val="24"/>
          <w:szCs w:val="24"/>
        </w:rPr>
      </w:pPr>
      <w:r w:rsidRPr="00177203">
        <w:rPr>
          <w:rFonts w:eastAsia="宋体" w:cs="Times New Roman"/>
          <w:sz w:val="24"/>
          <w:szCs w:val="24"/>
        </w:rPr>
        <w:t xml:space="preserve">where </w:t>
      </w:r>
      <m:oMath>
        <m:r>
          <m:rPr>
            <m:sty m:val="p"/>
          </m:rPr>
          <w:rPr>
            <w:rFonts w:ascii="Cambria Math" w:eastAsia="宋体" w:hAnsi="Cambria Math" w:cs="Times New Roman"/>
            <w:sz w:val="24"/>
            <w:szCs w:val="24"/>
          </w:rPr>
          <m:t>∆E</m:t>
        </m:r>
      </m:oMath>
      <w:r w:rsidRPr="00177203">
        <w:rPr>
          <w:rFonts w:eastAsia="宋体" w:cs="Times New Roman"/>
          <w:sz w:val="24"/>
          <w:szCs w:val="24"/>
        </w:rPr>
        <w:t xml:space="preserve"> is the total energy difference calculated directly by DFT; </w:t>
      </w:r>
      <m:oMath>
        <m:r>
          <m:rPr>
            <m:sty m:val="p"/>
          </m:rPr>
          <w:rPr>
            <w:rFonts w:ascii="Cambria Math" w:eastAsia="宋体" w:hAnsi="Cambria Math" w:cs="Times New Roman"/>
            <w:sz w:val="24"/>
            <w:szCs w:val="24"/>
          </w:rPr>
          <m:t>∆ZPE</m:t>
        </m:r>
      </m:oMath>
      <w:r w:rsidRPr="00177203">
        <w:rPr>
          <w:rFonts w:eastAsia="宋体" w:cs="Times New Roman"/>
          <w:sz w:val="24"/>
          <w:szCs w:val="24"/>
        </w:rPr>
        <w:t xml:space="preserve"> the thermodynamic corrections of zero-point-energy (ZPE); </w:t>
      </w:r>
      <m:oMath>
        <m:r>
          <m:rPr>
            <m:sty m:val="p"/>
          </m:rPr>
          <w:rPr>
            <w:rFonts w:ascii="Cambria Math" w:eastAsia="宋体" w:hAnsi="Cambria Math" w:cs="Times New Roman"/>
            <w:sz w:val="24"/>
            <w:szCs w:val="24"/>
          </w:rPr>
          <m:t>∆S</m:t>
        </m:r>
      </m:oMath>
      <w:r w:rsidRPr="00177203">
        <w:rPr>
          <w:rFonts w:eastAsia="宋体" w:cs="Times New Roman"/>
          <w:sz w:val="24"/>
          <w:szCs w:val="24"/>
        </w:rPr>
        <w:t xml:space="preserve"> is the entropy (S) derived from the vibrational partition function at 298.15 K (T).</w:t>
      </w:r>
    </w:p>
    <w:p w14:paraId="78D845A6" w14:textId="57705C68" w:rsidR="009B58B8" w:rsidRPr="00177203" w:rsidRDefault="009B58B8" w:rsidP="005438CC">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Surface models of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were constructed based on the results from XA</w:t>
      </w:r>
      <w:r w:rsidR="001F3B13" w:rsidRPr="00177203">
        <w:rPr>
          <w:rFonts w:eastAsia="宋体" w:cs="Times New Roman"/>
          <w:color w:val="000000" w:themeColor="text1"/>
          <w:sz w:val="24"/>
          <w:szCs w:val="24"/>
        </w:rPr>
        <w:t>NE</w:t>
      </w:r>
      <w:r w:rsidRPr="00177203">
        <w:rPr>
          <w:rFonts w:eastAsia="宋体" w:cs="Times New Roman"/>
          <w:color w:val="000000" w:themeColor="text1"/>
          <w:sz w:val="24"/>
          <w:szCs w:val="24"/>
        </w:rPr>
        <w:t xml:space="preserve">S and XPS tests. </w:t>
      </w:r>
      <w:r w:rsidR="00E63B12" w:rsidRPr="00177203">
        <w:rPr>
          <w:rFonts w:eastAsia="宋体" w:cs="Times New Roman"/>
          <w:color w:val="000000" w:themeColor="text1"/>
          <w:sz w:val="24"/>
          <w:szCs w:val="24"/>
        </w:rPr>
        <w:t>Cu–N</w:t>
      </w:r>
      <w:r w:rsidR="001F3B13" w:rsidRPr="00177203">
        <w:rPr>
          <w:rFonts w:eastAsia="宋体" w:cs="Times New Roman"/>
          <w:color w:val="000000" w:themeColor="text1"/>
          <w:sz w:val="24"/>
          <w:szCs w:val="24"/>
          <w:vertAlign w:val="subscript"/>
        </w:rPr>
        <w:t>3</w:t>
      </w:r>
      <w:r w:rsidR="001F3B13" w:rsidRPr="00177203">
        <w:rPr>
          <w:rFonts w:eastAsia="宋体" w:cs="Times New Roman"/>
          <w:color w:val="000000" w:themeColor="text1"/>
          <w:sz w:val="24"/>
          <w:szCs w:val="24"/>
        </w:rPr>
        <w:t xml:space="preserve">-C, and </w:t>
      </w:r>
      <w:r w:rsidR="00E63B12" w:rsidRPr="00177203">
        <w:rPr>
          <w:rFonts w:eastAsia="宋体" w:cs="Times New Roman"/>
          <w:color w:val="000000" w:themeColor="text1"/>
          <w:sz w:val="24"/>
          <w:szCs w:val="24"/>
        </w:rPr>
        <w:t>Cu–N</w:t>
      </w:r>
      <w:r w:rsidR="001F3B13" w:rsidRPr="00177203">
        <w:rPr>
          <w:rFonts w:eastAsia="宋体" w:cs="Times New Roman"/>
          <w:color w:val="000000" w:themeColor="text1"/>
          <w:sz w:val="24"/>
          <w:szCs w:val="24"/>
          <w:vertAlign w:val="subscript"/>
        </w:rPr>
        <w:t>2</w:t>
      </w:r>
      <w:r w:rsidR="001F3B13" w:rsidRPr="00177203">
        <w:rPr>
          <w:rFonts w:eastAsia="宋体" w:cs="Times New Roman"/>
          <w:color w:val="000000" w:themeColor="text1"/>
          <w:sz w:val="24"/>
          <w:szCs w:val="24"/>
        </w:rPr>
        <w:t>-C</w:t>
      </w:r>
      <w:r w:rsidR="001F3B13" w:rsidRPr="00177203">
        <w:rPr>
          <w:rFonts w:eastAsia="宋体" w:cs="Times New Roman"/>
          <w:color w:val="000000" w:themeColor="text1"/>
          <w:sz w:val="24"/>
          <w:szCs w:val="24"/>
          <w:vertAlign w:val="subscript"/>
        </w:rPr>
        <w:t>2</w:t>
      </w:r>
      <w:r w:rsidR="001F3B13" w:rsidRPr="00177203">
        <w:rPr>
          <w:rFonts w:eastAsia="宋体" w:cs="Times New Roman"/>
          <w:color w:val="000000" w:themeColor="text1"/>
          <w:sz w:val="24"/>
          <w:szCs w:val="24"/>
        </w:rPr>
        <w:t xml:space="preserve"> were also constructed for </w:t>
      </w:r>
      <w:r w:rsidR="00827490" w:rsidRPr="00177203">
        <w:rPr>
          <w:rFonts w:eastAsia="宋体" w:cs="Times New Roman"/>
          <w:color w:val="000000" w:themeColor="text1"/>
          <w:sz w:val="24"/>
          <w:szCs w:val="24"/>
        </w:rPr>
        <w:t>comparison</w:t>
      </w:r>
      <w:r w:rsidR="001F3B13"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 xml:space="preserve">For all models, a 2 × 2 supercell with single atomic layers was employed. To prevent surface-surface interactions and minimize dipole effects, a vacuum region of 15 Å was added along the z-direction. </w:t>
      </w:r>
      <w:bookmarkStart w:id="2" w:name="_Hlk191049397"/>
      <w:r w:rsidRPr="00177203">
        <w:rPr>
          <w:rFonts w:eastAsia="宋体" w:cs="Times New Roman"/>
          <w:color w:val="000000" w:themeColor="text1"/>
          <w:sz w:val="24"/>
          <w:szCs w:val="24"/>
        </w:rPr>
        <w:t>the Gibbs free energy change (ΔG) of each reaction step was defined as:</w:t>
      </w:r>
    </w:p>
    <w:p w14:paraId="1BF4F6AE" w14:textId="014E8360" w:rsidR="009B58B8" w:rsidRPr="00177203" w:rsidRDefault="00000000" w:rsidP="005438CC">
      <w:pPr>
        <w:spacing w:afterLines="50" w:after="156"/>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m:rPr>
                  <m:sty m:val="p"/>
                </m:rPr>
                <w:rPr>
                  <w:rFonts w:ascii="Cambria Math" w:eastAsia="宋体" w:hAnsi="Cambria Math" w:cs="Times New Roman"/>
                  <w:color w:val="000000" w:themeColor="text1"/>
                  <w:sz w:val="24"/>
                  <w:szCs w:val="24"/>
                </w:rPr>
                <m:t xml:space="preserve">ΔG=∆E+∆ZPE-T∆S </m:t>
              </m:r>
              <m:r>
                <w:rPr>
                  <w:rFonts w:ascii="Cambria Math" w:eastAsia="宋体" w:hAnsi="Cambria Math" w:cs="Times New Roman"/>
                  <w:color w:val="000000" w:themeColor="text1"/>
                  <w:sz w:val="24"/>
                  <w:szCs w:val="24"/>
                </w:rPr>
                <m:t>#</m:t>
              </m:r>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14</m:t>
                  </m:r>
                </m:e>
              </m:d>
            </m:e>
          </m:eqArr>
        </m:oMath>
      </m:oMathPara>
    </w:p>
    <w:p w14:paraId="1FA830FA" w14:textId="5BA08F43" w:rsidR="009B58B8" w:rsidRPr="00177203" w:rsidRDefault="009B58B8" w:rsidP="005438CC">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r>
          <m:rPr>
            <m:sty m:val="p"/>
          </m:rPr>
          <w:rPr>
            <w:rFonts w:ascii="Cambria Math" w:eastAsia="宋体" w:hAnsi="Cambria Math" w:cs="Times New Roman"/>
            <w:color w:val="000000" w:themeColor="text1"/>
            <w:sz w:val="24"/>
            <w:szCs w:val="24"/>
          </w:rPr>
          <m:t>∆E</m:t>
        </m:r>
      </m:oMath>
      <w:r w:rsidRPr="00177203">
        <w:rPr>
          <w:rFonts w:eastAsia="宋体" w:cs="Times New Roman"/>
          <w:color w:val="000000" w:themeColor="text1"/>
          <w:sz w:val="24"/>
          <w:szCs w:val="24"/>
        </w:rPr>
        <w:t xml:space="preserve"> is the the total energy difference calculated directly by DFT; </w:t>
      </w:r>
      <m:oMath>
        <m:r>
          <m:rPr>
            <m:sty m:val="p"/>
          </m:rPr>
          <w:rPr>
            <w:rFonts w:ascii="Cambria Math" w:eastAsia="宋体" w:hAnsi="Cambria Math" w:cs="Times New Roman"/>
            <w:color w:val="000000" w:themeColor="text1"/>
            <w:sz w:val="24"/>
            <w:szCs w:val="24"/>
          </w:rPr>
          <m:t>∆ZPE</m:t>
        </m:r>
      </m:oMath>
      <w:r w:rsidRPr="00177203">
        <w:rPr>
          <w:rFonts w:eastAsia="宋体" w:cs="Times New Roman"/>
          <w:color w:val="000000" w:themeColor="text1"/>
          <w:sz w:val="24"/>
          <w:szCs w:val="24"/>
        </w:rPr>
        <w:t xml:space="preserve"> the thermodynamic corrections of zero-point-energy (ZPE); </w:t>
      </w:r>
      <m:oMath>
        <m:r>
          <m:rPr>
            <m:sty m:val="p"/>
          </m:rPr>
          <w:rPr>
            <w:rFonts w:ascii="Cambria Math" w:eastAsia="宋体" w:hAnsi="Cambria Math" w:cs="Times New Roman"/>
            <w:color w:val="000000" w:themeColor="text1"/>
            <w:sz w:val="24"/>
            <w:szCs w:val="24"/>
          </w:rPr>
          <m:t>∆S</m:t>
        </m:r>
      </m:oMath>
      <w:r w:rsidRPr="00177203">
        <w:rPr>
          <w:rFonts w:eastAsia="宋体" w:cs="Times New Roman"/>
          <w:color w:val="000000" w:themeColor="text1"/>
          <w:sz w:val="24"/>
          <w:szCs w:val="24"/>
        </w:rPr>
        <w:t xml:space="preserve"> is the entropy (S) derived from the vibrational partition function at 298.15 K (T). </w:t>
      </w:r>
      <w:bookmarkEnd w:id="2"/>
    </w:p>
    <w:p w14:paraId="2F876AC4" w14:textId="02376136" w:rsidR="001F3B13" w:rsidRPr="00177203" w:rsidRDefault="00A077F3" w:rsidP="001F3B13">
      <w:pPr>
        <w:spacing w:afterLines="50" w:after="156"/>
        <w:rPr>
          <w:rFonts w:eastAsia="宋体" w:cs="Times New Roman"/>
          <w:b/>
          <w:bCs/>
          <w:color w:val="000000" w:themeColor="text1"/>
          <w:sz w:val="24"/>
          <w:szCs w:val="24"/>
        </w:rPr>
      </w:pPr>
      <w:r w:rsidRPr="00177203">
        <w:rPr>
          <w:rFonts w:cs="Times New Roman"/>
          <w:noProof/>
        </w:rPr>
        <w:drawing>
          <wp:inline distT="0" distB="0" distL="0" distR="0" wp14:anchorId="0049CEF6" wp14:editId="6AD24001">
            <wp:extent cx="5274310" cy="273177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2731770"/>
                    </a:xfrm>
                    <a:prstGeom prst="rect">
                      <a:avLst/>
                    </a:prstGeom>
                    <a:noFill/>
                    <a:ln>
                      <a:noFill/>
                    </a:ln>
                  </pic:spPr>
                </pic:pic>
              </a:graphicData>
            </a:graphic>
          </wp:inline>
        </w:drawing>
      </w:r>
    </w:p>
    <w:p w14:paraId="7917B6EB" w14:textId="2825C470" w:rsidR="001F3B13" w:rsidRPr="00177203" w:rsidRDefault="00306188" w:rsidP="003C0293">
      <w:pPr>
        <w:spacing w:afterLines="50" w:after="156"/>
        <w:outlineLvl w:val="3"/>
        <w:rPr>
          <w:rFonts w:eastAsia="宋体" w:cs="Times New Roman"/>
          <w:color w:val="000000" w:themeColor="text1"/>
          <w:sz w:val="24"/>
          <w:szCs w:val="24"/>
        </w:rPr>
        <w:sectPr w:rsidR="001F3B13" w:rsidRPr="00177203" w:rsidSect="00F65C78">
          <w:pgSz w:w="11906" w:h="16838"/>
          <w:pgMar w:top="1440" w:right="1800" w:bottom="1440" w:left="1800" w:header="851" w:footer="992" w:gutter="0"/>
          <w:lnNumType w:countBy="1" w:restart="continuous"/>
          <w:cols w:space="425"/>
          <w:docGrid w:type="lines" w:linePitch="312"/>
        </w:sectPr>
      </w:pPr>
      <w:r w:rsidRPr="00177203">
        <w:rPr>
          <w:rFonts w:eastAsia="宋体" w:cs="Times New Roman"/>
          <w:b/>
          <w:bCs/>
          <w:color w:val="000000" w:themeColor="text1"/>
          <w:sz w:val="24"/>
          <w:szCs w:val="24"/>
        </w:rPr>
        <w:t>Supplementary</w:t>
      </w:r>
      <w:r w:rsidR="001F3B13" w:rsidRPr="00177203">
        <w:rPr>
          <w:rFonts w:eastAsia="宋体" w:cs="Times New Roman"/>
          <w:b/>
          <w:bCs/>
          <w:color w:val="000000" w:themeColor="text1"/>
          <w:sz w:val="24"/>
          <w:szCs w:val="24"/>
        </w:rPr>
        <w:t xml:space="preserve"> Fig. 50. </w:t>
      </w:r>
      <w:r w:rsidR="001F3B13" w:rsidRPr="00177203">
        <w:rPr>
          <w:rFonts w:eastAsia="宋体" w:cs="Times New Roman"/>
          <w:color w:val="000000" w:themeColor="text1"/>
          <w:sz w:val="24"/>
          <w:szCs w:val="24"/>
        </w:rPr>
        <w:t>Charge densities and</w:t>
      </w:r>
      <w:r w:rsidR="00827490" w:rsidRPr="00177203">
        <w:rPr>
          <w:rFonts w:eastAsia="宋体" w:cs="Times New Roman"/>
          <w:color w:val="000000" w:themeColor="text1"/>
          <w:sz w:val="24"/>
          <w:szCs w:val="24"/>
        </w:rPr>
        <w:t xml:space="preserve"> </w:t>
      </w:r>
      <w:r w:rsidR="001F3B13" w:rsidRPr="00177203">
        <w:rPr>
          <w:rFonts w:eastAsia="宋体" w:cs="Times New Roman"/>
          <w:color w:val="000000" w:themeColor="text1"/>
          <w:sz w:val="24"/>
          <w:szCs w:val="24"/>
        </w:rPr>
        <w:t xml:space="preserve">differential charge densities of </w:t>
      </w:r>
      <w:r w:rsidR="00CF621A" w:rsidRPr="00177203">
        <w:rPr>
          <w:rFonts w:eastAsia="宋体" w:cs="Times New Roman"/>
          <w:color w:val="000000" w:themeColor="text1"/>
          <w:sz w:val="24"/>
          <w:szCs w:val="24"/>
        </w:rPr>
        <w:t xml:space="preserve">(a)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1F3B13" w:rsidRPr="00177203">
        <w:rPr>
          <w:rFonts w:eastAsia="宋体" w:cs="Times New Roman"/>
          <w:color w:val="000000" w:themeColor="text1"/>
          <w:sz w:val="24"/>
          <w:szCs w:val="24"/>
        </w:rPr>
        <w:t xml:space="preserve">, </w:t>
      </w:r>
      <w:r w:rsidR="00CF621A" w:rsidRPr="00177203">
        <w:rPr>
          <w:rFonts w:eastAsia="宋体" w:cs="Times New Roman"/>
          <w:color w:val="000000" w:themeColor="text1"/>
          <w:sz w:val="24"/>
          <w:szCs w:val="24"/>
        </w:rPr>
        <w:t xml:space="preserve">(b) </w:t>
      </w:r>
      <w:r w:rsidR="00E63B12" w:rsidRPr="00177203">
        <w:rPr>
          <w:rFonts w:eastAsia="宋体" w:cs="Times New Roman"/>
          <w:color w:val="000000" w:themeColor="text1"/>
          <w:sz w:val="24"/>
          <w:szCs w:val="24"/>
        </w:rPr>
        <w:t>Cu–N</w:t>
      </w:r>
      <w:r w:rsidR="001F3B13" w:rsidRPr="00177203">
        <w:rPr>
          <w:rFonts w:eastAsia="宋体" w:cs="Times New Roman"/>
          <w:color w:val="000000" w:themeColor="text1"/>
          <w:sz w:val="24"/>
          <w:szCs w:val="24"/>
          <w:vertAlign w:val="subscript"/>
        </w:rPr>
        <w:t>3</w:t>
      </w:r>
      <w:r w:rsidR="001F3B13" w:rsidRPr="00177203">
        <w:rPr>
          <w:rFonts w:eastAsia="宋体" w:cs="Times New Roman"/>
          <w:color w:val="000000" w:themeColor="text1"/>
          <w:sz w:val="24"/>
          <w:szCs w:val="24"/>
        </w:rPr>
        <w:t xml:space="preserve">-C and </w:t>
      </w:r>
      <w:r w:rsidR="00CF621A" w:rsidRPr="00177203">
        <w:rPr>
          <w:rFonts w:eastAsia="宋体" w:cs="Times New Roman"/>
          <w:color w:val="000000" w:themeColor="text1"/>
          <w:sz w:val="24"/>
          <w:szCs w:val="24"/>
        </w:rPr>
        <w:t xml:space="preserve">(c) </w:t>
      </w:r>
      <w:r w:rsidR="00E63B12" w:rsidRPr="00177203">
        <w:rPr>
          <w:rFonts w:eastAsia="宋体" w:cs="Times New Roman"/>
          <w:color w:val="000000" w:themeColor="text1"/>
          <w:sz w:val="24"/>
          <w:szCs w:val="24"/>
        </w:rPr>
        <w:t>Cu–N</w:t>
      </w:r>
      <w:r w:rsidR="00CF621A" w:rsidRPr="00177203">
        <w:rPr>
          <w:rFonts w:eastAsia="宋体" w:cs="Times New Roman"/>
          <w:color w:val="000000" w:themeColor="text1"/>
          <w:sz w:val="24"/>
          <w:szCs w:val="24"/>
          <w:vertAlign w:val="subscript"/>
        </w:rPr>
        <w:t>2</w:t>
      </w:r>
      <w:r w:rsidR="001F3B13" w:rsidRPr="00177203">
        <w:rPr>
          <w:rFonts w:eastAsia="宋体" w:cs="Times New Roman"/>
          <w:color w:val="000000" w:themeColor="text1"/>
          <w:sz w:val="24"/>
          <w:szCs w:val="24"/>
        </w:rPr>
        <w:t>-C</w:t>
      </w:r>
      <w:r w:rsidR="001F3B13" w:rsidRPr="00177203">
        <w:rPr>
          <w:rFonts w:eastAsia="宋体" w:cs="Times New Roman"/>
          <w:color w:val="000000" w:themeColor="text1"/>
          <w:sz w:val="24"/>
          <w:szCs w:val="24"/>
          <w:vertAlign w:val="subscript"/>
        </w:rPr>
        <w:t>2.</w:t>
      </w:r>
    </w:p>
    <w:p w14:paraId="6112C6ED" w14:textId="48D5A5A6" w:rsidR="00EE5167" w:rsidRPr="00177203" w:rsidRDefault="00A077F3" w:rsidP="00EE5167">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1F72D172" wp14:editId="657357D2">
            <wp:extent cx="3600000" cy="3972309"/>
            <wp:effectExtent l="0" t="0" r="63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00000" cy="3972309"/>
                    </a:xfrm>
                    <a:prstGeom prst="rect">
                      <a:avLst/>
                    </a:prstGeom>
                    <a:noFill/>
                    <a:ln>
                      <a:noFill/>
                    </a:ln>
                  </pic:spPr>
                </pic:pic>
              </a:graphicData>
            </a:graphic>
          </wp:inline>
        </w:drawing>
      </w:r>
    </w:p>
    <w:p w14:paraId="44ACC352" w14:textId="7E03EDF2" w:rsidR="00EE5167" w:rsidRPr="00177203" w:rsidRDefault="00306188" w:rsidP="00F368E4">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EE5167" w:rsidRPr="00177203">
        <w:rPr>
          <w:rFonts w:eastAsia="宋体" w:cs="Times New Roman"/>
          <w:b/>
          <w:bCs/>
          <w:color w:val="000000" w:themeColor="text1"/>
          <w:sz w:val="24"/>
          <w:szCs w:val="24"/>
        </w:rPr>
        <w:t xml:space="preserve"> Fig. 5</w:t>
      </w:r>
      <w:r w:rsidR="0072432E" w:rsidRPr="00177203">
        <w:rPr>
          <w:rFonts w:eastAsia="宋体" w:cs="Times New Roman"/>
          <w:b/>
          <w:bCs/>
          <w:color w:val="000000" w:themeColor="text1"/>
          <w:sz w:val="24"/>
          <w:szCs w:val="24"/>
        </w:rPr>
        <w:t>1</w:t>
      </w:r>
      <w:r w:rsidR="00EE5167" w:rsidRPr="00177203">
        <w:rPr>
          <w:rFonts w:eastAsia="宋体" w:cs="Times New Roman"/>
          <w:color w:val="000000" w:themeColor="text1"/>
          <w:sz w:val="24"/>
          <w:szCs w:val="24"/>
        </w:rPr>
        <w:t>. Optimized adsorption configurations of key species involved in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EE5167" w:rsidRPr="00177203">
        <w:rPr>
          <w:rFonts w:eastAsia="宋体" w:cs="Times New Roman"/>
          <w:color w:val="000000" w:themeColor="text1"/>
          <w:sz w:val="24"/>
          <w:szCs w:val="24"/>
        </w:rPr>
        <w:t xml:space="preserve">RR,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00EE5167" w:rsidRPr="00177203">
        <w:rPr>
          <w:rFonts w:eastAsia="宋体" w:cs="Times New Roman"/>
          <w:color w:val="000000" w:themeColor="text1"/>
          <w:sz w:val="24"/>
          <w:szCs w:val="24"/>
        </w:rPr>
        <w:t xml:space="preserve"> and HER on the modelled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EE5167" w:rsidRPr="00177203">
        <w:rPr>
          <w:rFonts w:eastAsia="宋体" w:cs="Times New Roman"/>
          <w:color w:val="000000" w:themeColor="text1"/>
          <w:sz w:val="24"/>
          <w:szCs w:val="24"/>
        </w:rPr>
        <w:t xml:space="preserve"> site, calculated via DFT.</w:t>
      </w:r>
      <w:r w:rsidR="00EE5167" w:rsidRPr="00177203">
        <w:rPr>
          <w:rFonts w:eastAsia="宋体" w:cs="Times New Roman"/>
          <w:color w:val="000000" w:themeColor="text1"/>
          <w:sz w:val="24"/>
          <w:szCs w:val="24"/>
        </w:rPr>
        <w:br w:type="page"/>
      </w:r>
    </w:p>
    <w:p w14:paraId="1DD14DC9" w14:textId="076BCFE2" w:rsidR="001F3B13" w:rsidRPr="00177203" w:rsidRDefault="00A077F3" w:rsidP="001F3B13">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2E19B5ED" wp14:editId="6F3AE62C">
            <wp:extent cx="3600000" cy="3009246"/>
            <wp:effectExtent l="0" t="0" r="635"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00000" cy="3009246"/>
                    </a:xfrm>
                    <a:prstGeom prst="rect">
                      <a:avLst/>
                    </a:prstGeom>
                    <a:noFill/>
                    <a:ln>
                      <a:noFill/>
                    </a:ln>
                  </pic:spPr>
                </pic:pic>
              </a:graphicData>
            </a:graphic>
          </wp:inline>
        </w:drawing>
      </w:r>
    </w:p>
    <w:p w14:paraId="01A1C79A" w14:textId="743D0F2A" w:rsidR="001F3B13" w:rsidRPr="00177203" w:rsidRDefault="00306188" w:rsidP="003C0293">
      <w:pPr>
        <w:spacing w:afterLines="50" w:after="156"/>
        <w:outlineLvl w:val="3"/>
        <w:rPr>
          <w:rFonts w:eastAsia="宋体" w:cs="Times New Roman"/>
          <w:color w:val="000000" w:themeColor="text1"/>
          <w:sz w:val="24"/>
          <w:szCs w:val="24"/>
        </w:rPr>
        <w:sectPr w:rsidR="001F3B13" w:rsidRPr="00177203" w:rsidSect="00F65C78">
          <w:pgSz w:w="11906" w:h="16838"/>
          <w:pgMar w:top="1440" w:right="1800" w:bottom="1440" w:left="1800" w:header="851" w:footer="992" w:gutter="0"/>
          <w:lnNumType w:countBy="1" w:restart="continuous"/>
          <w:cols w:space="425"/>
          <w:docGrid w:type="lines" w:linePitch="312"/>
        </w:sectPr>
      </w:pPr>
      <w:r w:rsidRPr="00177203">
        <w:rPr>
          <w:rFonts w:eastAsia="宋体" w:cs="Times New Roman"/>
          <w:b/>
          <w:bCs/>
          <w:color w:val="000000" w:themeColor="text1"/>
          <w:sz w:val="24"/>
          <w:szCs w:val="24"/>
        </w:rPr>
        <w:t>Supplementary</w:t>
      </w:r>
      <w:r w:rsidR="001F3B13" w:rsidRPr="00177203">
        <w:rPr>
          <w:rFonts w:eastAsia="宋体" w:cs="Times New Roman"/>
          <w:b/>
          <w:bCs/>
          <w:color w:val="000000" w:themeColor="text1"/>
          <w:sz w:val="24"/>
          <w:szCs w:val="24"/>
        </w:rPr>
        <w:t xml:space="preserve"> Fig. 5</w:t>
      </w:r>
      <w:r w:rsidR="0072432E" w:rsidRPr="00177203">
        <w:rPr>
          <w:rFonts w:eastAsia="宋体" w:cs="Times New Roman"/>
          <w:b/>
          <w:bCs/>
          <w:color w:val="000000" w:themeColor="text1"/>
          <w:sz w:val="24"/>
          <w:szCs w:val="24"/>
        </w:rPr>
        <w:t>2</w:t>
      </w:r>
      <w:r w:rsidR="001F3B13" w:rsidRPr="00177203">
        <w:rPr>
          <w:rFonts w:eastAsia="宋体" w:cs="Times New Roman"/>
          <w:b/>
          <w:bCs/>
          <w:color w:val="000000" w:themeColor="text1"/>
          <w:sz w:val="24"/>
          <w:szCs w:val="24"/>
        </w:rPr>
        <w:t xml:space="preserve">. </w:t>
      </w:r>
      <w:r w:rsidR="00EE5167" w:rsidRPr="00177203">
        <w:rPr>
          <w:rFonts w:eastAsia="宋体" w:cs="Times New Roman"/>
          <w:color w:val="000000" w:themeColor="text1"/>
          <w:sz w:val="24"/>
          <w:szCs w:val="24"/>
        </w:rPr>
        <w:t>Adsorption energy changes of NO, CO, NH</w:t>
      </w:r>
      <w:r w:rsidR="00EE5167" w:rsidRPr="00177203">
        <w:rPr>
          <w:rFonts w:eastAsia="宋体" w:cs="Times New Roman"/>
          <w:color w:val="000000" w:themeColor="text1"/>
          <w:sz w:val="24"/>
          <w:szCs w:val="24"/>
          <w:vertAlign w:val="subscript"/>
        </w:rPr>
        <w:t>2</w:t>
      </w:r>
      <w:r w:rsidR="00EE5167" w:rsidRPr="00177203">
        <w:rPr>
          <w:rFonts w:eastAsia="宋体" w:cs="Times New Roman"/>
          <w:color w:val="000000" w:themeColor="text1"/>
          <w:sz w:val="24"/>
          <w:szCs w:val="24"/>
        </w:rPr>
        <w:t>, and H</w:t>
      </w:r>
      <w:r w:rsidR="00EE5167" w:rsidRPr="00177203">
        <w:rPr>
          <w:rFonts w:eastAsia="宋体" w:cs="Times New Roman"/>
          <w:color w:val="000000" w:themeColor="text1"/>
          <w:sz w:val="24"/>
          <w:szCs w:val="24"/>
          <w:vertAlign w:val="subscript"/>
        </w:rPr>
        <w:t>2</w:t>
      </w:r>
      <w:r w:rsidR="00EE5167" w:rsidRPr="00177203">
        <w:rPr>
          <w:rFonts w:eastAsia="宋体" w:cs="Times New Roman"/>
          <w:color w:val="000000" w:themeColor="text1"/>
          <w:sz w:val="24"/>
          <w:szCs w:val="24"/>
        </w:rPr>
        <w:t xml:space="preserve"> over</w:t>
      </w:r>
      <w:r w:rsidR="001F3B13"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1F3B13"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Cu–N</w:t>
      </w:r>
      <w:r w:rsidR="001F3B13" w:rsidRPr="00177203">
        <w:rPr>
          <w:rFonts w:eastAsia="宋体" w:cs="Times New Roman"/>
          <w:color w:val="000000" w:themeColor="text1"/>
          <w:sz w:val="24"/>
          <w:szCs w:val="24"/>
          <w:vertAlign w:val="subscript"/>
        </w:rPr>
        <w:t>3</w:t>
      </w:r>
      <w:r w:rsidR="001F3B13" w:rsidRPr="00177203">
        <w:rPr>
          <w:rFonts w:eastAsia="宋体" w:cs="Times New Roman"/>
          <w:color w:val="000000" w:themeColor="text1"/>
          <w:sz w:val="24"/>
          <w:szCs w:val="24"/>
        </w:rPr>
        <w:t xml:space="preserve">-C and </w:t>
      </w:r>
      <w:r w:rsidR="00E63B12" w:rsidRPr="00177203">
        <w:rPr>
          <w:rFonts w:eastAsia="宋体" w:cs="Times New Roman"/>
          <w:color w:val="000000" w:themeColor="text1"/>
          <w:sz w:val="24"/>
          <w:szCs w:val="24"/>
        </w:rPr>
        <w:t>Cu–N</w:t>
      </w:r>
      <w:r w:rsidR="001F3B13" w:rsidRPr="00177203">
        <w:rPr>
          <w:rFonts w:eastAsia="宋体" w:cs="Times New Roman"/>
          <w:color w:val="000000" w:themeColor="text1"/>
          <w:sz w:val="24"/>
          <w:szCs w:val="24"/>
          <w:vertAlign w:val="subscript"/>
        </w:rPr>
        <w:t>2</w:t>
      </w:r>
      <w:r w:rsidR="001F3B13" w:rsidRPr="00177203">
        <w:rPr>
          <w:rFonts w:eastAsia="宋体" w:cs="Times New Roman"/>
          <w:color w:val="000000" w:themeColor="text1"/>
          <w:sz w:val="24"/>
          <w:szCs w:val="24"/>
        </w:rPr>
        <w:t>-C</w:t>
      </w:r>
      <w:r w:rsidR="001F3B13" w:rsidRPr="00177203">
        <w:rPr>
          <w:rFonts w:eastAsia="宋体" w:cs="Times New Roman"/>
          <w:color w:val="000000" w:themeColor="text1"/>
          <w:sz w:val="24"/>
          <w:szCs w:val="24"/>
          <w:vertAlign w:val="subscript"/>
        </w:rPr>
        <w:t xml:space="preserve">2. </w:t>
      </w:r>
    </w:p>
    <w:p w14:paraId="5D9A1E00" w14:textId="76B22900" w:rsidR="00350181" w:rsidRPr="00177203" w:rsidRDefault="00A077F3" w:rsidP="00350181">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6A888217" wp14:editId="62AC9944">
            <wp:extent cx="5274310" cy="3355340"/>
            <wp:effectExtent l="0" t="0" r="254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3355340"/>
                    </a:xfrm>
                    <a:prstGeom prst="rect">
                      <a:avLst/>
                    </a:prstGeom>
                    <a:noFill/>
                    <a:ln>
                      <a:noFill/>
                    </a:ln>
                  </pic:spPr>
                </pic:pic>
              </a:graphicData>
            </a:graphic>
          </wp:inline>
        </w:drawing>
      </w:r>
    </w:p>
    <w:p w14:paraId="7C7DBBCA" w14:textId="7F66E435" w:rsidR="00350181" w:rsidRPr="00177203" w:rsidRDefault="00306188" w:rsidP="00350181">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350181" w:rsidRPr="00177203">
        <w:rPr>
          <w:rFonts w:eastAsia="宋体" w:cs="Times New Roman"/>
          <w:b/>
          <w:bCs/>
          <w:color w:val="000000" w:themeColor="text1"/>
          <w:sz w:val="24"/>
          <w:szCs w:val="24"/>
        </w:rPr>
        <w:t xml:space="preserve"> Fig. 5</w:t>
      </w:r>
      <w:r w:rsidR="0072432E" w:rsidRPr="00177203">
        <w:rPr>
          <w:rFonts w:eastAsia="宋体" w:cs="Times New Roman"/>
          <w:b/>
          <w:bCs/>
          <w:color w:val="000000" w:themeColor="text1"/>
          <w:sz w:val="24"/>
          <w:szCs w:val="24"/>
        </w:rPr>
        <w:t>3</w:t>
      </w:r>
      <w:r w:rsidR="00350181" w:rsidRPr="00177203">
        <w:rPr>
          <w:rFonts w:eastAsia="宋体" w:cs="Times New Roman"/>
          <w:color w:val="000000" w:themeColor="text1"/>
          <w:sz w:val="24"/>
          <w:szCs w:val="24"/>
        </w:rPr>
        <w:t>. Alternate reaction pathways for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350181" w:rsidRPr="00177203">
        <w:rPr>
          <w:rFonts w:eastAsia="宋体" w:cs="Times New Roman"/>
          <w:color w:val="000000" w:themeColor="text1"/>
          <w:sz w:val="24"/>
          <w:szCs w:val="24"/>
        </w:rPr>
        <w:t xml:space="preserve">RR on modelled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350181" w:rsidRPr="00177203">
        <w:rPr>
          <w:rFonts w:eastAsia="宋体" w:cs="Times New Roman"/>
          <w:color w:val="000000" w:themeColor="text1"/>
          <w:sz w:val="24"/>
          <w:szCs w:val="24"/>
          <w:vertAlign w:val="subscript"/>
        </w:rPr>
        <w:t>,</w:t>
      </w:r>
      <w:r w:rsidR="00350181"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Cu–N</w:t>
      </w:r>
      <w:r w:rsidR="00350181" w:rsidRPr="00177203">
        <w:rPr>
          <w:rFonts w:eastAsia="宋体" w:cs="Times New Roman"/>
          <w:color w:val="000000" w:themeColor="text1"/>
          <w:sz w:val="24"/>
          <w:szCs w:val="24"/>
          <w:vertAlign w:val="subscript"/>
        </w:rPr>
        <w:t>3</w:t>
      </w:r>
      <w:r w:rsidR="00350181" w:rsidRPr="00177203">
        <w:rPr>
          <w:rFonts w:eastAsia="宋体" w:cs="Times New Roman"/>
          <w:color w:val="000000" w:themeColor="text1"/>
          <w:sz w:val="24"/>
          <w:szCs w:val="24"/>
        </w:rPr>
        <w:t xml:space="preserve">-C, and </w:t>
      </w:r>
      <w:r w:rsidR="00E63B12" w:rsidRPr="00177203">
        <w:rPr>
          <w:rFonts w:eastAsia="宋体" w:cs="Times New Roman"/>
          <w:color w:val="000000" w:themeColor="text1"/>
          <w:sz w:val="24"/>
          <w:szCs w:val="24"/>
        </w:rPr>
        <w:t>Cu–N</w:t>
      </w:r>
      <w:r w:rsidR="00350181" w:rsidRPr="00177203">
        <w:rPr>
          <w:rFonts w:eastAsia="宋体" w:cs="Times New Roman"/>
          <w:color w:val="000000" w:themeColor="text1"/>
          <w:sz w:val="24"/>
          <w:szCs w:val="24"/>
          <w:vertAlign w:val="subscript"/>
        </w:rPr>
        <w:t>2</w:t>
      </w:r>
      <w:r w:rsidR="00350181" w:rsidRPr="00177203">
        <w:rPr>
          <w:rFonts w:eastAsia="宋体" w:cs="Times New Roman"/>
          <w:color w:val="000000" w:themeColor="text1"/>
          <w:sz w:val="24"/>
          <w:szCs w:val="24"/>
        </w:rPr>
        <w:t>-C</w:t>
      </w:r>
      <w:r w:rsidR="00350181" w:rsidRPr="00177203">
        <w:rPr>
          <w:rFonts w:eastAsia="宋体" w:cs="Times New Roman"/>
          <w:color w:val="000000" w:themeColor="text1"/>
          <w:sz w:val="24"/>
          <w:szCs w:val="24"/>
          <w:vertAlign w:val="subscript"/>
        </w:rPr>
        <w:t>2</w:t>
      </w:r>
      <w:r w:rsidR="00350181" w:rsidRPr="00177203">
        <w:rPr>
          <w:rFonts w:eastAsia="宋体" w:cs="Times New Roman"/>
          <w:color w:val="000000" w:themeColor="text1"/>
          <w:sz w:val="24"/>
          <w:szCs w:val="24"/>
        </w:rPr>
        <w:t xml:space="preserve"> sites. </w:t>
      </w:r>
      <w:r w:rsidR="00F80066" w:rsidRPr="00177203">
        <w:rPr>
          <w:rFonts w:eastAsia="宋体" w:cs="Times New Roman"/>
          <w:color w:val="000000" w:themeColor="text1"/>
          <w:sz w:val="24"/>
          <w:szCs w:val="24"/>
        </w:rPr>
        <w:t>(a) pathway I, (b) pathway II, (c) pathway III, and (d) integrated pathways</w:t>
      </w:r>
      <w:r w:rsidR="00350181" w:rsidRPr="00177203">
        <w:rPr>
          <w:rFonts w:eastAsia="宋体" w:cs="Times New Roman"/>
          <w:color w:val="000000" w:themeColor="text1"/>
          <w:sz w:val="24"/>
          <w:szCs w:val="24"/>
        </w:rPr>
        <w:t xml:space="preserve"> for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350181" w:rsidRPr="00177203">
        <w:rPr>
          <w:rFonts w:eastAsia="宋体" w:cs="Times New Roman"/>
          <w:color w:val="000000" w:themeColor="text1"/>
          <w:sz w:val="24"/>
          <w:szCs w:val="24"/>
        </w:rPr>
        <w:t>RR on the active sites. The elementary reactions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350181" w:rsidRPr="00177203">
        <w:rPr>
          <w:rFonts w:eastAsia="宋体" w:cs="Times New Roman"/>
          <w:color w:val="000000" w:themeColor="text1"/>
          <w:sz w:val="24"/>
          <w:szCs w:val="24"/>
          <w:vertAlign w:val="superscript"/>
        </w:rPr>
        <w:t>–</w:t>
      </w:r>
      <w:r w:rsidR="00350181" w:rsidRPr="00177203">
        <w:rPr>
          <w:rFonts w:eastAsia="宋体" w:cs="Times New Roman"/>
          <w:color w:val="000000" w:themeColor="text1"/>
          <w:sz w:val="24"/>
          <w:szCs w:val="24"/>
        </w:rPr>
        <w:t xml:space="preserve"> reduction on different catalysts surfaces in neutral solution were simulated according to the following reactions:</w:t>
      </w:r>
    </w:p>
    <w:p w14:paraId="7E9A33C2" w14:textId="21D92D9F" w:rsidR="00350181" w:rsidRPr="00177203" w:rsidRDefault="00000000" w:rsidP="00350181">
      <w:pPr>
        <w:spacing w:afterLines="50" w:after="156"/>
        <w:jc w:val="right"/>
        <w:rPr>
          <w:rFonts w:eastAsia="宋体" w:cs="Times New Roman"/>
          <w:color w:val="000000" w:themeColor="text1"/>
          <w:sz w:val="24"/>
          <w:szCs w:val="24"/>
          <w:vertAlign w:val="superscript"/>
        </w:rPr>
      </w:pPr>
      <m:oMathPara>
        <m:oMath>
          <m:eqArr>
            <m:eqArrPr>
              <m:maxDist m:val="1"/>
              <m:ctrlPr>
                <w:rPr>
                  <w:rFonts w:ascii="Cambria Math" w:eastAsia="宋体" w:hAnsi="Cambria Math" w:cs="Times New Roman"/>
                  <w:i/>
                  <w:color w:val="000000" w:themeColor="text1"/>
                  <w:sz w:val="24"/>
                  <w:szCs w:val="24"/>
                  <w:vertAlign w:val="superscript"/>
                </w:rPr>
              </m:ctrlPr>
            </m:eqArrPr>
            <m:e>
              <m:r>
                <w:rPr>
                  <w:rFonts w:ascii="Cambria Math" w:eastAsia="宋体" w:hAnsi="Cambria Math" w:cs="Times New Roman"/>
                  <w:color w:val="000000" w:themeColor="text1"/>
                  <w:sz w:val="24"/>
                  <w:szCs w:val="24"/>
                  <w:vertAlign w:val="superscript"/>
                </w:rPr>
                <m:t>* + N</m:t>
              </m:r>
              <m:sSubSup>
                <m:sSubSupPr>
                  <m:ctrlPr>
                    <w:rPr>
                      <w:rFonts w:ascii="Cambria Math" w:eastAsia="宋体" w:hAnsi="Cambria Math" w:cs="Times New Roman"/>
                      <w:i/>
                      <w:color w:val="000000" w:themeColor="text1"/>
                      <w:sz w:val="24"/>
                      <w:szCs w:val="24"/>
                      <w:vertAlign w:val="superscript"/>
                    </w:rPr>
                  </m:ctrlPr>
                </m:sSubSupPr>
                <m:e>
                  <m:r>
                    <w:rPr>
                      <w:rFonts w:ascii="Cambria Math" w:eastAsia="宋体" w:hAnsi="Cambria Math" w:cs="Times New Roman"/>
                      <w:color w:val="000000" w:themeColor="text1"/>
                      <w:sz w:val="24"/>
                      <w:szCs w:val="24"/>
                      <w:vertAlign w:val="superscript"/>
                    </w:rPr>
                    <m:t>O</m:t>
                  </m:r>
                </m:e>
                <m:sub>
                  <m:r>
                    <w:rPr>
                      <w:rFonts w:ascii="Cambria Math" w:eastAsia="宋体" w:hAnsi="Cambria Math" w:cs="Times New Roman"/>
                      <w:color w:val="000000" w:themeColor="text1"/>
                      <w:sz w:val="24"/>
                      <w:szCs w:val="24"/>
                      <w:vertAlign w:val="superscript"/>
                    </w:rPr>
                    <m:t>3</m:t>
                  </m:r>
                </m:sub>
                <m:sup>
                  <m:r>
                    <w:rPr>
                      <w:rFonts w:ascii="Cambria Math" w:eastAsia="宋体" w:hAnsi="Cambria Math" w:cs="Times New Roman"/>
                      <w:color w:val="000000" w:themeColor="text1"/>
                      <w:sz w:val="24"/>
                      <w:szCs w:val="24"/>
                      <w:vertAlign w:val="superscript"/>
                    </w:rPr>
                    <m:t>-</m:t>
                  </m:r>
                </m:sup>
              </m:sSubSup>
              <m:r>
                <w:rPr>
                  <w:rFonts w:ascii="Cambria Math" w:eastAsia="宋体" w:hAnsi="Cambria Math" w:cs="Times New Roman"/>
                  <w:color w:val="000000" w:themeColor="text1"/>
                  <w:sz w:val="24"/>
                  <w:szCs w:val="24"/>
                  <w:vertAlign w:val="superscript"/>
                </w:rPr>
                <m:t>→ *N</m:t>
              </m:r>
              <m:sSubSup>
                <m:sSubSupPr>
                  <m:ctrlPr>
                    <w:rPr>
                      <w:rFonts w:ascii="Cambria Math" w:eastAsia="宋体" w:hAnsi="Cambria Math" w:cs="Times New Roman"/>
                      <w:i/>
                      <w:color w:val="000000" w:themeColor="text1"/>
                      <w:sz w:val="24"/>
                      <w:szCs w:val="24"/>
                      <w:vertAlign w:val="superscript"/>
                    </w:rPr>
                  </m:ctrlPr>
                </m:sSubSupPr>
                <m:e>
                  <m:r>
                    <w:rPr>
                      <w:rFonts w:ascii="Cambria Math" w:eastAsia="宋体" w:hAnsi="Cambria Math" w:cs="Times New Roman"/>
                      <w:color w:val="000000" w:themeColor="text1"/>
                      <w:sz w:val="24"/>
                      <w:szCs w:val="24"/>
                      <w:vertAlign w:val="superscript"/>
                    </w:rPr>
                    <m:t>O</m:t>
                  </m:r>
                </m:e>
                <m:sub>
                  <m:r>
                    <w:rPr>
                      <w:rFonts w:ascii="Cambria Math" w:eastAsia="宋体" w:hAnsi="Cambria Math" w:cs="Times New Roman"/>
                      <w:color w:val="000000" w:themeColor="text1"/>
                      <w:sz w:val="24"/>
                      <w:szCs w:val="24"/>
                      <w:vertAlign w:val="superscript"/>
                    </w:rPr>
                    <m:t>3</m:t>
                  </m:r>
                </m:sub>
                <m:sup>
                  <m:r>
                    <w:rPr>
                      <w:rFonts w:ascii="Cambria Math" w:eastAsia="宋体" w:hAnsi="Cambria Math" w:cs="Times New Roman"/>
                      <w:color w:val="000000" w:themeColor="text1"/>
                      <w:sz w:val="24"/>
                      <w:szCs w:val="24"/>
                      <w:vertAlign w:val="superscript"/>
                    </w:rPr>
                    <m:t>-</m:t>
                  </m:r>
                </m:sup>
              </m:sSubSup>
              <m:r>
                <w:rPr>
                  <w:rFonts w:ascii="Cambria Math" w:eastAsia="宋体" w:hAnsi="Cambria Math" w:cs="Times New Roman"/>
                  <w:color w:val="000000" w:themeColor="text1"/>
                  <w:sz w:val="24"/>
                  <w:szCs w:val="24"/>
                  <w:vertAlign w:val="superscript"/>
                </w:rPr>
                <m:t>#(15)</m:t>
              </m:r>
            </m:e>
          </m:eqArr>
        </m:oMath>
      </m:oMathPara>
    </w:p>
    <w:p w14:paraId="7CC09195" w14:textId="728CF475"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宋体"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H#(16)</m:t>
              </m:r>
            </m:e>
          </m:eqArr>
        </m:oMath>
      </m:oMathPara>
    </w:p>
    <w:p w14:paraId="029E07EE" w14:textId="53CEDE0D"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 xml:space="preserve">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O#(17)</m:t>
              </m:r>
            </m:e>
          </m:eqArr>
        </m:oMath>
      </m:oMathPara>
    </w:p>
    <w:p w14:paraId="03A2E040" w14:textId="2423EDC3" w:rsidR="00350181" w:rsidRPr="00177203" w:rsidRDefault="00000000" w:rsidP="00350181">
      <w:pPr>
        <w:spacing w:afterLines="50" w:after="156"/>
        <w:jc w:val="right"/>
        <w:rPr>
          <w:rFonts w:eastAsia="宋体" w:cs="Times New Roman"/>
          <w:color w:val="000000" w:themeColor="text1"/>
          <w:sz w:val="24"/>
          <w:szCs w:val="24"/>
          <w:lang w:val="pt-BR"/>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lang w:val="pt-BR"/>
                    </w:rPr>
                    <m:t>2</m:t>
                  </m:r>
                </m:sub>
              </m:sSub>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lang w:val="pt-BR"/>
                    </w:rPr>
                    <m:t>2</m:t>
                  </m:r>
                </m:sub>
              </m:sSub>
              <m:r>
                <w:rPr>
                  <w:rFonts w:ascii="Cambria Math" w:eastAsia="宋体" w:hAnsi="Cambria Math" w:cs="Times New Roman"/>
                  <w:color w:val="000000" w:themeColor="text1"/>
                  <w:sz w:val="24"/>
                  <w:szCs w:val="24"/>
                </w:rPr>
                <m:t>H</m:t>
              </m:r>
              <m:r>
                <w:rPr>
                  <w:rFonts w:ascii="Cambria Math" w:eastAsia="宋体" w:hAnsi="Cambria Math" w:cs="Times New Roman"/>
                  <w:color w:val="000000" w:themeColor="text1"/>
                  <w:sz w:val="24"/>
                  <w:szCs w:val="24"/>
                  <w:lang w:val="pt-BR"/>
                </w:rPr>
                <m:t>#(18)</m:t>
              </m:r>
              <m:ctrlPr>
                <w:rPr>
                  <w:rFonts w:ascii="Cambria Math" w:eastAsia="宋体" w:hAnsi="Cambria Math" w:cs="Times New Roman"/>
                  <w:i/>
                  <w:color w:val="000000" w:themeColor="text1"/>
                  <w:sz w:val="24"/>
                  <w:szCs w:val="24"/>
                  <w:lang w:val="pt-BR"/>
                </w:rPr>
              </m:ctrlPr>
            </m:e>
          </m:eqArr>
        </m:oMath>
      </m:oMathPara>
    </w:p>
    <w:p w14:paraId="1A819FDE" w14:textId="5D5602AE" w:rsidR="00350181" w:rsidRPr="00177203" w:rsidRDefault="00000000" w:rsidP="00350181">
      <w:pPr>
        <w:spacing w:afterLines="50" w:after="156"/>
        <w:jc w:val="right"/>
        <w:rPr>
          <w:rFonts w:eastAsia="宋体" w:cs="Times New Roman"/>
          <w:color w:val="000000" w:themeColor="text1"/>
          <w:sz w:val="24"/>
          <w:szCs w:val="24"/>
          <w:lang w:val="pt-BR"/>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lang w:val="pt-BR"/>
                    </w:rPr>
                    <m:t>2</m:t>
                  </m:r>
                </m:sub>
              </m:sSub>
              <m:r>
                <w:rPr>
                  <w:rFonts w:ascii="Cambria Math" w:eastAsia="宋体" w:hAnsi="Cambria Math" w:cs="Times New Roman"/>
                  <w:color w:val="000000" w:themeColor="text1"/>
                  <w:sz w:val="24"/>
                  <w:szCs w:val="24"/>
                  <w:lang w:val="pt-BR"/>
                </w:rPr>
                <m:t xml:space="preserve">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m:t>
              </m:r>
              <m:r>
                <w:rPr>
                  <w:rFonts w:ascii="Cambria Math" w:eastAsia="宋体" w:hAnsi="Cambria Math" w:cs="Times New Roman"/>
                  <w:color w:val="000000" w:themeColor="text1"/>
                  <w:sz w:val="24"/>
                  <w:szCs w:val="24"/>
                </w:rPr>
                <m:t>NO</m:t>
              </m:r>
              <m:r>
                <w:rPr>
                  <w:rFonts w:ascii="Cambria Math" w:eastAsia="宋体" w:hAnsi="Cambria Math" w:cs="Times New Roman"/>
                  <w:color w:val="000000" w:themeColor="text1"/>
                  <w:sz w:val="24"/>
                  <w:szCs w:val="24"/>
                  <w:lang w:val="pt-BR"/>
                </w:rPr>
                <m:t xml:space="preserve">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lang w:val="pt-BR"/>
                    </w:rPr>
                    <m:t>2</m:t>
                  </m:r>
                </m:sub>
              </m:sSub>
              <m:r>
                <w:rPr>
                  <w:rFonts w:ascii="Cambria Math" w:eastAsia="宋体" w:hAnsi="Cambria Math" w:cs="Times New Roman"/>
                  <w:color w:val="000000" w:themeColor="text1"/>
                  <w:sz w:val="24"/>
                  <w:szCs w:val="24"/>
                </w:rPr>
                <m:t>O</m:t>
              </m:r>
              <m:r>
                <w:rPr>
                  <w:rFonts w:ascii="Cambria Math" w:eastAsia="宋体" w:hAnsi="Cambria Math" w:cs="Times New Roman"/>
                  <w:color w:val="000000" w:themeColor="text1"/>
                  <w:sz w:val="24"/>
                  <w:szCs w:val="24"/>
                  <w:lang w:val="pt-BR"/>
                </w:rPr>
                <m:t>#(19)</m:t>
              </m:r>
              <m:ctrlPr>
                <w:rPr>
                  <w:rFonts w:ascii="Cambria Math" w:eastAsia="宋体" w:hAnsi="Cambria Math" w:cs="Times New Roman"/>
                  <w:i/>
                  <w:color w:val="000000" w:themeColor="text1"/>
                  <w:sz w:val="24"/>
                  <w:szCs w:val="24"/>
                  <w:lang w:val="pt-BR"/>
                </w:rPr>
              </m:ctrlPr>
            </m:e>
          </m:eqArr>
        </m:oMath>
      </m:oMathPara>
    </w:p>
    <w:p w14:paraId="79DEBCFC" w14:textId="77777777" w:rsidR="00350181" w:rsidRPr="00177203" w:rsidRDefault="00350181" w:rsidP="00350181">
      <w:pPr>
        <w:spacing w:afterLines="50" w:after="156"/>
        <w:ind w:right="120"/>
        <w:rPr>
          <w:rFonts w:eastAsia="宋体" w:cs="Times New Roman"/>
          <w:color w:val="000000" w:themeColor="text1"/>
          <w:sz w:val="24"/>
          <w:szCs w:val="24"/>
          <w:lang w:val="pt-BR"/>
        </w:rPr>
      </w:pPr>
      <w:r w:rsidRPr="00177203">
        <w:rPr>
          <w:rFonts w:eastAsia="宋体" w:cs="Times New Roman"/>
          <w:color w:val="000000" w:themeColor="text1"/>
          <w:sz w:val="24"/>
          <w:szCs w:val="24"/>
          <w:lang w:val="pt-BR"/>
        </w:rPr>
        <w:t xml:space="preserve">Pathway I: </w:t>
      </w:r>
    </w:p>
    <w:p w14:paraId="71050D16" w14:textId="2DCA1923"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*NO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*NOH#(20)</m:t>
              </m:r>
            </m:e>
          </m:eqArr>
        </m:oMath>
      </m:oMathPara>
    </w:p>
    <w:p w14:paraId="69D3FF0C" w14:textId="45DF3D94"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*NOH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*N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O#(21)</m:t>
              </m:r>
            </m:e>
          </m:eqArr>
        </m:oMath>
      </m:oMathPara>
    </w:p>
    <w:p w14:paraId="04EC6B85" w14:textId="70F5DE7E"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*N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*NH#(22)</m:t>
              </m:r>
            </m:e>
          </m:eqArr>
        </m:oMath>
      </m:oMathPara>
    </w:p>
    <w:p w14:paraId="7CE57FF7" w14:textId="6CD079EB" w:rsidR="00350181" w:rsidRPr="00177203" w:rsidRDefault="00000000" w:rsidP="00350181">
      <w:pPr>
        <w:spacing w:afterLines="50" w:after="156"/>
        <w:jc w:val="right"/>
        <w:rPr>
          <w:rFonts w:eastAsia="宋体" w:cs="Times New Roman"/>
          <w:color w:val="000000" w:themeColor="text1"/>
          <w:sz w:val="24"/>
          <w:szCs w:val="24"/>
          <w:vertAlign w:val="subscript"/>
        </w:rPr>
      </w:pPr>
      <m:oMathPara>
        <m:oMath>
          <m:eqArr>
            <m:eqArrPr>
              <m:maxDist m:val="1"/>
              <m:ctrlPr>
                <w:rPr>
                  <w:rFonts w:ascii="Cambria Math" w:eastAsia="宋体" w:hAnsi="Cambria Math" w:cs="Times New Roman"/>
                  <w:i/>
                  <w:color w:val="000000" w:themeColor="text1"/>
                  <w:sz w:val="24"/>
                  <w:szCs w:val="24"/>
                  <w:vertAlign w:val="subscript"/>
                </w:rPr>
              </m:ctrlPr>
            </m:eqArrPr>
            <m:e>
              <m:r>
                <w:rPr>
                  <w:rFonts w:ascii="Cambria Math" w:eastAsia="宋体" w:hAnsi="Cambria Math" w:cs="Times New Roman"/>
                  <w:color w:val="000000" w:themeColor="text1"/>
                  <w:sz w:val="24"/>
                  <w:szCs w:val="24"/>
                  <w:vertAlign w:val="subscript"/>
                </w:rPr>
                <m:t xml:space="preserve">*NH +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H</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xml:space="preserve">+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e</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*N</m:t>
              </m:r>
              <m:sSub>
                <m:sSubPr>
                  <m:ctrlPr>
                    <w:rPr>
                      <w:rFonts w:ascii="Cambria Math" w:eastAsia="宋体" w:hAnsi="Cambria Math" w:cs="Times New Roman"/>
                      <w:i/>
                      <w:color w:val="000000" w:themeColor="text1"/>
                      <w:sz w:val="24"/>
                      <w:szCs w:val="24"/>
                      <w:vertAlign w:val="subscript"/>
                    </w:rPr>
                  </m:ctrlPr>
                </m:sSubPr>
                <m:e>
                  <m:r>
                    <w:rPr>
                      <w:rFonts w:ascii="Cambria Math" w:eastAsia="宋体" w:hAnsi="Cambria Math" w:cs="Times New Roman"/>
                      <w:color w:val="000000" w:themeColor="text1"/>
                      <w:sz w:val="24"/>
                      <w:szCs w:val="24"/>
                      <w:vertAlign w:val="subscript"/>
                    </w:rPr>
                    <m:t>H</m:t>
                  </m:r>
                </m:e>
                <m:sub>
                  <m:r>
                    <w:rPr>
                      <w:rFonts w:ascii="Cambria Math" w:eastAsia="宋体" w:hAnsi="Cambria Math" w:cs="Times New Roman"/>
                      <w:color w:val="000000" w:themeColor="text1"/>
                      <w:sz w:val="24"/>
                      <w:szCs w:val="24"/>
                      <w:vertAlign w:val="subscript"/>
                    </w:rPr>
                    <m:t>2</m:t>
                  </m:r>
                </m:sub>
              </m:sSub>
              <m:r>
                <w:rPr>
                  <w:rFonts w:ascii="Cambria Math" w:eastAsia="宋体" w:hAnsi="Cambria Math" w:cs="Times New Roman"/>
                  <w:color w:val="000000" w:themeColor="text1"/>
                  <w:sz w:val="24"/>
                  <w:szCs w:val="24"/>
                  <w:vertAlign w:val="subscript"/>
                </w:rPr>
                <m:t>#(23)</m:t>
              </m:r>
            </m:e>
          </m:eqArr>
        </m:oMath>
      </m:oMathPara>
    </w:p>
    <w:p w14:paraId="0B6B1ED8" w14:textId="77777777" w:rsidR="00350181" w:rsidRPr="00177203" w:rsidRDefault="00350181" w:rsidP="00350181">
      <w:pPr>
        <w:spacing w:afterLines="50" w:after="156"/>
        <w:ind w:right="120"/>
        <w:rPr>
          <w:rFonts w:eastAsia="宋体" w:cs="Times New Roman"/>
          <w:color w:val="000000" w:themeColor="text1"/>
          <w:sz w:val="24"/>
          <w:szCs w:val="24"/>
          <w:lang w:val="pt-BR"/>
        </w:rPr>
      </w:pPr>
      <w:r w:rsidRPr="00177203">
        <w:rPr>
          <w:rFonts w:eastAsia="宋体" w:cs="Times New Roman"/>
          <w:color w:val="000000" w:themeColor="text1"/>
          <w:sz w:val="24"/>
          <w:szCs w:val="24"/>
          <w:lang w:val="pt-BR"/>
        </w:rPr>
        <w:t xml:space="preserve">Pathway II: </w:t>
      </w:r>
    </w:p>
    <w:p w14:paraId="278AFE8A" w14:textId="2B457F0F" w:rsidR="00350181" w:rsidRPr="00177203" w:rsidRDefault="00000000" w:rsidP="00350181">
      <w:pPr>
        <w:spacing w:afterLines="50" w:after="156"/>
        <w:jc w:val="right"/>
        <w:rPr>
          <w:rFonts w:eastAsia="宋体" w:cs="Times New Roman"/>
          <w:color w:val="000000" w:themeColor="text1"/>
          <w:sz w:val="24"/>
          <w:szCs w:val="24"/>
          <w:lang w:val="pt-BR"/>
        </w:rPr>
      </w:pPr>
      <m:oMathPara>
        <m:oMathParaPr>
          <m:jc m:val="center"/>
        </m:oMathParaPr>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NO</m:t>
              </m:r>
              <m:r>
                <w:rPr>
                  <w:rFonts w:ascii="Cambria Math" w:eastAsia="宋体" w:hAnsi="Cambria Math" w:cs="Times New Roman"/>
                  <w:color w:val="000000" w:themeColor="text1"/>
                  <w:sz w:val="24"/>
                  <w:szCs w:val="24"/>
                  <w:lang w:val="pt-BR"/>
                </w:rPr>
                <m:t xml:space="preserve">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m:t>
              </m:r>
              <m:r>
                <w:rPr>
                  <w:rFonts w:ascii="Cambria Math" w:eastAsia="宋体" w:hAnsi="Cambria Math" w:cs="Times New Roman"/>
                  <w:color w:val="000000" w:themeColor="text1"/>
                  <w:sz w:val="24"/>
                  <w:szCs w:val="24"/>
                </w:rPr>
                <m:t>NHO</m:t>
              </m:r>
              <m:r>
                <w:rPr>
                  <w:rFonts w:ascii="Cambria Math" w:eastAsia="宋体" w:hAnsi="Cambria Math" w:cs="Times New Roman"/>
                  <w:color w:val="000000" w:themeColor="text1"/>
                  <w:sz w:val="24"/>
                  <w:szCs w:val="24"/>
                  <w:lang w:val="pt-BR"/>
                </w:rPr>
                <m:t>#(24)</m:t>
              </m:r>
              <m:ctrlPr>
                <w:rPr>
                  <w:rFonts w:ascii="Cambria Math" w:eastAsia="宋体" w:hAnsi="Cambria Math" w:cs="Times New Roman"/>
                  <w:i/>
                  <w:color w:val="000000" w:themeColor="text1"/>
                  <w:sz w:val="24"/>
                  <w:szCs w:val="24"/>
                  <w:lang w:val="pt-BR"/>
                </w:rPr>
              </m:ctrlPr>
            </m:e>
          </m:eqArr>
        </m:oMath>
      </m:oMathPara>
    </w:p>
    <w:p w14:paraId="1A53C535" w14:textId="77EDEB3D" w:rsidR="00350181" w:rsidRPr="00177203" w:rsidRDefault="00000000" w:rsidP="00350181">
      <w:pPr>
        <w:spacing w:afterLines="50" w:after="156"/>
        <w:jc w:val="right"/>
        <w:rPr>
          <w:rFonts w:eastAsia="宋体" w:cs="Times New Roman"/>
          <w:color w:val="000000" w:themeColor="text1"/>
          <w:sz w:val="24"/>
          <w:szCs w:val="24"/>
          <w:lang w:val="pt-BR"/>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MS Gothic"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NHO</m:t>
              </m:r>
              <m:r>
                <w:rPr>
                  <w:rFonts w:ascii="Cambria Math" w:eastAsia="宋体" w:hAnsi="Cambria Math" w:cs="Times New Roman"/>
                  <w:color w:val="000000" w:themeColor="text1"/>
                  <w:sz w:val="24"/>
                  <w:szCs w:val="24"/>
                  <w:lang w:val="pt-BR"/>
                </w:rPr>
                <m:t xml:space="preserve">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r>
                <w:rPr>
                  <w:rFonts w:ascii="Cambria Math" w:eastAsia="MS Gothic"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NHOH</m:t>
              </m:r>
              <m:r>
                <w:rPr>
                  <w:rFonts w:ascii="Cambria Math" w:eastAsia="宋体" w:hAnsi="Cambria Math" w:cs="Times New Roman"/>
                  <w:color w:val="000000" w:themeColor="text1"/>
                  <w:sz w:val="24"/>
                  <w:szCs w:val="24"/>
                  <w:lang w:val="pt-BR"/>
                </w:rPr>
                <m:t>#(25)</m:t>
              </m:r>
              <m:ctrlPr>
                <w:rPr>
                  <w:rFonts w:ascii="Cambria Math" w:eastAsia="宋体" w:hAnsi="Cambria Math" w:cs="Times New Roman"/>
                  <w:i/>
                  <w:color w:val="000000" w:themeColor="text1"/>
                  <w:sz w:val="24"/>
                  <w:szCs w:val="24"/>
                  <w:lang w:val="pt-BR"/>
                </w:rPr>
              </m:ctrlPr>
            </m:e>
          </m:eqArr>
        </m:oMath>
      </m:oMathPara>
    </w:p>
    <w:p w14:paraId="1AC14A43" w14:textId="45FA2F07" w:rsidR="00350181" w:rsidRPr="00177203" w:rsidRDefault="00000000" w:rsidP="00350181">
      <w:pPr>
        <w:spacing w:afterLines="50" w:after="156"/>
        <w:jc w:val="right"/>
        <w:rPr>
          <w:rFonts w:eastAsia="宋体" w:cs="Times New Roman"/>
          <w:color w:val="000000" w:themeColor="text1"/>
          <w:sz w:val="24"/>
          <w:szCs w:val="24"/>
          <w:lang w:val="pt-BR"/>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lang w:val="pt-BR"/>
                </w:rPr>
                <m:t>*</m:t>
              </m:r>
              <m:r>
                <w:rPr>
                  <w:rFonts w:ascii="Cambria Math" w:eastAsia="宋体" w:hAnsi="Cambria Math" w:cs="Times New Roman"/>
                  <w:color w:val="000000" w:themeColor="text1"/>
                  <w:sz w:val="24"/>
                  <w:szCs w:val="24"/>
                </w:rPr>
                <m:t>NHOH</m:t>
              </m:r>
              <m:r>
                <w:rPr>
                  <w:rFonts w:ascii="Cambria Math" w:eastAsia="宋体" w:hAnsi="Cambria Math" w:cs="Times New Roman"/>
                  <w:color w:val="000000" w:themeColor="text1"/>
                  <w:sz w:val="24"/>
                  <w:szCs w:val="24"/>
                  <w:lang w:val="pt-BR"/>
                </w:rPr>
                <m:t xml:space="preserve">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lang w:val="pt-BR"/>
                    </w:rPr>
                    <m:t>-</m:t>
                  </m:r>
                </m:sup>
              </m:sSup>
              <m:r>
                <w:rPr>
                  <w:rFonts w:ascii="Cambria Math" w:eastAsia="宋体" w:hAnsi="Cambria Math" w:cs="Times New Roman"/>
                  <w:color w:val="000000" w:themeColor="text1"/>
                  <w:sz w:val="24"/>
                  <w:szCs w:val="24"/>
                  <w:lang w:val="pt-BR"/>
                </w:rPr>
                <m:t>→ *</m:t>
              </m:r>
              <m:r>
                <w:rPr>
                  <w:rFonts w:ascii="Cambria Math" w:eastAsia="宋体" w:hAnsi="Cambria Math" w:cs="Times New Roman"/>
                  <w:color w:val="000000" w:themeColor="text1"/>
                  <w:sz w:val="24"/>
                  <w:szCs w:val="24"/>
                </w:rPr>
                <m:t>NH</m:t>
              </m:r>
              <m:r>
                <w:rPr>
                  <w:rFonts w:ascii="Cambria Math" w:eastAsia="宋体" w:hAnsi="Cambria Math" w:cs="Times New Roman"/>
                  <w:color w:val="000000" w:themeColor="text1"/>
                  <w:sz w:val="24"/>
                  <w:szCs w:val="24"/>
                  <w:lang w:val="pt-BR"/>
                </w:rPr>
                <m:t xml:space="preserve">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lang w:val="pt-BR"/>
                    </w:rPr>
                    <m:t>2</m:t>
                  </m:r>
                </m:sub>
              </m:sSub>
              <m:r>
                <w:rPr>
                  <w:rFonts w:ascii="Cambria Math" w:eastAsia="宋体" w:hAnsi="Cambria Math" w:cs="Times New Roman"/>
                  <w:color w:val="000000" w:themeColor="text1"/>
                  <w:sz w:val="24"/>
                  <w:szCs w:val="24"/>
                </w:rPr>
                <m:t>O</m:t>
              </m:r>
              <m:r>
                <w:rPr>
                  <w:rFonts w:ascii="Cambria Math" w:eastAsia="宋体" w:hAnsi="Cambria Math" w:cs="Times New Roman"/>
                  <w:color w:val="000000" w:themeColor="text1"/>
                  <w:sz w:val="24"/>
                  <w:szCs w:val="24"/>
                  <w:lang w:val="pt-BR"/>
                </w:rPr>
                <m:t>#(26)</m:t>
              </m:r>
              <m:ctrlPr>
                <w:rPr>
                  <w:rFonts w:ascii="Cambria Math" w:eastAsia="宋体" w:hAnsi="Cambria Math" w:cs="Times New Roman"/>
                  <w:i/>
                  <w:color w:val="000000" w:themeColor="text1"/>
                  <w:sz w:val="24"/>
                  <w:szCs w:val="24"/>
                  <w:lang w:val="pt-BR"/>
                </w:rPr>
              </m:ctrlPr>
            </m:e>
          </m:eqArr>
        </m:oMath>
      </m:oMathPara>
    </w:p>
    <w:p w14:paraId="044AB52D" w14:textId="77777777" w:rsidR="00350181" w:rsidRPr="00177203" w:rsidRDefault="00350181" w:rsidP="00350181">
      <w:pPr>
        <w:spacing w:afterLines="50" w:after="156"/>
        <w:ind w:right="120"/>
        <w:rPr>
          <w:rFonts w:eastAsia="宋体" w:cs="Times New Roman"/>
          <w:color w:val="000000" w:themeColor="text1"/>
          <w:sz w:val="24"/>
          <w:szCs w:val="24"/>
          <w:lang w:val="pt-BR"/>
        </w:rPr>
      </w:pPr>
      <w:r w:rsidRPr="00177203">
        <w:rPr>
          <w:rFonts w:eastAsia="宋体" w:cs="Times New Roman"/>
          <w:color w:val="000000" w:themeColor="text1"/>
          <w:sz w:val="24"/>
          <w:szCs w:val="24"/>
          <w:lang w:val="pt-BR"/>
        </w:rPr>
        <w:t xml:space="preserve">Pathway III: </w:t>
      </w:r>
    </w:p>
    <w:p w14:paraId="411521BD" w14:textId="057CE98F" w:rsidR="00350181" w:rsidRPr="00177203" w:rsidRDefault="00000000" w:rsidP="00350181">
      <w:pPr>
        <w:spacing w:afterLines="50" w:after="156"/>
        <w:jc w:val="right"/>
        <w:rPr>
          <w:rFonts w:eastAsia="宋体" w:cs="Times New Roman"/>
          <w:color w:val="000000" w:themeColor="text1"/>
          <w:sz w:val="24"/>
          <w:szCs w:val="24"/>
          <w:vertAlign w:val="subscript"/>
        </w:rPr>
      </w:pPr>
      <m:oMathPara>
        <m:oMath>
          <m:eqArr>
            <m:eqArrPr>
              <m:maxDist m:val="1"/>
              <m:ctrlPr>
                <w:rPr>
                  <w:rFonts w:ascii="Cambria Math" w:eastAsia="宋体" w:hAnsi="Cambria Math" w:cs="Times New Roman"/>
                  <w:i/>
                  <w:color w:val="000000" w:themeColor="text1"/>
                  <w:sz w:val="24"/>
                  <w:szCs w:val="24"/>
                  <w:vertAlign w:val="subscript"/>
                </w:rPr>
              </m:ctrlPr>
            </m:eqArrPr>
            <m:e>
              <m:r>
                <w:rPr>
                  <w:rFonts w:ascii="Cambria Math" w:eastAsia="宋体" w:hAnsi="Cambria Math" w:cs="Times New Roman"/>
                  <w:color w:val="000000" w:themeColor="text1"/>
                  <w:sz w:val="24"/>
                  <w:szCs w:val="24"/>
                  <w:vertAlign w:val="subscript"/>
                </w:rPr>
                <m:t xml:space="preserve">*NHO +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H</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xml:space="preserve">+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e</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*N</m:t>
              </m:r>
              <m:sSub>
                <m:sSubPr>
                  <m:ctrlPr>
                    <w:rPr>
                      <w:rFonts w:ascii="Cambria Math" w:eastAsia="宋体" w:hAnsi="Cambria Math" w:cs="Times New Roman"/>
                      <w:i/>
                      <w:color w:val="000000" w:themeColor="text1"/>
                      <w:sz w:val="24"/>
                      <w:szCs w:val="24"/>
                      <w:vertAlign w:val="subscript"/>
                    </w:rPr>
                  </m:ctrlPr>
                </m:sSubPr>
                <m:e>
                  <m:r>
                    <w:rPr>
                      <w:rFonts w:ascii="Cambria Math" w:eastAsia="宋体" w:hAnsi="Cambria Math" w:cs="Times New Roman"/>
                      <w:color w:val="000000" w:themeColor="text1"/>
                      <w:sz w:val="24"/>
                      <w:szCs w:val="24"/>
                      <w:vertAlign w:val="subscript"/>
                    </w:rPr>
                    <m:t>H</m:t>
                  </m:r>
                </m:e>
                <m:sub>
                  <m:r>
                    <w:rPr>
                      <w:rFonts w:ascii="Cambria Math" w:eastAsia="宋体" w:hAnsi="Cambria Math" w:cs="Times New Roman"/>
                      <w:color w:val="000000" w:themeColor="text1"/>
                      <w:sz w:val="24"/>
                      <w:szCs w:val="24"/>
                      <w:vertAlign w:val="subscript"/>
                    </w:rPr>
                    <m:t>2</m:t>
                  </m:r>
                </m:sub>
              </m:sSub>
              <m:r>
                <w:rPr>
                  <w:rFonts w:ascii="Cambria Math" w:eastAsia="宋体" w:hAnsi="Cambria Math" w:cs="Times New Roman"/>
                  <w:color w:val="000000" w:themeColor="text1"/>
                  <w:sz w:val="24"/>
                  <w:szCs w:val="24"/>
                  <w:vertAlign w:val="subscript"/>
                </w:rPr>
                <m:t>O#(27)</m:t>
              </m:r>
            </m:e>
          </m:eqArr>
        </m:oMath>
      </m:oMathPara>
    </w:p>
    <w:p w14:paraId="62BC37CF" w14:textId="4C1885C5"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O+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OH#(28)</m:t>
              </m:r>
            </m:e>
          </m:eqArr>
        </m:oMath>
      </m:oMathPara>
    </w:p>
    <w:p w14:paraId="69B5EC78" w14:textId="39A8A674"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OH+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O#(29)</m:t>
              </m:r>
            </m:e>
          </m:eqArr>
        </m:oMath>
      </m:oMathPara>
    </w:p>
    <w:p w14:paraId="033DA37F" w14:textId="388E8207" w:rsidR="00350181" w:rsidRPr="00177203" w:rsidRDefault="00350181" w:rsidP="00350181">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Desorption:</w:t>
      </w:r>
    </w:p>
    <w:p w14:paraId="0053F8CB" w14:textId="36BC7F68"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vertAlign w:val="subscript"/>
                </w:rPr>
                <m:t>*N</m:t>
              </m:r>
              <m:sSub>
                <m:sSubPr>
                  <m:ctrlPr>
                    <w:rPr>
                      <w:rFonts w:ascii="Cambria Math" w:eastAsia="宋体" w:hAnsi="Cambria Math" w:cs="Times New Roman"/>
                      <w:i/>
                      <w:color w:val="000000" w:themeColor="text1"/>
                      <w:sz w:val="24"/>
                      <w:szCs w:val="24"/>
                      <w:vertAlign w:val="subscript"/>
                    </w:rPr>
                  </m:ctrlPr>
                </m:sSubPr>
                <m:e>
                  <m:r>
                    <w:rPr>
                      <w:rFonts w:ascii="Cambria Math" w:eastAsia="宋体" w:hAnsi="Cambria Math" w:cs="Times New Roman"/>
                      <w:color w:val="000000" w:themeColor="text1"/>
                      <w:sz w:val="24"/>
                      <w:szCs w:val="24"/>
                      <w:vertAlign w:val="subscript"/>
                    </w:rPr>
                    <m:t>H</m:t>
                  </m:r>
                </m:e>
                <m:sub>
                  <m:r>
                    <w:rPr>
                      <w:rFonts w:ascii="Cambria Math" w:eastAsia="宋体" w:hAnsi="Cambria Math" w:cs="Times New Roman"/>
                      <w:color w:val="000000" w:themeColor="text1"/>
                      <w:sz w:val="24"/>
                      <w:szCs w:val="24"/>
                      <w:vertAlign w:val="subscript"/>
                    </w:rPr>
                    <m:t>2</m:t>
                  </m:r>
                </m:sub>
              </m:sSub>
              <m:r>
                <w:rPr>
                  <w:rFonts w:ascii="Cambria Math" w:eastAsia="宋体" w:hAnsi="Cambria Math" w:cs="Times New Roman"/>
                  <w:color w:val="000000" w:themeColor="text1"/>
                  <w:sz w:val="24"/>
                  <w:szCs w:val="24"/>
                  <w:vertAlign w:val="subscript"/>
                </w:rPr>
                <m:t xml:space="preserve">+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H</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xml:space="preserve">+ </m:t>
              </m:r>
              <m:sSup>
                <m:sSupPr>
                  <m:ctrlPr>
                    <w:rPr>
                      <w:rFonts w:ascii="Cambria Math" w:eastAsia="宋体" w:hAnsi="Cambria Math" w:cs="Times New Roman"/>
                      <w:i/>
                      <w:color w:val="000000" w:themeColor="text1"/>
                      <w:sz w:val="24"/>
                      <w:szCs w:val="24"/>
                      <w:vertAlign w:val="subscript"/>
                    </w:rPr>
                  </m:ctrlPr>
                </m:sSupPr>
                <m:e>
                  <m:r>
                    <w:rPr>
                      <w:rFonts w:ascii="Cambria Math" w:eastAsia="宋体" w:hAnsi="Cambria Math" w:cs="Times New Roman"/>
                      <w:color w:val="000000" w:themeColor="text1"/>
                      <w:sz w:val="24"/>
                      <w:szCs w:val="24"/>
                      <w:vertAlign w:val="subscript"/>
                    </w:rPr>
                    <m:t>e</m:t>
                  </m:r>
                </m:e>
                <m:sup>
                  <m:r>
                    <w:rPr>
                      <w:rFonts w:ascii="Cambria Math" w:eastAsia="宋体" w:hAnsi="Cambria Math" w:cs="Times New Roman"/>
                      <w:color w:val="000000" w:themeColor="text1"/>
                      <w:sz w:val="24"/>
                      <w:szCs w:val="24"/>
                      <w:vertAlign w:val="subscript"/>
                    </w:rPr>
                    <m:t>-</m:t>
                  </m:r>
                </m:sup>
              </m:sSup>
              <m:r>
                <w:rPr>
                  <w:rFonts w:ascii="Cambria Math" w:eastAsia="宋体" w:hAnsi="Cambria Math" w:cs="Times New Roman"/>
                  <w:color w:val="000000" w:themeColor="text1"/>
                  <w:sz w:val="24"/>
                  <w:szCs w:val="24"/>
                  <w:vertAlign w:val="subscript"/>
                </w:rPr>
                <m:t>→ *N</m:t>
              </m:r>
              <m:sSub>
                <m:sSubPr>
                  <m:ctrlPr>
                    <w:rPr>
                      <w:rFonts w:ascii="Cambria Math" w:eastAsia="宋体" w:hAnsi="Cambria Math" w:cs="Times New Roman"/>
                      <w:i/>
                      <w:color w:val="000000" w:themeColor="text1"/>
                      <w:sz w:val="24"/>
                      <w:szCs w:val="24"/>
                      <w:vertAlign w:val="subscript"/>
                    </w:rPr>
                  </m:ctrlPr>
                </m:sSubPr>
                <m:e>
                  <m:r>
                    <w:rPr>
                      <w:rFonts w:ascii="Cambria Math" w:eastAsia="宋体" w:hAnsi="Cambria Math" w:cs="Times New Roman"/>
                      <w:color w:val="000000" w:themeColor="text1"/>
                      <w:sz w:val="24"/>
                      <w:szCs w:val="24"/>
                      <w:vertAlign w:val="subscript"/>
                    </w:rPr>
                    <m:t>H</m:t>
                  </m:r>
                </m:e>
                <m:sub>
                  <m:r>
                    <w:rPr>
                      <w:rFonts w:ascii="Cambria Math" w:eastAsia="宋体" w:hAnsi="Cambria Math" w:cs="Times New Roman"/>
                      <w:color w:val="000000" w:themeColor="text1"/>
                      <w:sz w:val="24"/>
                      <w:szCs w:val="24"/>
                      <w:vertAlign w:val="subscript"/>
                    </w:rPr>
                    <m:t>3</m:t>
                  </m:r>
                </m:sub>
              </m:sSub>
              <m:r>
                <w:rPr>
                  <w:rFonts w:ascii="Cambria Math" w:eastAsia="宋体" w:hAnsi="Cambria Math" w:cs="Times New Roman"/>
                  <w:color w:val="000000" w:themeColor="text1"/>
                  <w:sz w:val="24"/>
                  <w:szCs w:val="24"/>
                </w:rPr>
                <m:t>#(30)</m:t>
              </m:r>
            </m:e>
          </m:eqArr>
        </m:oMath>
      </m:oMathPara>
    </w:p>
    <w:p w14:paraId="52A55FAD" w14:textId="5AA461B0"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 * +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#(31)</m:t>
              </m:r>
            </m:e>
          </m:eqArr>
        </m:oMath>
      </m:oMathPara>
    </w:p>
    <w:p w14:paraId="2D5462B7" w14:textId="70D3535E" w:rsidR="00350181" w:rsidRPr="00177203" w:rsidRDefault="00350181" w:rsidP="00350181">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 stands for adsorption or active sites. </w:t>
      </w:r>
      <w:r w:rsidR="00D950E9" w:rsidRPr="00177203">
        <w:rPr>
          <w:rFonts w:eastAsia="宋体" w:cs="Times New Roman"/>
          <w:color w:val="000000" w:themeColor="text1"/>
          <w:sz w:val="24"/>
          <w:szCs w:val="24"/>
        </w:rPr>
        <w:t>Three competitive pathways of nitrate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 xml:space="preserve">RR on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00D950E9" w:rsidRPr="00177203">
        <w:rPr>
          <w:rFonts w:eastAsia="宋体" w:cs="Times New Roman"/>
          <w:color w:val="000000" w:themeColor="text1"/>
          <w:sz w:val="24"/>
          <w:szCs w:val="24"/>
        </w:rPr>
        <w:t xml:space="preserve"> are identified. </w:t>
      </w:r>
      <w:r w:rsidR="00325B11" w:rsidRPr="00177203">
        <w:rPr>
          <w:rFonts w:eastAsia="宋体" w:cs="Times New Roman"/>
          <w:color w:val="000000" w:themeColor="text1"/>
          <w:sz w:val="24"/>
          <w:szCs w:val="24"/>
        </w:rPr>
        <w:t xml:space="preserve">The free energy changes on </w:t>
      </w:r>
      <w:r w:rsidR="00E63B12" w:rsidRPr="00177203">
        <w:rPr>
          <w:rFonts w:eastAsia="宋体" w:cs="Times New Roman"/>
          <w:color w:val="000000" w:themeColor="text1"/>
          <w:sz w:val="24"/>
          <w:szCs w:val="24"/>
        </w:rPr>
        <w:t>Cu–N</w:t>
      </w:r>
      <w:r w:rsidR="00325B11" w:rsidRPr="00177203">
        <w:rPr>
          <w:rFonts w:eastAsia="宋体" w:cs="Times New Roman"/>
          <w:color w:val="000000" w:themeColor="text1"/>
          <w:sz w:val="24"/>
          <w:szCs w:val="24"/>
          <w:vertAlign w:val="subscript"/>
        </w:rPr>
        <w:t>3</w:t>
      </w:r>
      <w:r w:rsidR="00325B11" w:rsidRPr="00177203">
        <w:rPr>
          <w:rFonts w:eastAsia="宋体" w:cs="Times New Roman"/>
          <w:color w:val="000000" w:themeColor="text1"/>
          <w:sz w:val="24"/>
          <w:szCs w:val="24"/>
        </w:rPr>
        <w:t>-C and Cu–N</w:t>
      </w:r>
      <w:r w:rsidR="00325B11" w:rsidRPr="00177203">
        <w:rPr>
          <w:rFonts w:eastAsia="宋体" w:cs="Times New Roman"/>
          <w:color w:val="000000" w:themeColor="text1"/>
          <w:sz w:val="24"/>
          <w:szCs w:val="24"/>
          <w:vertAlign w:val="subscript"/>
        </w:rPr>
        <w:t>2</w:t>
      </w:r>
      <w:r w:rsidR="00325B11" w:rsidRPr="00177203">
        <w:rPr>
          <w:rFonts w:eastAsia="宋体" w:cs="Times New Roman"/>
          <w:color w:val="000000" w:themeColor="text1"/>
          <w:sz w:val="24"/>
          <w:szCs w:val="24"/>
        </w:rPr>
        <w:t>-C</w:t>
      </w:r>
      <w:r w:rsidR="00325B11" w:rsidRPr="00177203">
        <w:rPr>
          <w:rFonts w:eastAsia="宋体" w:cs="Times New Roman"/>
          <w:color w:val="000000" w:themeColor="text1"/>
          <w:sz w:val="24"/>
          <w:szCs w:val="24"/>
          <w:vertAlign w:val="subscript"/>
        </w:rPr>
        <w:t>2</w:t>
      </w:r>
      <w:r w:rsidR="00325B11" w:rsidRPr="00177203">
        <w:rPr>
          <w:rFonts w:eastAsia="宋体" w:cs="Times New Roman"/>
          <w:color w:val="000000" w:themeColor="text1"/>
          <w:sz w:val="24"/>
          <w:szCs w:val="24"/>
        </w:rPr>
        <w:t xml:space="preserve"> were also simultaneously used as references. </w:t>
      </w:r>
      <w:r w:rsidR="00D950E9" w:rsidRPr="00177203">
        <w:rPr>
          <w:rFonts w:eastAsia="宋体" w:cs="Times New Roman"/>
          <w:color w:val="000000" w:themeColor="text1"/>
          <w:sz w:val="24"/>
          <w:szCs w:val="24"/>
        </w:rPr>
        <w:t>All pathways share the common deoxygenation steps: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 →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H → *</w:t>
      </w:r>
      <w:r w:rsidR="000C65B5" w:rsidRPr="00177203">
        <w:rPr>
          <w:rFonts w:eastAsia="宋体" w:cs="Times New Roman"/>
          <w:color w:val="000000" w:themeColor="text1"/>
          <w:sz w:val="24"/>
          <w:szCs w:val="24"/>
        </w:rPr>
        <w:t>NO</w:t>
      </w:r>
      <w:r w:rsidR="000C65B5" w:rsidRPr="00177203">
        <w:rPr>
          <w:rFonts w:eastAsia="宋体" w:cs="Times New Roman"/>
          <w:color w:val="000000" w:themeColor="text1"/>
          <w:sz w:val="24"/>
          <w:szCs w:val="24"/>
          <w:vertAlign w:val="subscript"/>
        </w:rPr>
        <w:t>2</w:t>
      </w:r>
      <w:r w:rsidR="00D950E9" w:rsidRPr="00177203">
        <w:rPr>
          <w:rFonts w:eastAsia="宋体" w:cs="Times New Roman"/>
          <w:color w:val="000000" w:themeColor="text1"/>
          <w:sz w:val="24"/>
          <w:szCs w:val="24"/>
        </w:rPr>
        <w:t xml:space="preserve"> → *NO</w:t>
      </w:r>
      <w:r w:rsidR="000C65B5" w:rsidRPr="00177203">
        <w:rPr>
          <w:rFonts w:eastAsia="宋体" w:cs="Times New Roman"/>
          <w:color w:val="000000" w:themeColor="text1"/>
          <w:sz w:val="24"/>
          <w:szCs w:val="24"/>
          <w:vertAlign w:val="subscript"/>
        </w:rPr>
        <w:t>2</w:t>
      </w:r>
      <w:r w:rsidR="00D950E9" w:rsidRPr="00177203">
        <w:rPr>
          <w:rFonts w:eastAsia="宋体" w:cs="Times New Roman"/>
          <w:color w:val="000000" w:themeColor="text1"/>
          <w:sz w:val="24"/>
          <w:szCs w:val="24"/>
        </w:rPr>
        <w:t>H → *NO (Eq.1</w:t>
      </w:r>
      <w:r w:rsidR="001B1BD0" w:rsidRPr="00177203">
        <w:rPr>
          <w:rFonts w:eastAsia="宋体" w:cs="Times New Roman"/>
          <w:color w:val="000000" w:themeColor="text1"/>
          <w:sz w:val="24"/>
          <w:szCs w:val="24"/>
        </w:rPr>
        <w:t>5</w:t>
      </w:r>
      <w:r w:rsidR="00D950E9" w:rsidRPr="00177203">
        <w:rPr>
          <w:rFonts w:eastAsia="宋体" w:cs="Times New Roman"/>
          <w:color w:val="000000" w:themeColor="text1"/>
          <w:sz w:val="24"/>
          <w:szCs w:val="24"/>
        </w:rPr>
        <w:t>–Eq.1</w:t>
      </w:r>
      <w:r w:rsidR="001B1BD0" w:rsidRPr="00177203">
        <w:rPr>
          <w:rFonts w:eastAsia="宋体" w:cs="Times New Roman"/>
          <w:color w:val="000000" w:themeColor="text1"/>
          <w:sz w:val="24"/>
          <w:szCs w:val="24"/>
        </w:rPr>
        <w:t>9</w:t>
      </w:r>
      <w:r w:rsidR="00D950E9" w:rsidRPr="00177203">
        <w:rPr>
          <w:rFonts w:eastAsia="宋体" w:cs="Times New Roman"/>
          <w:color w:val="000000" w:themeColor="text1"/>
          <w:sz w:val="24"/>
          <w:szCs w:val="24"/>
        </w:rPr>
        <w:t xml:space="preserve">). Pathway I as shown in </w:t>
      </w:r>
      <w:r w:rsidR="00306188" w:rsidRPr="00177203">
        <w:rPr>
          <w:rFonts w:eastAsia="宋体" w:cs="Times New Roman"/>
          <w:color w:val="000000" w:themeColor="text1"/>
          <w:sz w:val="24"/>
          <w:szCs w:val="24"/>
        </w:rPr>
        <w:t>Supplementary</w:t>
      </w:r>
      <w:r w:rsidR="00D950E9" w:rsidRPr="00177203">
        <w:rPr>
          <w:rFonts w:eastAsia="宋体" w:cs="Times New Roman"/>
          <w:color w:val="000000" w:themeColor="text1"/>
          <w:sz w:val="24"/>
          <w:szCs w:val="24"/>
        </w:rPr>
        <w:t xml:space="preserve"> Fig. 5</w:t>
      </w:r>
      <w:r w:rsidR="0072432E" w:rsidRPr="00177203">
        <w:rPr>
          <w:rFonts w:eastAsia="宋体" w:cs="Times New Roman"/>
          <w:color w:val="000000" w:themeColor="text1"/>
          <w:sz w:val="24"/>
          <w:szCs w:val="24"/>
        </w:rPr>
        <w:t>3</w:t>
      </w:r>
      <w:r w:rsidR="00D950E9" w:rsidRPr="00177203">
        <w:rPr>
          <w:rFonts w:eastAsia="宋体" w:cs="Times New Roman"/>
          <w:color w:val="000000" w:themeColor="text1"/>
          <w:sz w:val="24"/>
          <w:szCs w:val="24"/>
        </w:rPr>
        <w:t>a proceeds via *NO → *NOH → *N → *NH → *N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D950E9" w:rsidRPr="00177203">
        <w:rPr>
          <w:rFonts w:eastAsia="宋体" w:cs="Times New Roman"/>
          <w:color w:val="000000" w:themeColor="text1"/>
          <w:sz w:val="24"/>
          <w:szCs w:val="24"/>
        </w:rPr>
        <w:t xml:space="preserve"> → *</w:t>
      </w:r>
      <w:r w:rsidR="000C65B5" w:rsidRPr="00177203">
        <w:rPr>
          <w:rFonts w:eastAsia="宋体" w:cs="Times New Roman"/>
          <w:color w:val="000000" w:themeColor="text1"/>
          <w:sz w:val="24"/>
          <w:szCs w:val="24"/>
        </w:rPr>
        <w:t>NH</w:t>
      </w:r>
      <w:r w:rsidR="000C65B5"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 xml:space="preserve"> with a high barrier of 2.2 eV for *NO → *NOH (Eq.1</w:t>
      </w:r>
      <w:r w:rsidR="002D60F1" w:rsidRPr="00177203">
        <w:rPr>
          <w:rFonts w:eastAsia="宋体" w:cs="Times New Roman"/>
          <w:color w:val="000000" w:themeColor="text1"/>
          <w:sz w:val="24"/>
          <w:szCs w:val="24"/>
        </w:rPr>
        <w:t>5</w:t>
      </w:r>
      <w:r w:rsidR="00D950E9" w:rsidRPr="00177203">
        <w:rPr>
          <w:rFonts w:eastAsia="宋体" w:cs="Times New Roman"/>
          <w:color w:val="000000" w:themeColor="text1"/>
          <w:sz w:val="24"/>
          <w:szCs w:val="24"/>
        </w:rPr>
        <w:t>– Eq.</w:t>
      </w:r>
      <w:r w:rsidR="002D60F1" w:rsidRPr="00177203">
        <w:rPr>
          <w:rFonts w:eastAsia="宋体" w:cs="Times New Roman"/>
          <w:color w:val="000000" w:themeColor="text1"/>
          <w:sz w:val="24"/>
          <w:szCs w:val="24"/>
        </w:rPr>
        <w:t>23</w:t>
      </w:r>
      <w:r w:rsidR="00D950E9" w:rsidRPr="00177203">
        <w:rPr>
          <w:rFonts w:eastAsia="宋体" w:cs="Times New Roman"/>
          <w:color w:val="000000" w:themeColor="text1"/>
          <w:sz w:val="24"/>
          <w:szCs w:val="24"/>
        </w:rPr>
        <w:t xml:space="preserve">, Eq. </w:t>
      </w:r>
      <w:r w:rsidR="001B1BD0" w:rsidRPr="00177203">
        <w:rPr>
          <w:rFonts w:eastAsia="宋体" w:cs="Times New Roman"/>
          <w:color w:val="000000" w:themeColor="text1"/>
          <w:sz w:val="24"/>
          <w:szCs w:val="24"/>
        </w:rPr>
        <w:t>30</w:t>
      </w:r>
      <w:r w:rsidR="00D950E9" w:rsidRPr="00177203">
        <w:rPr>
          <w:rFonts w:eastAsia="宋体" w:cs="Times New Roman"/>
          <w:color w:val="000000" w:themeColor="text1"/>
          <w:sz w:val="24"/>
          <w:szCs w:val="24"/>
        </w:rPr>
        <w:t xml:space="preserve"> and </w:t>
      </w:r>
      <w:r w:rsidR="001B1BD0" w:rsidRPr="00177203">
        <w:rPr>
          <w:rFonts w:eastAsia="宋体" w:cs="Times New Roman"/>
          <w:color w:val="000000" w:themeColor="text1"/>
          <w:sz w:val="24"/>
          <w:szCs w:val="24"/>
        </w:rPr>
        <w:t>31</w:t>
      </w:r>
      <w:r w:rsidR="00D950E9" w:rsidRPr="00177203">
        <w:rPr>
          <w:rFonts w:eastAsia="宋体" w:cs="Times New Roman"/>
          <w:color w:val="000000" w:themeColor="text1"/>
          <w:sz w:val="24"/>
          <w:szCs w:val="24"/>
        </w:rPr>
        <w:t xml:space="preserve">). Pathway II illustrated in </w:t>
      </w:r>
      <w:r w:rsidR="00306188" w:rsidRPr="00177203">
        <w:rPr>
          <w:rFonts w:eastAsia="宋体" w:cs="Times New Roman"/>
          <w:color w:val="000000" w:themeColor="text1"/>
          <w:sz w:val="24"/>
          <w:szCs w:val="24"/>
        </w:rPr>
        <w:t>Supplementary</w:t>
      </w:r>
      <w:r w:rsidR="00D950E9" w:rsidRPr="00177203">
        <w:rPr>
          <w:rFonts w:eastAsia="宋体" w:cs="Times New Roman"/>
          <w:color w:val="000000" w:themeColor="text1"/>
          <w:sz w:val="24"/>
          <w:szCs w:val="24"/>
        </w:rPr>
        <w:t xml:space="preserve"> Fig. 5</w:t>
      </w:r>
      <w:r w:rsidR="0072432E" w:rsidRPr="00177203">
        <w:rPr>
          <w:rFonts w:eastAsia="宋体" w:cs="Times New Roman"/>
          <w:color w:val="000000" w:themeColor="text1"/>
          <w:sz w:val="24"/>
          <w:szCs w:val="24"/>
        </w:rPr>
        <w:t>3</w:t>
      </w:r>
      <w:r w:rsidR="00D950E9" w:rsidRPr="00177203">
        <w:rPr>
          <w:rFonts w:eastAsia="宋体" w:cs="Times New Roman"/>
          <w:color w:val="000000" w:themeColor="text1"/>
          <w:sz w:val="24"/>
          <w:szCs w:val="24"/>
        </w:rPr>
        <w:t>b follows *NO → *NHO → *NHOH → *NH → *N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D950E9" w:rsidRPr="00177203">
        <w:rPr>
          <w:rFonts w:eastAsia="宋体" w:cs="Times New Roman"/>
          <w:color w:val="000000" w:themeColor="text1"/>
          <w:sz w:val="24"/>
          <w:szCs w:val="24"/>
        </w:rPr>
        <w:t xml:space="preserve"> → *</w:t>
      </w:r>
      <w:r w:rsidR="000C65B5" w:rsidRPr="00177203">
        <w:rPr>
          <w:rFonts w:eastAsia="宋体" w:cs="Times New Roman"/>
          <w:color w:val="000000" w:themeColor="text1"/>
          <w:sz w:val="24"/>
          <w:szCs w:val="24"/>
        </w:rPr>
        <w:t>NH</w:t>
      </w:r>
      <w:r w:rsidR="000C65B5"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 xml:space="preserve"> with a barrier of 0.13 eV for *NO → *NHO (Eq.1</w:t>
      </w:r>
      <w:r w:rsidR="001B1BD0" w:rsidRPr="00177203">
        <w:rPr>
          <w:rFonts w:eastAsia="宋体" w:cs="Times New Roman"/>
          <w:color w:val="000000" w:themeColor="text1"/>
          <w:sz w:val="24"/>
          <w:szCs w:val="24"/>
        </w:rPr>
        <w:t>5</w:t>
      </w:r>
      <w:r w:rsidR="00D950E9" w:rsidRPr="00177203">
        <w:rPr>
          <w:rFonts w:eastAsia="宋体" w:cs="Times New Roman"/>
          <w:color w:val="000000" w:themeColor="text1"/>
          <w:sz w:val="24"/>
          <w:szCs w:val="24"/>
        </w:rPr>
        <w:t>–Eq.1</w:t>
      </w:r>
      <w:r w:rsidR="001B1BD0" w:rsidRPr="00177203">
        <w:rPr>
          <w:rFonts w:eastAsia="宋体" w:cs="Times New Roman"/>
          <w:color w:val="000000" w:themeColor="text1"/>
          <w:sz w:val="24"/>
          <w:szCs w:val="24"/>
        </w:rPr>
        <w:t>9</w:t>
      </w:r>
      <w:r w:rsidR="00D950E9" w:rsidRPr="00177203">
        <w:rPr>
          <w:rFonts w:eastAsia="宋体" w:cs="Times New Roman"/>
          <w:color w:val="000000" w:themeColor="text1"/>
          <w:sz w:val="24"/>
          <w:szCs w:val="24"/>
        </w:rPr>
        <w:t xml:space="preserve">, Eq. </w:t>
      </w:r>
      <w:r w:rsidR="001B1BD0" w:rsidRPr="00177203">
        <w:rPr>
          <w:rFonts w:eastAsia="宋体" w:cs="Times New Roman"/>
          <w:color w:val="000000" w:themeColor="text1"/>
          <w:sz w:val="24"/>
          <w:szCs w:val="24"/>
        </w:rPr>
        <w:t>24</w:t>
      </w:r>
      <w:r w:rsidR="00D950E9" w:rsidRPr="00177203">
        <w:rPr>
          <w:rFonts w:eastAsia="宋体" w:cs="Times New Roman"/>
          <w:color w:val="000000" w:themeColor="text1"/>
          <w:sz w:val="24"/>
          <w:szCs w:val="24"/>
        </w:rPr>
        <w:t>–Eq. 2</w:t>
      </w:r>
      <w:r w:rsidR="001B1BD0" w:rsidRPr="00177203">
        <w:rPr>
          <w:rFonts w:eastAsia="宋体" w:cs="Times New Roman"/>
          <w:color w:val="000000" w:themeColor="text1"/>
          <w:sz w:val="24"/>
          <w:szCs w:val="24"/>
        </w:rPr>
        <w:t>6</w:t>
      </w:r>
      <w:r w:rsidR="00D950E9" w:rsidRPr="00177203">
        <w:rPr>
          <w:rFonts w:eastAsia="宋体" w:cs="Times New Roman"/>
          <w:color w:val="000000" w:themeColor="text1"/>
          <w:sz w:val="24"/>
          <w:szCs w:val="24"/>
        </w:rPr>
        <w:t xml:space="preserve">, Eq. </w:t>
      </w:r>
      <w:r w:rsidR="002D60F1" w:rsidRPr="00177203">
        <w:rPr>
          <w:rFonts w:eastAsia="宋体" w:cs="Times New Roman"/>
          <w:color w:val="000000" w:themeColor="text1"/>
          <w:sz w:val="24"/>
          <w:szCs w:val="24"/>
        </w:rPr>
        <w:t>30</w:t>
      </w:r>
      <w:r w:rsidR="00D950E9" w:rsidRPr="00177203">
        <w:rPr>
          <w:rFonts w:eastAsia="宋体" w:cs="Times New Roman"/>
          <w:color w:val="000000" w:themeColor="text1"/>
          <w:sz w:val="24"/>
          <w:szCs w:val="24"/>
        </w:rPr>
        <w:t xml:space="preserve"> and </w:t>
      </w:r>
      <w:r w:rsidR="002D60F1" w:rsidRPr="00177203">
        <w:rPr>
          <w:rFonts w:eastAsia="宋体" w:cs="Times New Roman"/>
          <w:color w:val="000000" w:themeColor="text1"/>
          <w:sz w:val="24"/>
          <w:szCs w:val="24"/>
        </w:rPr>
        <w:t>31</w:t>
      </w:r>
      <w:r w:rsidR="00D950E9" w:rsidRPr="00177203">
        <w:rPr>
          <w:rFonts w:eastAsia="宋体" w:cs="Times New Roman"/>
          <w:color w:val="000000" w:themeColor="text1"/>
          <w:sz w:val="24"/>
          <w:szCs w:val="24"/>
        </w:rPr>
        <w:t>). Pathway III (</w:t>
      </w:r>
      <w:r w:rsidR="00306188" w:rsidRPr="00177203">
        <w:rPr>
          <w:rFonts w:eastAsia="宋体" w:cs="Times New Roman"/>
          <w:color w:val="000000" w:themeColor="text1"/>
          <w:sz w:val="24"/>
          <w:szCs w:val="24"/>
        </w:rPr>
        <w:t>Supplementary</w:t>
      </w:r>
      <w:r w:rsidR="00D950E9" w:rsidRPr="00177203">
        <w:rPr>
          <w:rFonts w:eastAsia="宋体" w:cs="Times New Roman"/>
          <w:color w:val="000000" w:themeColor="text1"/>
          <w:sz w:val="24"/>
          <w:szCs w:val="24"/>
        </w:rPr>
        <w:t xml:space="preserve"> Fig. 5</w:t>
      </w:r>
      <w:r w:rsidR="0072432E" w:rsidRPr="00177203">
        <w:rPr>
          <w:rFonts w:eastAsia="宋体" w:cs="Times New Roman"/>
          <w:color w:val="000000" w:themeColor="text1"/>
          <w:sz w:val="24"/>
          <w:szCs w:val="24"/>
        </w:rPr>
        <w:t>3</w:t>
      </w:r>
      <w:r w:rsidR="00D950E9" w:rsidRPr="00177203">
        <w:rPr>
          <w:rFonts w:eastAsia="宋体" w:cs="Times New Roman"/>
          <w:color w:val="000000" w:themeColor="text1"/>
          <w:sz w:val="24"/>
          <w:szCs w:val="24"/>
        </w:rPr>
        <w:t>c) undergoes *NO → *NHO → *N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D950E9" w:rsidRPr="00177203">
        <w:rPr>
          <w:rFonts w:eastAsia="宋体" w:cs="Times New Roman"/>
          <w:color w:val="000000" w:themeColor="text1"/>
          <w:sz w:val="24"/>
          <w:szCs w:val="24"/>
        </w:rPr>
        <w:t>O → *N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D950E9" w:rsidRPr="00177203">
        <w:rPr>
          <w:rFonts w:eastAsia="宋体" w:cs="Times New Roman"/>
          <w:color w:val="000000" w:themeColor="text1"/>
          <w:sz w:val="24"/>
          <w:szCs w:val="24"/>
        </w:rPr>
        <w:t>OH → *N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D950E9" w:rsidRPr="00177203">
        <w:rPr>
          <w:rFonts w:eastAsia="宋体" w:cs="Times New Roman"/>
          <w:color w:val="000000" w:themeColor="text1"/>
          <w:sz w:val="24"/>
          <w:szCs w:val="24"/>
        </w:rPr>
        <w:t xml:space="preserve"> → *NH</w:t>
      </w:r>
      <w:r w:rsidR="000C65B5" w:rsidRPr="00177203">
        <w:rPr>
          <w:rFonts w:eastAsia="宋体" w:cs="Times New Roman"/>
          <w:color w:val="000000" w:themeColor="text1"/>
          <w:sz w:val="24"/>
          <w:szCs w:val="24"/>
          <w:vertAlign w:val="subscript"/>
        </w:rPr>
        <w:t>3</w:t>
      </w:r>
      <w:r w:rsidR="00D950E9" w:rsidRPr="00177203">
        <w:rPr>
          <w:rFonts w:eastAsia="宋体" w:cs="Times New Roman"/>
          <w:color w:val="000000" w:themeColor="text1"/>
          <w:sz w:val="24"/>
          <w:szCs w:val="24"/>
        </w:rPr>
        <w:t xml:space="preserve"> with nearly negligible energy barriers (Eq.1</w:t>
      </w:r>
      <w:r w:rsidR="002D60F1" w:rsidRPr="00177203">
        <w:rPr>
          <w:rFonts w:eastAsia="宋体" w:cs="Times New Roman"/>
          <w:color w:val="000000" w:themeColor="text1"/>
          <w:sz w:val="24"/>
          <w:szCs w:val="24"/>
        </w:rPr>
        <w:t>5</w:t>
      </w:r>
      <w:r w:rsidR="00D950E9" w:rsidRPr="00177203">
        <w:rPr>
          <w:rFonts w:eastAsia="宋体" w:cs="Times New Roman"/>
          <w:color w:val="000000" w:themeColor="text1"/>
          <w:sz w:val="24"/>
          <w:szCs w:val="24"/>
        </w:rPr>
        <w:t>–Eq.1</w:t>
      </w:r>
      <w:r w:rsidR="002D60F1" w:rsidRPr="00177203">
        <w:rPr>
          <w:rFonts w:eastAsia="宋体" w:cs="Times New Roman"/>
          <w:color w:val="000000" w:themeColor="text1"/>
          <w:sz w:val="24"/>
          <w:szCs w:val="24"/>
        </w:rPr>
        <w:t>9</w:t>
      </w:r>
      <w:r w:rsidR="00D950E9" w:rsidRPr="00177203">
        <w:rPr>
          <w:rFonts w:eastAsia="宋体" w:cs="Times New Roman"/>
          <w:color w:val="000000" w:themeColor="text1"/>
          <w:sz w:val="24"/>
          <w:szCs w:val="24"/>
        </w:rPr>
        <w:t>, Eq. 2</w:t>
      </w:r>
      <w:r w:rsidR="002D60F1" w:rsidRPr="00177203">
        <w:rPr>
          <w:rFonts w:eastAsia="宋体" w:cs="Times New Roman"/>
          <w:color w:val="000000" w:themeColor="text1"/>
          <w:sz w:val="24"/>
          <w:szCs w:val="24"/>
        </w:rPr>
        <w:t>7</w:t>
      </w:r>
      <w:r w:rsidR="00D950E9" w:rsidRPr="00177203">
        <w:rPr>
          <w:rFonts w:eastAsia="宋体" w:cs="Times New Roman"/>
          <w:color w:val="000000" w:themeColor="text1"/>
          <w:sz w:val="24"/>
          <w:szCs w:val="24"/>
        </w:rPr>
        <w:t xml:space="preserve">–Eq. </w:t>
      </w:r>
      <w:r w:rsidR="002D60F1" w:rsidRPr="00177203">
        <w:rPr>
          <w:rFonts w:eastAsia="宋体" w:cs="Times New Roman"/>
          <w:color w:val="000000" w:themeColor="text1"/>
          <w:sz w:val="24"/>
          <w:szCs w:val="24"/>
        </w:rPr>
        <w:t>31</w:t>
      </w:r>
      <w:r w:rsidR="00D950E9" w:rsidRPr="00177203">
        <w:rPr>
          <w:rFonts w:eastAsia="宋体" w:cs="Times New Roman"/>
          <w:color w:val="000000" w:themeColor="text1"/>
          <w:sz w:val="24"/>
          <w:szCs w:val="24"/>
        </w:rPr>
        <w:t>).</w:t>
      </w:r>
    </w:p>
    <w:p w14:paraId="195BCB6B" w14:textId="77777777" w:rsidR="00350181" w:rsidRPr="00177203" w:rsidRDefault="00350181" w:rsidP="00350181">
      <w:pPr>
        <w:spacing w:afterLines="50" w:after="156"/>
        <w:outlineLvl w:val="2"/>
        <w:rPr>
          <w:rFonts w:eastAsia="宋体" w:cs="Times New Roman"/>
          <w:color w:val="000000" w:themeColor="text1"/>
          <w:sz w:val="24"/>
          <w:szCs w:val="24"/>
        </w:rPr>
        <w:sectPr w:rsidR="00350181" w:rsidRPr="00177203" w:rsidSect="00F65C78">
          <w:pgSz w:w="11906" w:h="16838"/>
          <w:pgMar w:top="1440" w:right="1800" w:bottom="1440" w:left="1800" w:header="851" w:footer="992" w:gutter="0"/>
          <w:lnNumType w:countBy="1" w:restart="continuous"/>
          <w:cols w:space="425"/>
          <w:docGrid w:type="lines" w:linePitch="312"/>
        </w:sectPr>
      </w:pPr>
    </w:p>
    <w:p w14:paraId="71977F8A" w14:textId="1DE0405E" w:rsidR="00350181" w:rsidRPr="00177203" w:rsidRDefault="00A077F3" w:rsidP="00350181">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1FD69784" wp14:editId="580753F3">
            <wp:extent cx="3600000" cy="3800674"/>
            <wp:effectExtent l="0" t="0" r="635"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0000" cy="3800674"/>
                    </a:xfrm>
                    <a:prstGeom prst="rect">
                      <a:avLst/>
                    </a:prstGeom>
                    <a:noFill/>
                    <a:ln>
                      <a:noFill/>
                    </a:ln>
                  </pic:spPr>
                </pic:pic>
              </a:graphicData>
            </a:graphic>
          </wp:inline>
        </w:drawing>
      </w:r>
    </w:p>
    <w:p w14:paraId="5C04CFC3" w14:textId="01394313" w:rsidR="00350181" w:rsidRPr="00177203" w:rsidRDefault="00306188" w:rsidP="00350181">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350181" w:rsidRPr="00177203">
        <w:rPr>
          <w:rFonts w:eastAsia="宋体" w:cs="Times New Roman"/>
          <w:b/>
          <w:bCs/>
          <w:color w:val="000000" w:themeColor="text1"/>
          <w:sz w:val="24"/>
          <w:szCs w:val="24"/>
        </w:rPr>
        <w:t xml:space="preserve"> Fig. 5</w:t>
      </w:r>
      <w:r w:rsidR="0072432E" w:rsidRPr="00177203">
        <w:rPr>
          <w:rFonts w:eastAsia="宋体" w:cs="Times New Roman"/>
          <w:b/>
          <w:bCs/>
          <w:color w:val="000000" w:themeColor="text1"/>
          <w:sz w:val="24"/>
          <w:szCs w:val="24"/>
        </w:rPr>
        <w:t>4</w:t>
      </w:r>
      <w:r w:rsidR="00350181" w:rsidRPr="00177203">
        <w:rPr>
          <w:rFonts w:eastAsia="宋体" w:cs="Times New Roman"/>
          <w:color w:val="000000" w:themeColor="text1"/>
          <w:sz w:val="24"/>
          <w:szCs w:val="24"/>
        </w:rPr>
        <w:t xml:space="preserve">. Reaction pathways for </w:t>
      </w:r>
      <w:r w:rsidR="00EE5167" w:rsidRPr="00177203">
        <w:rPr>
          <w:rFonts w:eastAsia="宋体" w:cs="Times New Roman"/>
          <w:color w:val="000000" w:themeColor="text1"/>
          <w:sz w:val="24"/>
          <w:szCs w:val="24"/>
        </w:rPr>
        <w:t xml:space="preserve">(a)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00EE5167" w:rsidRPr="00177203">
        <w:rPr>
          <w:rFonts w:eastAsia="宋体" w:cs="Times New Roman"/>
          <w:color w:val="000000" w:themeColor="text1"/>
          <w:sz w:val="24"/>
          <w:szCs w:val="24"/>
        </w:rPr>
        <w:t xml:space="preserve"> and (b) HER </w:t>
      </w:r>
      <w:r w:rsidR="00350181" w:rsidRPr="00177203">
        <w:rPr>
          <w:rFonts w:eastAsia="宋体" w:cs="Times New Roman"/>
          <w:color w:val="000000" w:themeColor="text1"/>
          <w:sz w:val="24"/>
          <w:szCs w:val="24"/>
        </w:rPr>
        <w:t xml:space="preserve">on modelled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350181" w:rsidRPr="00177203">
        <w:rPr>
          <w:rFonts w:eastAsia="宋体" w:cs="Times New Roman"/>
          <w:color w:val="000000" w:themeColor="text1"/>
          <w:sz w:val="24"/>
          <w:szCs w:val="24"/>
          <w:vertAlign w:val="subscript"/>
        </w:rPr>
        <w:t>,</w:t>
      </w:r>
      <w:r w:rsidR="00350181"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Cu–N</w:t>
      </w:r>
      <w:r w:rsidR="00350181" w:rsidRPr="00177203">
        <w:rPr>
          <w:rFonts w:eastAsia="宋体" w:cs="Times New Roman"/>
          <w:color w:val="000000" w:themeColor="text1"/>
          <w:sz w:val="24"/>
          <w:szCs w:val="24"/>
          <w:vertAlign w:val="subscript"/>
        </w:rPr>
        <w:t>3</w:t>
      </w:r>
      <w:r w:rsidR="00350181" w:rsidRPr="00177203">
        <w:rPr>
          <w:rFonts w:eastAsia="宋体" w:cs="Times New Roman"/>
          <w:color w:val="000000" w:themeColor="text1"/>
          <w:sz w:val="24"/>
          <w:szCs w:val="24"/>
        </w:rPr>
        <w:t xml:space="preserve">-C, </w:t>
      </w:r>
      <w:r w:rsidR="00EE5167" w:rsidRPr="00177203">
        <w:rPr>
          <w:rFonts w:eastAsia="宋体" w:cs="Times New Roman"/>
          <w:color w:val="000000" w:themeColor="text1"/>
          <w:sz w:val="24"/>
          <w:szCs w:val="24"/>
        </w:rPr>
        <w:t xml:space="preserve">and </w:t>
      </w:r>
      <w:r w:rsidR="00E63B12" w:rsidRPr="00177203">
        <w:rPr>
          <w:rFonts w:eastAsia="宋体" w:cs="Times New Roman"/>
          <w:color w:val="000000" w:themeColor="text1"/>
          <w:sz w:val="24"/>
          <w:szCs w:val="24"/>
        </w:rPr>
        <w:t>Cu–N</w:t>
      </w:r>
      <w:r w:rsidR="00350181" w:rsidRPr="00177203">
        <w:rPr>
          <w:rFonts w:eastAsia="宋体" w:cs="Times New Roman"/>
          <w:color w:val="000000" w:themeColor="text1"/>
          <w:sz w:val="24"/>
          <w:szCs w:val="24"/>
          <w:vertAlign w:val="subscript"/>
        </w:rPr>
        <w:t>2</w:t>
      </w:r>
      <w:r w:rsidR="00350181" w:rsidRPr="00177203">
        <w:rPr>
          <w:rFonts w:eastAsia="宋体" w:cs="Times New Roman"/>
          <w:color w:val="000000" w:themeColor="text1"/>
          <w:sz w:val="24"/>
          <w:szCs w:val="24"/>
        </w:rPr>
        <w:t>-C</w:t>
      </w:r>
      <w:r w:rsidR="00350181" w:rsidRPr="00177203">
        <w:rPr>
          <w:rFonts w:eastAsia="宋体" w:cs="Times New Roman"/>
          <w:color w:val="000000" w:themeColor="text1"/>
          <w:sz w:val="24"/>
          <w:szCs w:val="24"/>
          <w:vertAlign w:val="subscript"/>
        </w:rPr>
        <w:t>2</w:t>
      </w:r>
      <w:r w:rsidR="00350181" w:rsidRPr="00177203">
        <w:rPr>
          <w:rFonts w:eastAsia="宋体" w:cs="Times New Roman"/>
          <w:color w:val="000000" w:themeColor="text1"/>
          <w:sz w:val="24"/>
          <w:szCs w:val="24"/>
        </w:rPr>
        <w:t xml:space="preserve"> sites in neutral solution. </w:t>
      </w:r>
    </w:p>
    <w:p w14:paraId="3FA344C8" w14:textId="4ADACD36" w:rsidR="00350181" w:rsidRPr="00177203" w:rsidRDefault="00350181" w:rsidP="00EE5167">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reactions for </w:t>
      </w:r>
      <w:r w:rsidR="00EE5167" w:rsidRPr="00177203">
        <w:rPr>
          <w:rFonts w:eastAsia="宋体" w:cs="Times New Roman"/>
          <w:color w:val="000000" w:themeColor="text1"/>
          <w:sz w:val="24"/>
          <w:szCs w:val="24"/>
        </w:rPr>
        <w:t xml:space="preserve">HER and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in neutral solution were simulated according to the following </w:t>
      </w:r>
      <w:r w:rsidR="00EE5167" w:rsidRPr="00177203">
        <w:rPr>
          <w:rFonts w:eastAsia="宋体" w:cs="Times New Roman"/>
          <w:color w:val="000000" w:themeColor="text1"/>
          <w:sz w:val="24"/>
          <w:szCs w:val="24"/>
        </w:rPr>
        <w:t>equations</w:t>
      </w:r>
      <w:r w:rsidRPr="00177203">
        <w:rPr>
          <w:rFonts w:eastAsia="宋体" w:cs="Times New Roman"/>
          <w:color w:val="000000" w:themeColor="text1"/>
          <w:sz w:val="24"/>
          <w:szCs w:val="24"/>
        </w:rPr>
        <w:t>:</w:t>
      </w:r>
    </w:p>
    <w:p w14:paraId="7592776F" w14:textId="313851C0" w:rsidR="00350181" w:rsidRPr="00177203" w:rsidRDefault="00000000" w:rsidP="00350181">
      <w:pPr>
        <w:spacing w:afterLines="50" w:after="156"/>
        <w:jc w:val="right"/>
        <w:rPr>
          <w:rFonts w:eastAsia="宋体" w:cs="Times New Roman"/>
          <w:color w:val="000000" w:themeColor="text1"/>
          <w:sz w:val="24"/>
          <w:szCs w:val="24"/>
          <w:vertAlign w:val="superscript"/>
        </w:rPr>
      </w:pPr>
      <m:oMathPara>
        <m:oMath>
          <m:eqArr>
            <m:eqArrPr>
              <m:maxDist m:val="1"/>
              <m:ctrlPr>
                <w:rPr>
                  <w:rFonts w:ascii="Cambria Math" w:eastAsia="宋体" w:hAnsi="Cambria Math" w:cs="Times New Roman"/>
                  <w:i/>
                  <w:color w:val="000000" w:themeColor="text1"/>
                  <w:sz w:val="24"/>
                  <w:szCs w:val="24"/>
                  <w:vertAlign w:val="superscript"/>
                </w:rPr>
              </m:ctrlPr>
            </m:eqArrPr>
            <m:e>
              <m:r>
                <w:rPr>
                  <w:rFonts w:ascii="Cambria Math" w:eastAsia="宋体" w:hAnsi="Cambria Math" w:cs="Times New Roman"/>
                  <w:color w:val="000000" w:themeColor="text1"/>
                  <w:sz w:val="24"/>
                  <w:szCs w:val="24"/>
                  <w:vertAlign w:val="superscript"/>
                </w:rPr>
                <m:t>* + C</m:t>
              </m:r>
              <m:sSub>
                <m:sSubPr>
                  <m:ctrlPr>
                    <w:rPr>
                      <w:rFonts w:ascii="Cambria Math" w:eastAsia="宋体" w:hAnsi="Cambria Math" w:cs="Times New Roman"/>
                      <w:i/>
                      <w:color w:val="000000" w:themeColor="text1"/>
                      <w:sz w:val="24"/>
                      <w:szCs w:val="24"/>
                      <w:vertAlign w:val="superscript"/>
                    </w:rPr>
                  </m:ctrlPr>
                </m:sSubPr>
                <m:e>
                  <m:r>
                    <w:rPr>
                      <w:rFonts w:ascii="Cambria Math" w:eastAsia="宋体" w:hAnsi="Cambria Math" w:cs="Times New Roman"/>
                      <w:color w:val="000000" w:themeColor="text1"/>
                      <w:sz w:val="24"/>
                      <w:szCs w:val="24"/>
                      <w:vertAlign w:val="superscript"/>
                    </w:rPr>
                    <m:t>O</m:t>
                  </m:r>
                </m:e>
                <m:sub>
                  <m:r>
                    <w:rPr>
                      <w:rFonts w:ascii="Cambria Math" w:eastAsia="宋体" w:hAnsi="Cambria Math" w:cs="Times New Roman"/>
                      <w:color w:val="000000" w:themeColor="text1"/>
                      <w:sz w:val="24"/>
                      <w:szCs w:val="24"/>
                      <w:vertAlign w:val="superscript"/>
                    </w:rPr>
                    <m:t>2</m:t>
                  </m:r>
                </m:sub>
              </m:sSub>
              <m:r>
                <w:rPr>
                  <w:rFonts w:ascii="Cambria Math" w:eastAsia="宋体" w:hAnsi="Cambria Math" w:cs="Times New Roman"/>
                  <w:color w:val="000000" w:themeColor="text1"/>
                  <w:sz w:val="24"/>
                  <w:szCs w:val="24"/>
                  <w:vertAlign w:val="superscript"/>
                </w:rPr>
                <m:t>→ *C</m:t>
              </m:r>
              <m:sSub>
                <m:sSubPr>
                  <m:ctrlPr>
                    <w:rPr>
                      <w:rFonts w:ascii="Cambria Math" w:eastAsia="宋体" w:hAnsi="Cambria Math" w:cs="Times New Roman"/>
                      <w:i/>
                      <w:color w:val="000000" w:themeColor="text1"/>
                      <w:sz w:val="24"/>
                      <w:szCs w:val="24"/>
                      <w:vertAlign w:val="superscript"/>
                    </w:rPr>
                  </m:ctrlPr>
                </m:sSubPr>
                <m:e>
                  <m:r>
                    <w:rPr>
                      <w:rFonts w:ascii="Cambria Math" w:eastAsia="宋体" w:hAnsi="Cambria Math" w:cs="Times New Roman"/>
                      <w:color w:val="000000" w:themeColor="text1"/>
                      <w:sz w:val="24"/>
                      <w:szCs w:val="24"/>
                      <w:vertAlign w:val="superscript"/>
                    </w:rPr>
                    <m:t>O</m:t>
                  </m:r>
                </m:e>
                <m:sub>
                  <m:r>
                    <w:rPr>
                      <w:rFonts w:ascii="Cambria Math" w:eastAsia="宋体" w:hAnsi="Cambria Math" w:cs="Times New Roman"/>
                      <w:color w:val="000000" w:themeColor="text1"/>
                      <w:sz w:val="24"/>
                      <w:szCs w:val="24"/>
                      <w:vertAlign w:val="superscript"/>
                    </w:rPr>
                    <m:t>2</m:t>
                  </m:r>
                </m:sub>
              </m:sSub>
              <m:r>
                <w:rPr>
                  <w:rFonts w:ascii="Cambria Math" w:eastAsia="宋体" w:hAnsi="Cambria Math" w:cs="Times New Roman"/>
                  <w:color w:val="000000" w:themeColor="text1"/>
                  <w:sz w:val="24"/>
                  <w:szCs w:val="24"/>
                  <w:vertAlign w:val="superscript"/>
                </w:rPr>
                <m:t>#(32)</m:t>
              </m:r>
            </m:e>
          </m:eqArr>
        </m:oMath>
      </m:oMathPara>
    </w:p>
    <w:p w14:paraId="0EFCC1CE" w14:textId="6C319BA6"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*COOH#(33)</m:t>
              </m:r>
            </m:e>
          </m:eqArr>
        </m:oMath>
      </m:oMathPara>
    </w:p>
    <w:p w14:paraId="11A3C5A5" w14:textId="6947E7B3"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*COOH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*CO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O#(34)</m:t>
              </m:r>
            </m:e>
          </m:eqArr>
        </m:oMath>
      </m:oMathPara>
    </w:p>
    <w:p w14:paraId="52E1FB32" w14:textId="0C4E1753" w:rsidR="00350181" w:rsidRPr="00177203" w:rsidRDefault="00000000" w:rsidP="00350181">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*CO → * + CO#(35)</m:t>
              </m:r>
            </m:e>
          </m:eqArr>
        </m:oMath>
      </m:oMathPara>
    </w:p>
    <w:p w14:paraId="65F6176D" w14:textId="3C43C2BC" w:rsidR="00EE5167" w:rsidRPr="00177203" w:rsidRDefault="00350181" w:rsidP="00EE5167">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where * stands for adsorption or active sites.</w:t>
      </w:r>
      <w:r w:rsidR="00EE5167" w:rsidRPr="00177203">
        <w:rPr>
          <w:rFonts w:eastAsia="宋体" w:cs="Times New Roman"/>
          <w:color w:val="000000" w:themeColor="text1"/>
          <w:sz w:val="24"/>
          <w:szCs w:val="24"/>
        </w:rPr>
        <w:t xml:space="preserve"> The energy barriers for CO</w:t>
      </w:r>
      <w:r w:rsidR="00EE5167" w:rsidRPr="00177203">
        <w:rPr>
          <w:rFonts w:eastAsia="宋体" w:cs="Times New Roman"/>
          <w:color w:val="000000" w:themeColor="text1"/>
          <w:sz w:val="24"/>
          <w:szCs w:val="24"/>
          <w:vertAlign w:val="subscript"/>
        </w:rPr>
        <w:t>2</w:t>
      </w:r>
      <w:r w:rsidR="00EE5167" w:rsidRPr="00177203">
        <w:rPr>
          <w:rFonts w:eastAsia="宋体" w:cs="Times New Roman"/>
          <w:color w:val="000000" w:themeColor="text1"/>
          <w:sz w:val="24"/>
          <w:szCs w:val="24"/>
        </w:rPr>
        <w:t xml:space="preserve"> adsorption on the surfaces of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EE5167" w:rsidRPr="00177203">
        <w:rPr>
          <w:rFonts w:eastAsia="宋体" w:cs="Times New Roman"/>
          <w:color w:val="000000" w:themeColor="text1"/>
          <w:sz w:val="24"/>
          <w:szCs w:val="24"/>
        </w:rPr>
        <w:t xml:space="preserve">, </w:t>
      </w:r>
      <w:r w:rsidR="002D60F1" w:rsidRPr="00177203">
        <w:rPr>
          <w:rFonts w:eastAsia="宋体" w:cs="Times New Roman"/>
          <w:color w:val="000000" w:themeColor="text1"/>
          <w:sz w:val="24"/>
          <w:szCs w:val="24"/>
        </w:rPr>
        <w:t>Cu–N</w:t>
      </w:r>
      <w:r w:rsidR="002D60F1" w:rsidRPr="00177203">
        <w:rPr>
          <w:rFonts w:eastAsia="宋体" w:cs="Times New Roman"/>
          <w:color w:val="000000" w:themeColor="text1"/>
          <w:sz w:val="24"/>
          <w:szCs w:val="24"/>
          <w:vertAlign w:val="subscript"/>
        </w:rPr>
        <w:t>3</w:t>
      </w:r>
      <w:r w:rsidR="002D60F1" w:rsidRPr="00177203">
        <w:rPr>
          <w:rFonts w:eastAsia="宋体" w:cs="Times New Roman"/>
          <w:color w:val="000000" w:themeColor="text1"/>
          <w:sz w:val="24"/>
          <w:szCs w:val="24"/>
        </w:rPr>
        <w:t>–C and Cu–N</w:t>
      </w:r>
      <w:r w:rsidR="002D60F1" w:rsidRPr="00177203">
        <w:rPr>
          <w:rFonts w:eastAsia="宋体" w:cs="Times New Roman"/>
          <w:color w:val="000000" w:themeColor="text1"/>
          <w:sz w:val="24"/>
          <w:szCs w:val="24"/>
          <w:vertAlign w:val="subscript"/>
        </w:rPr>
        <w:t>2</w:t>
      </w:r>
      <w:r w:rsidR="002D60F1" w:rsidRPr="00177203">
        <w:rPr>
          <w:rFonts w:eastAsia="宋体" w:cs="Times New Roman"/>
          <w:color w:val="000000" w:themeColor="text1"/>
          <w:sz w:val="24"/>
          <w:szCs w:val="24"/>
        </w:rPr>
        <w:t>-C</w:t>
      </w:r>
      <w:r w:rsidR="002D60F1" w:rsidRPr="00177203">
        <w:rPr>
          <w:rFonts w:eastAsia="宋体" w:cs="Times New Roman"/>
          <w:color w:val="000000" w:themeColor="text1"/>
          <w:sz w:val="24"/>
          <w:szCs w:val="24"/>
          <w:vertAlign w:val="subscript"/>
        </w:rPr>
        <w:t>2</w:t>
      </w:r>
      <w:r w:rsidR="00EE5167" w:rsidRPr="00177203">
        <w:rPr>
          <w:rFonts w:eastAsia="宋体" w:cs="Times New Roman"/>
          <w:color w:val="000000" w:themeColor="text1"/>
          <w:sz w:val="24"/>
          <w:szCs w:val="24"/>
        </w:rPr>
        <w:t xml:space="preserve"> are 0.39 eV, 0.53 eV and 0.47 eV respectively; the energy barriers for the initial reduction are 1.35 eV, 1.34 eV and 1.29 eV. The reaction energy barriers of HER for </w:t>
      </w:r>
      <w:r w:rsidR="00E63B12" w:rsidRPr="00177203">
        <w:rPr>
          <w:rFonts w:eastAsia="宋体" w:cs="Times New Roman"/>
          <w:color w:val="000000" w:themeColor="text1"/>
          <w:sz w:val="24"/>
          <w:szCs w:val="24"/>
        </w:rPr>
        <w:t>Cu–N</w:t>
      </w:r>
      <w:r w:rsidR="00E63B12" w:rsidRPr="00177203">
        <w:rPr>
          <w:rFonts w:eastAsia="宋体" w:cs="Times New Roman"/>
          <w:color w:val="000000" w:themeColor="text1"/>
          <w:sz w:val="24"/>
          <w:szCs w:val="24"/>
          <w:vertAlign w:val="subscript"/>
        </w:rPr>
        <w:t>4</w:t>
      </w:r>
      <w:r w:rsidR="00EE5167" w:rsidRPr="00177203">
        <w:rPr>
          <w:rFonts w:eastAsia="宋体" w:cs="Times New Roman"/>
          <w:color w:val="000000" w:themeColor="text1"/>
          <w:sz w:val="24"/>
          <w:szCs w:val="24"/>
        </w:rPr>
        <w:t xml:space="preserve">, </w:t>
      </w:r>
      <w:r w:rsidR="00E63B12" w:rsidRPr="00177203">
        <w:rPr>
          <w:rFonts w:eastAsia="宋体" w:cs="Times New Roman"/>
          <w:color w:val="000000" w:themeColor="text1"/>
          <w:sz w:val="24"/>
          <w:szCs w:val="24"/>
        </w:rPr>
        <w:t>Cu–N</w:t>
      </w:r>
      <w:r w:rsidR="00EE5167" w:rsidRPr="00177203">
        <w:rPr>
          <w:rFonts w:eastAsia="宋体" w:cs="Times New Roman"/>
          <w:color w:val="000000" w:themeColor="text1"/>
          <w:sz w:val="24"/>
          <w:szCs w:val="24"/>
          <w:vertAlign w:val="subscript"/>
        </w:rPr>
        <w:t>3</w:t>
      </w:r>
      <w:r w:rsidR="002D60F1" w:rsidRPr="00177203">
        <w:rPr>
          <w:rFonts w:eastAsia="宋体" w:cs="Times New Roman"/>
          <w:color w:val="000000" w:themeColor="text1"/>
          <w:sz w:val="24"/>
          <w:szCs w:val="24"/>
        </w:rPr>
        <w:t>–C</w:t>
      </w:r>
      <w:r w:rsidR="00EE5167" w:rsidRPr="00177203">
        <w:rPr>
          <w:rFonts w:eastAsia="宋体" w:cs="Times New Roman"/>
          <w:color w:val="000000" w:themeColor="text1"/>
          <w:sz w:val="24"/>
          <w:szCs w:val="24"/>
        </w:rPr>
        <w:t xml:space="preserve"> and </w:t>
      </w:r>
      <w:r w:rsidR="00E63B12" w:rsidRPr="00177203">
        <w:rPr>
          <w:rFonts w:eastAsia="宋体" w:cs="Times New Roman"/>
          <w:color w:val="000000" w:themeColor="text1"/>
          <w:sz w:val="24"/>
          <w:szCs w:val="24"/>
        </w:rPr>
        <w:t>Cu–N</w:t>
      </w:r>
      <w:r w:rsidR="00EE5167" w:rsidRPr="00177203">
        <w:rPr>
          <w:rFonts w:eastAsia="宋体" w:cs="Times New Roman"/>
          <w:color w:val="000000" w:themeColor="text1"/>
          <w:sz w:val="24"/>
          <w:szCs w:val="24"/>
          <w:vertAlign w:val="subscript"/>
        </w:rPr>
        <w:t>2</w:t>
      </w:r>
      <w:r w:rsidR="002D60F1" w:rsidRPr="00177203">
        <w:rPr>
          <w:rFonts w:eastAsia="宋体" w:cs="Times New Roman"/>
          <w:color w:val="000000" w:themeColor="text1"/>
          <w:sz w:val="24"/>
          <w:szCs w:val="24"/>
        </w:rPr>
        <w:t>-C</w:t>
      </w:r>
      <w:r w:rsidR="002D60F1" w:rsidRPr="00177203">
        <w:rPr>
          <w:rFonts w:eastAsia="宋体" w:cs="Times New Roman"/>
          <w:color w:val="000000" w:themeColor="text1"/>
          <w:sz w:val="24"/>
          <w:szCs w:val="24"/>
          <w:vertAlign w:val="subscript"/>
        </w:rPr>
        <w:t>2</w:t>
      </w:r>
      <w:r w:rsidR="00EE5167" w:rsidRPr="00177203">
        <w:rPr>
          <w:rFonts w:eastAsia="宋体" w:cs="Times New Roman"/>
          <w:color w:val="000000" w:themeColor="text1"/>
          <w:sz w:val="24"/>
          <w:szCs w:val="24"/>
        </w:rPr>
        <w:t xml:space="preserve"> are 1.52 eV, 0.21 eV and 1.42 eV respectively.</w:t>
      </w:r>
      <w:r w:rsidR="00EE5167" w:rsidRPr="00177203">
        <w:rPr>
          <w:rFonts w:eastAsia="宋体" w:cs="Times New Roman"/>
          <w:color w:val="000000" w:themeColor="text1"/>
          <w:sz w:val="24"/>
          <w:szCs w:val="24"/>
        </w:rPr>
        <w:br w:type="page"/>
      </w:r>
    </w:p>
    <w:p w14:paraId="186A7D0B" w14:textId="77777777" w:rsidR="00F80066" w:rsidRPr="00177203" w:rsidRDefault="00F80066" w:rsidP="00F80066">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1EB53F04" wp14:editId="2A3F5086">
            <wp:extent cx="3600000" cy="2132001"/>
            <wp:effectExtent l="0" t="0" r="635" b="1905"/>
            <wp:docPr id="158248900" name="图片 15824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00000" cy="2132001"/>
                    </a:xfrm>
                    <a:prstGeom prst="rect">
                      <a:avLst/>
                    </a:prstGeom>
                    <a:noFill/>
                    <a:ln>
                      <a:noFill/>
                    </a:ln>
                  </pic:spPr>
                </pic:pic>
              </a:graphicData>
            </a:graphic>
          </wp:inline>
        </w:drawing>
      </w:r>
    </w:p>
    <w:p w14:paraId="0B5414CE" w14:textId="51DCD83C" w:rsidR="00F80066" w:rsidRPr="00177203" w:rsidRDefault="00F80066" w:rsidP="00F80066">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 Fig. 55</w:t>
      </w:r>
      <w:r w:rsidRPr="00177203">
        <w:rPr>
          <w:rFonts w:eastAsia="宋体" w:cs="Times New Roman"/>
          <w:color w:val="000000" w:themeColor="text1"/>
          <w:sz w:val="24"/>
          <w:szCs w:val="24"/>
        </w:rPr>
        <w:t>. Optimized adsorption configuration of key species involved in C–N coupling reactions on the modelled Cu–N</w:t>
      </w:r>
      <w:r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site. Color code: brown = C, blue = Cu, red = O, silvery = N, white = H. Calculated via DFT (VASP 6.4.4, PBE-GGA functional).</w:t>
      </w:r>
      <w:r w:rsidRPr="00177203">
        <w:rPr>
          <w:rFonts w:eastAsia="宋体" w:cs="Times New Roman"/>
          <w:color w:val="000000" w:themeColor="text1"/>
          <w:sz w:val="24"/>
          <w:szCs w:val="24"/>
        </w:rPr>
        <w:br w:type="page"/>
      </w:r>
    </w:p>
    <w:p w14:paraId="444B6DA7" w14:textId="05B1CF7B" w:rsidR="00440ECA" w:rsidRPr="00177203" w:rsidRDefault="00A077F3" w:rsidP="00440ECA">
      <w:pPr>
        <w:spacing w:afterLines="50" w:after="156"/>
        <w:jc w:val="center"/>
        <w:rPr>
          <w:rFonts w:eastAsia="宋体" w:cs="Times New Roman"/>
          <w:color w:val="000000" w:themeColor="text1"/>
          <w:sz w:val="24"/>
          <w:szCs w:val="24"/>
        </w:rPr>
      </w:pPr>
      <w:r w:rsidRPr="00177203">
        <w:rPr>
          <w:rFonts w:cs="Times New Roman"/>
          <w:noProof/>
        </w:rPr>
        <w:drawing>
          <wp:inline distT="0" distB="0" distL="0" distR="0" wp14:anchorId="0316A2B3" wp14:editId="49341FED">
            <wp:extent cx="5274310" cy="2221230"/>
            <wp:effectExtent l="0" t="0" r="2540" b="7620"/>
            <wp:docPr id="158248898" name="图片 15824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2221230"/>
                    </a:xfrm>
                    <a:prstGeom prst="rect">
                      <a:avLst/>
                    </a:prstGeom>
                    <a:noFill/>
                    <a:ln>
                      <a:noFill/>
                    </a:ln>
                  </pic:spPr>
                </pic:pic>
              </a:graphicData>
            </a:graphic>
          </wp:inline>
        </w:drawing>
      </w:r>
    </w:p>
    <w:p w14:paraId="077525E4" w14:textId="74EF971E" w:rsidR="004243D1" w:rsidRPr="00177203" w:rsidRDefault="00440ECA" w:rsidP="00F80066">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 Fig. 5</w:t>
      </w:r>
      <w:r w:rsidR="00F80066" w:rsidRPr="00177203">
        <w:rPr>
          <w:rFonts w:eastAsia="宋体" w:cs="Times New Roman"/>
          <w:b/>
          <w:bCs/>
          <w:color w:val="000000" w:themeColor="text1"/>
          <w:sz w:val="24"/>
          <w:szCs w:val="24"/>
        </w:rPr>
        <w:t>6</w:t>
      </w:r>
      <w:r w:rsidRPr="00177203">
        <w:rPr>
          <w:rFonts w:eastAsia="宋体" w:cs="Times New Roman"/>
          <w:color w:val="000000" w:themeColor="text1"/>
          <w:sz w:val="24"/>
          <w:szCs w:val="24"/>
        </w:rPr>
        <w:t xml:space="preserve">. </w:t>
      </w:r>
      <w:r w:rsidR="00F80066" w:rsidRPr="00177203">
        <w:rPr>
          <w:rFonts w:eastAsia="宋体" w:cs="Times New Roman"/>
          <w:color w:val="000000" w:themeColor="text1"/>
          <w:sz w:val="24"/>
          <w:szCs w:val="24"/>
        </w:rPr>
        <w:t>Optimized initial state, transition state and final state of C–N coupling steps on the modelled Cu–N</w:t>
      </w:r>
      <w:r w:rsidR="00F80066" w:rsidRPr="00177203">
        <w:rPr>
          <w:rFonts w:eastAsia="宋体" w:cs="Times New Roman"/>
          <w:color w:val="000000" w:themeColor="text1"/>
          <w:sz w:val="24"/>
          <w:szCs w:val="24"/>
          <w:vertAlign w:val="subscript"/>
        </w:rPr>
        <w:t>4</w:t>
      </w:r>
      <w:r w:rsidR="00F80066" w:rsidRPr="00177203">
        <w:rPr>
          <w:rFonts w:eastAsia="宋体" w:cs="Times New Roman"/>
          <w:color w:val="000000" w:themeColor="text1"/>
          <w:sz w:val="24"/>
          <w:szCs w:val="24"/>
        </w:rPr>
        <w:t xml:space="preserve"> site: (a) coupling between *CO and *NO, (b) coupling between *CON</w:t>
      </w:r>
      <w:r w:rsidR="00F80066" w:rsidRPr="00177203">
        <w:rPr>
          <w:rFonts w:eastAsia="宋体" w:cs="Times New Roman"/>
          <w:sz w:val="24"/>
          <w:szCs w:val="24"/>
        </w:rPr>
        <w:t>H</w:t>
      </w:r>
      <w:r w:rsidR="00F80066" w:rsidRPr="00177203">
        <w:rPr>
          <w:rFonts w:eastAsia="宋体" w:cs="Times New Roman"/>
          <w:sz w:val="24"/>
          <w:szCs w:val="24"/>
          <w:vertAlign w:val="subscript"/>
        </w:rPr>
        <w:t>2</w:t>
      </w:r>
      <w:r w:rsidR="00F80066" w:rsidRPr="00177203">
        <w:rPr>
          <w:rFonts w:eastAsia="宋体" w:cs="Times New Roman"/>
          <w:color w:val="000000" w:themeColor="text1"/>
          <w:sz w:val="24"/>
          <w:szCs w:val="24"/>
        </w:rPr>
        <w:t xml:space="preserve"> and *NO</w:t>
      </w:r>
      <w:r w:rsidR="00F80066" w:rsidRPr="00177203">
        <w:rPr>
          <w:rFonts w:eastAsia="宋体" w:cs="Times New Roman"/>
          <w:color w:val="000000" w:themeColor="text1"/>
          <w:sz w:val="24"/>
          <w:szCs w:val="24"/>
          <w:vertAlign w:val="subscript"/>
        </w:rPr>
        <w:t>2</w:t>
      </w:r>
      <w:r w:rsidR="00F80066" w:rsidRPr="00177203">
        <w:rPr>
          <w:rFonts w:eastAsia="宋体" w:cs="Times New Roman"/>
          <w:color w:val="000000" w:themeColor="text1"/>
          <w:sz w:val="24"/>
          <w:szCs w:val="24"/>
        </w:rPr>
        <w:t>. Color code: brown = C, blue = Cu, red = O, silvery = N, white = H. Calculated via DFT (VASP 6.4.4, PBE-GGA functional).</w:t>
      </w:r>
      <w:r w:rsidR="004243D1" w:rsidRPr="00177203">
        <w:rPr>
          <w:rFonts w:eastAsia="宋体" w:cs="Times New Roman"/>
          <w:color w:val="000000" w:themeColor="text1"/>
          <w:sz w:val="24"/>
          <w:szCs w:val="24"/>
        </w:rPr>
        <w:br w:type="page"/>
      </w:r>
    </w:p>
    <w:p w14:paraId="704BE314" w14:textId="61A15DE0" w:rsidR="00580616" w:rsidRPr="00177203" w:rsidRDefault="007F23E7" w:rsidP="007F23E7">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Electrocatalytic urea synthesis reaction pathways and competing side reactions</w:t>
      </w:r>
      <w:r w:rsidRPr="00177203">
        <w:rPr>
          <w:rFonts w:eastAsia="宋体" w:cs="Times New Roman"/>
          <w:color w:val="000000" w:themeColor="text1"/>
          <w:sz w:val="24"/>
          <w:szCs w:val="24"/>
        </w:rPr>
        <w:t>:</w:t>
      </w:r>
      <w:r w:rsidRPr="00177203">
        <w:rPr>
          <w:rFonts w:eastAsia="宋体" w:cs="Times New Roman"/>
          <w:b/>
          <w:bCs/>
          <w:color w:val="000000" w:themeColor="text1"/>
          <w:sz w:val="24"/>
          <w:szCs w:val="24"/>
        </w:rPr>
        <w:t xml:space="preserve"> </w:t>
      </w:r>
      <w:r w:rsidR="00EE5167" w:rsidRPr="00177203">
        <w:rPr>
          <w:rFonts w:eastAsia="宋体" w:cs="Times New Roman"/>
          <w:color w:val="000000" w:themeColor="text1"/>
          <w:sz w:val="24"/>
          <w:szCs w:val="24"/>
        </w:rPr>
        <w:t>For C–N coupling urea synthesis</w:t>
      </w:r>
      <w:r w:rsidR="00580616" w:rsidRPr="00177203">
        <w:rPr>
          <w:rFonts w:eastAsia="宋体" w:cs="Times New Roman"/>
          <w:color w:val="000000" w:themeColor="text1"/>
          <w:sz w:val="24"/>
          <w:szCs w:val="24"/>
        </w:rPr>
        <w:t>, CO</w:t>
      </w:r>
      <w:r w:rsidR="00580616" w:rsidRPr="00177203">
        <w:rPr>
          <w:rFonts w:eastAsia="宋体" w:cs="Times New Roman"/>
          <w:color w:val="000000" w:themeColor="text1"/>
          <w:sz w:val="24"/>
          <w:szCs w:val="24"/>
          <w:vertAlign w:val="subscript"/>
        </w:rPr>
        <w:t>2</w:t>
      </w:r>
      <w:r w:rsidR="00580616" w:rsidRPr="00177203">
        <w:rPr>
          <w:rFonts w:eastAsia="宋体" w:cs="Times New Roman"/>
          <w:color w:val="000000" w:themeColor="text1"/>
          <w:sz w:val="24"/>
          <w:szCs w:val="24"/>
        </w:rPr>
        <w:t xml:space="preserve"> was first reduced to *CO via a 2-electron transfer process, followed by multi-step </w:t>
      </w:r>
      <w:r w:rsidR="00E63B12" w:rsidRPr="00177203">
        <w:rPr>
          <w:rFonts w:eastAsia="宋体" w:cs="Times New Roman"/>
          <w:color w:val="000000" w:themeColor="text1"/>
          <w:sz w:val="24"/>
          <w:szCs w:val="24"/>
        </w:rPr>
        <w:t>C–N coupling</w:t>
      </w:r>
      <w:r w:rsidR="00580616" w:rsidRPr="00177203">
        <w:rPr>
          <w:rFonts w:eastAsia="宋体" w:cs="Times New Roman"/>
          <w:color w:val="000000" w:themeColor="text1"/>
          <w:sz w:val="24"/>
          <w:szCs w:val="24"/>
        </w:rPr>
        <w:t xml:space="preserve"> reaction with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580616" w:rsidRPr="00177203">
        <w:rPr>
          <w:rFonts w:eastAsia="宋体" w:cs="Times New Roman"/>
          <w:color w:val="000000" w:themeColor="text1"/>
          <w:sz w:val="24"/>
          <w:szCs w:val="24"/>
        </w:rPr>
        <w:t>RR-derived intermediates to produce urea</w:t>
      </w:r>
      <w:r w:rsidR="00DE56AD" w:rsidRPr="00177203">
        <w:rPr>
          <w:rFonts w:eastAsia="宋体" w:cs="Times New Roman"/>
          <w:color w:val="000000" w:themeColor="text1"/>
          <w:sz w:val="24"/>
          <w:szCs w:val="24"/>
        </w:rPr>
        <w:t xml:space="preserve"> (Fig. </w:t>
      </w:r>
      <w:r w:rsidR="00DE56AD" w:rsidRPr="00177203">
        <w:rPr>
          <w:rFonts w:eastAsia="宋体" w:cs="Times New Roman"/>
          <w:color w:val="0070C0"/>
          <w:sz w:val="24"/>
          <w:szCs w:val="24"/>
        </w:rPr>
        <w:t>5b</w:t>
      </w:r>
      <w:r w:rsidR="00DE56AD" w:rsidRPr="00177203">
        <w:rPr>
          <w:rFonts w:eastAsia="宋体" w:cs="Times New Roman"/>
          <w:color w:val="000000" w:themeColor="text1"/>
          <w:sz w:val="24"/>
          <w:szCs w:val="24"/>
        </w:rPr>
        <w:t>)</w:t>
      </w:r>
      <w:r w:rsidR="00580616" w:rsidRPr="00177203">
        <w:rPr>
          <w:rFonts w:eastAsia="宋体" w:cs="Times New Roman"/>
          <w:color w:val="000000" w:themeColor="text1"/>
          <w:sz w:val="24"/>
          <w:szCs w:val="24"/>
        </w:rPr>
        <w:t xml:space="preserve">. The elementary reactions of </w:t>
      </w:r>
      <w:r w:rsidR="00E63B12" w:rsidRPr="00177203">
        <w:rPr>
          <w:rFonts w:eastAsia="宋体" w:cs="Times New Roman"/>
          <w:color w:val="000000" w:themeColor="text1"/>
          <w:sz w:val="24"/>
          <w:szCs w:val="24"/>
        </w:rPr>
        <w:t>C–N coupling</w:t>
      </w:r>
      <w:r w:rsidR="00580616" w:rsidRPr="00177203">
        <w:rPr>
          <w:rFonts w:eastAsia="宋体" w:cs="Times New Roman"/>
          <w:color w:val="000000" w:themeColor="text1"/>
          <w:sz w:val="24"/>
          <w:szCs w:val="24"/>
        </w:rPr>
        <w:t xml:space="preserve"> on different catalyst surfaces were simulated according to the following 16-electron total reaction and stepwise proton-coupled electron transfer processes:</w:t>
      </w:r>
    </w:p>
    <w:p w14:paraId="4D9868B1" w14:textId="58BCCB73" w:rsidR="00DB45D9" w:rsidRPr="00177203" w:rsidRDefault="00000000" w:rsidP="00DB45D9">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+ 2N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微软雅黑"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+18</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+16</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→CO</m:t>
              </m:r>
              <m:sSub>
                <m:sSubPr>
                  <m:ctrlPr>
                    <w:rPr>
                      <w:rFonts w:ascii="Cambria Math" w:eastAsia="宋体" w:hAnsi="Cambria Math" w:cs="Times New Roman"/>
                      <w:i/>
                      <w:color w:val="000000" w:themeColor="text1"/>
                      <w:sz w:val="24"/>
                      <w:szCs w:val="24"/>
                    </w:rPr>
                  </m:ctrlPr>
                </m:sSubPr>
                <m:e>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e>
                  </m:d>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+7</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O#(36)</m:t>
              </m:r>
            </m:e>
          </m:eqArr>
        </m:oMath>
      </m:oMathPara>
    </w:p>
    <w:p w14:paraId="559B5062" w14:textId="77777777" w:rsidR="00580616" w:rsidRPr="00177203" w:rsidRDefault="00580616" w:rsidP="00B861E6">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CO2 reduction to *CO intermediate</w:t>
      </w:r>
    </w:p>
    <w:p w14:paraId="267D9DF1" w14:textId="25820183" w:rsidR="00487E23" w:rsidRPr="00177203" w:rsidRDefault="00000000" w:rsidP="00B861E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COOH#(37)</m:t>
              </m:r>
            </m:e>
          </m:eqArr>
        </m:oMath>
      </m:oMathPara>
    </w:p>
    <w:p w14:paraId="34B71AEE" w14:textId="6025B36F"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 xml:space="preserve">COOH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 xml:space="preserve">CO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O#(38)</m:t>
              </m:r>
            </m:e>
          </m:eqArr>
        </m:oMath>
      </m:oMathPara>
    </w:p>
    <w:p w14:paraId="3927E8E4" w14:textId="690D753E" w:rsidR="00580616" w:rsidRPr="00177203" w:rsidRDefault="00580616" w:rsidP="00E65C21">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EE5167"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 reduction to *NO intermediate</w:t>
      </w:r>
      <w:r w:rsidR="00F8213A" w:rsidRPr="00177203">
        <w:rPr>
          <w:rFonts w:eastAsia="宋体" w:cs="Times New Roman"/>
          <w:color w:val="000000" w:themeColor="text1"/>
          <w:sz w:val="24"/>
          <w:szCs w:val="24"/>
        </w:rPr>
        <w:t>:</w:t>
      </w:r>
    </w:p>
    <w:p w14:paraId="253C40BB" w14:textId="01E95D2E"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微软雅黑"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H#(39)</m:t>
              </m:r>
            </m:e>
          </m:eqArr>
        </m:oMath>
      </m:oMathPara>
    </w:p>
    <w:p w14:paraId="3D343CDA" w14:textId="4DE03AB3" w:rsidR="00487E23" w:rsidRPr="00177203" w:rsidRDefault="00000000" w:rsidP="00B861E6">
      <w:pPr>
        <w:spacing w:afterLines="50" w:after="156"/>
        <w:ind w:left="420"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 xml:space="preserve">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O#(40)</m:t>
              </m:r>
            </m:e>
          </m:eqArr>
        </m:oMath>
      </m:oMathPara>
    </w:p>
    <w:p w14:paraId="3736FB4E" w14:textId="0A83119E"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H#(41)</m:t>
              </m:r>
            </m:e>
          </m:eqArr>
        </m:oMath>
      </m:oMathPara>
    </w:p>
    <w:p w14:paraId="5F91A00F" w14:textId="340A5059"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*NO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O#(42)</m:t>
              </m:r>
            </m:e>
          </m:eqArr>
        </m:oMath>
      </m:oMathPara>
    </w:p>
    <w:p w14:paraId="272C4F1E" w14:textId="0655EFDA" w:rsidR="00580616" w:rsidRPr="00177203" w:rsidRDefault="00F8213A" w:rsidP="00E65C21">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First </w:t>
      </w:r>
      <w:r w:rsidR="00E63B12" w:rsidRPr="00177203">
        <w:rPr>
          <w:rFonts w:eastAsia="宋体" w:cs="Times New Roman"/>
          <w:color w:val="000000" w:themeColor="text1"/>
          <w:sz w:val="24"/>
          <w:szCs w:val="24"/>
        </w:rPr>
        <w:t>C–N coupling</w:t>
      </w:r>
      <w:r w:rsidR="00E65C21" w:rsidRPr="00177203">
        <w:rPr>
          <w:rFonts w:eastAsia="宋体" w:cs="Times New Roman"/>
          <w:color w:val="000000" w:themeColor="text1"/>
          <w:sz w:val="24"/>
          <w:szCs w:val="24"/>
        </w:rPr>
        <w:t>:</w:t>
      </w:r>
    </w:p>
    <w:p w14:paraId="4018E472" w14:textId="4D8B1770"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*CO + *NO → *CONO#(43)</m:t>
              </m:r>
            </m:e>
          </m:eqArr>
        </m:oMath>
      </m:oMathPara>
    </w:p>
    <w:p w14:paraId="095B53A4" w14:textId="309D4940"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*CONO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*CONHO#(44)</m:t>
              </m:r>
            </m:e>
          </m:eqArr>
        </m:oMath>
      </m:oMathPara>
    </w:p>
    <w:p w14:paraId="399AF6C0" w14:textId="7A9A474A"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*CONHO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*CONHOH#(45)</m:t>
              </m:r>
            </m:e>
          </m:eqArr>
        </m:oMath>
      </m:oMathPara>
    </w:p>
    <w:p w14:paraId="25D1E64D" w14:textId="4BCFDBE4" w:rsidR="00487E23"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 xml:space="preserve">CONHOH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微软雅黑"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r>
                <w:rPr>
                  <w:rFonts w:ascii="Cambria Math" w:eastAsia="MS Gothic" w:hAnsi="Cambria Math" w:cs="Times New Roman"/>
                  <w:color w:val="000000" w:themeColor="text1"/>
                  <w:sz w:val="24"/>
                  <w:szCs w:val="24"/>
                </w:rPr>
                <m:t>*</m:t>
              </m:r>
              <m:r>
                <w:rPr>
                  <w:rFonts w:ascii="Cambria Math" w:eastAsia="宋体" w:hAnsi="Cambria Math" w:cs="Times New Roman"/>
                  <w:color w:val="000000" w:themeColor="text1"/>
                  <w:sz w:val="24"/>
                  <w:szCs w:val="24"/>
                </w:rPr>
                <m:t xml:space="preserve">CONH +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O#(46)</m:t>
              </m:r>
            </m:e>
          </m:eqArr>
        </m:oMath>
      </m:oMathPara>
    </w:p>
    <w:p w14:paraId="32EF7F98" w14:textId="05AC3748" w:rsidR="00580616" w:rsidRPr="00177203" w:rsidRDefault="00000000" w:rsidP="00580616">
      <w:pPr>
        <w:spacing w:afterLines="50" w:after="156"/>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xml:space="preserve">*CONH +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#(47)</m:t>
              </m:r>
            </m:e>
          </m:eqArr>
        </m:oMath>
      </m:oMathPara>
    </w:p>
    <w:p w14:paraId="5A78854C" w14:textId="729CA5B0" w:rsidR="00F8213A" w:rsidRPr="00177203" w:rsidRDefault="00F8213A" w:rsidP="00F8213A">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Second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00EE5167"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 reduction to *</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intermediate:</w:t>
      </w:r>
    </w:p>
    <w:p w14:paraId="4D9B2E4E" w14:textId="26498CF0"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 + 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宋体"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 *N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宋体"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#(48)</m:t>
              </m:r>
            </m:e>
          </m:eqArr>
        </m:oMath>
      </m:oMathPara>
    </w:p>
    <w:p w14:paraId="06F18029" w14:textId="38B96593"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Sup>
                <m:sSubSupPr>
                  <m:ctrlPr>
                    <w:rPr>
                      <w:rFonts w:ascii="Cambria Math" w:eastAsia="宋体" w:hAnsi="Cambria Math" w:cs="Times New Roman"/>
                      <w:i/>
                      <w:color w:val="000000" w:themeColor="text1"/>
                      <w:sz w:val="24"/>
                      <w:szCs w:val="24"/>
                    </w:rPr>
                  </m:ctrlPr>
                </m:sSubSup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up>
                  <m:r>
                    <w:rPr>
                      <w:rFonts w:ascii="Cambria Math" w:eastAsia="宋体" w:hAnsi="Cambria Math" w:cs="Times New Roman"/>
                      <w:color w:val="000000" w:themeColor="text1"/>
                      <w:sz w:val="24"/>
                      <w:szCs w:val="24"/>
                    </w:rPr>
                    <m:t>-</m:t>
                  </m:r>
                </m:sup>
              </m:sSub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H#(49)</m:t>
              </m:r>
            </m:e>
          </m:eqArr>
        </m:oMath>
      </m:oMathPara>
    </w:p>
    <w:p w14:paraId="269B9777" w14:textId="65F00853"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3</m:t>
                  </m:r>
                </m:sub>
              </m:sSub>
              <m:r>
                <w:rPr>
                  <w:rFonts w:ascii="Cambria Math" w:eastAsia="宋体" w:hAnsi="Cambria Math" w:cs="Times New Roman"/>
                  <w:color w:val="000000" w:themeColor="text1"/>
                  <w:sz w:val="24"/>
                  <w:szCs w:val="24"/>
                </w:rPr>
                <m:t xml:space="preserve">H+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xml:space="preserve">+ </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O#(50)</m:t>
              </m:r>
            </m:e>
          </m:eqArr>
        </m:oMath>
      </m:oMathPara>
    </w:p>
    <w:p w14:paraId="38A4F97A" w14:textId="4C094FAF"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#(51)</m:t>
              </m:r>
            </m:e>
          </m:eqArr>
        </m:oMath>
      </m:oMathPara>
    </w:p>
    <w:p w14:paraId="77C90318" w14:textId="28458C85"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O</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+ 6</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H</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+ 6</m:t>
              </m:r>
              <m:sSup>
                <m:sSupPr>
                  <m:ctrlPr>
                    <w:rPr>
                      <w:rFonts w:ascii="Cambria Math" w:eastAsia="宋体" w:hAnsi="Cambria Math" w:cs="Times New Roman"/>
                      <w:i/>
                      <w:color w:val="000000" w:themeColor="text1"/>
                      <w:sz w:val="24"/>
                      <w:szCs w:val="24"/>
                    </w:rPr>
                  </m:ctrlPr>
                </m:sSupPr>
                <m:e>
                  <m:r>
                    <w:rPr>
                      <w:rFonts w:ascii="Cambria Math" w:eastAsia="宋体" w:hAnsi="Cambria Math" w:cs="Times New Roman"/>
                      <w:color w:val="000000" w:themeColor="text1"/>
                      <w:sz w:val="24"/>
                      <w:szCs w:val="24"/>
                    </w:rPr>
                    <m:t>e</m:t>
                  </m:r>
                </m:e>
                <m:sup>
                  <m:r>
                    <w:rPr>
                      <w:rFonts w:ascii="Cambria Math" w:eastAsia="宋体" w:hAnsi="Cambria Math" w:cs="Times New Roman"/>
                      <w:color w:val="000000" w:themeColor="text1"/>
                      <w:sz w:val="24"/>
                      <w:szCs w:val="24"/>
                    </w:rPr>
                    <m:t>-</m:t>
                  </m:r>
                </m:sup>
              </m:sSup>
              <m:r>
                <w:rPr>
                  <w:rFonts w:ascii="Cambria Math" w:eastAsia="宋体" w:hAnsi="Cambria Math" w:cs="Times New Roman"/>
                  <w:color w:val="000000" w:themeColor="text1"/>
                  <w:sz w:val="24"/>
                  <w:szCs w:val="24"/>
                </w:rPr>
                <m:t>→ *CON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+ 4</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O#(52)</m:t>
              </m:r>
            </m:e>
          </m:eqArr>
        </m:oMath>
      </m:oMathPara>
    </w:p>
    <w:p w14:paraId="2D821791" w14:textId="728A2093" w:rsidR="00487E23" w:rsidRPr="00177203" w:rsidRDefault="00000000" w:rsidP="000442BC">
      <w:pPr>
        <w:spacing w:afterLines="50" w:after="156"/>
        <w:ind w:firstLine="420"/>
        <w:jc w:val="right"/>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r>
                <w:rPr>
                  <w:rFonts w:ascii="Cambria Math" w:eastAsia="宋体" w:hAnsi="Cambria Math" w:cs="Times New Roman"/>
                  <w:color w:val="000000" w:themeColor="text1"/>
                  <w:sz w:val="24"/>
                  <w:szCs w:val="24"/>
                </w:rPr>
                <m:t>*CON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 * + CO</m:t>
              </m:r>
              <m:sSub>
                <m:sSubPr>
                  <m:ctrlPr>
                    <w:rPr>
                      <w:rFonts w:ascii="Cambria Math" w:eastAsia="宋体" w:hAnsi="Cambria Math" w:cs="Times New Roman"/>
                      <w:i/>
                      <w:color w:val="000000" w:themeColor="text1"/>
                      <w:sz w:val="24"/>
                      <w:szCs w:val="24"/>
                    </w:rPr>
                  </m:ctrlPr>
                </m:sSubPr>
                <m:e>
                  <m:d>
                    <m:dPr>
                      <m:ctrlPr>
                        <w:rPr>
                          <w:rFonts w:ascii="Cambria Math" w:eastAsia="宋体" w:hAnsi="Cambria Math" w:cs="Times New Roman"/>
                          <w:i/>
                          <w:color w:val="000000" w:themeColor="text1"/>
                          <w:sz w:val="24"/>
                          <w:szCs w:val="24"/>
                        </w:rPr>
                      </m:ctrlPr>
                    </m:dPr>
                    <m:e>
                      <m:r>
                        <w:rPr>
                          <w:rFonts w:ascii="Cambria Math" w:eastAsia="宋体" w:hAnsi="Cambria Math" w:cs="Times New Roman"/>
                          <w:color w:val="000000" w:themeColor="text1"/>
                          <w:sz w:val="24"/>
                          <w:szCs w:val="24"/>
                        </w:rPr>
                        <m:t>N</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H</m:t>
                          </m:r>
                        </m:e>
                        <m:sub>
                          <m:r>
                            <w:rPr>
                              <w:rFonts w:ascii="Cambria Math" w:eastAsia="宋体" w:hAnsi="Cambria Math" w:cs="Times New Roman"/>
                              <w:color w:val="000000" w:themeColor="text1"/>
                              <w:sz w:val="24"/>
                              <w:szCs w:val="24"/>
                            </w:rPr>
                            <m:t>2</m:t>
                          </m:r>
                        </m:sub>
                      </m:sSub>
                    </m:e>
                  </m:d>
                </m:e>
                <m:sub>
                  <m:r>
                    <w:rPr>
                      <w:rFonts w:ascii="Cambria Math" w:eastAsia="宋体" w:hAnsi="Cambria Math" w:cs="Times New Roman"/>
                      <w:color w:val="000000" w:themeColor="text1"/>
                      <w:sz w:val="24"/>
                      <w:szCs w:val="24"/>
                    </w:rPr>
                    <m:t>2</m:t>
                  </m:r>
                </m:sub>
              </m:sSub>
              <m:r>
                <w:rPr>
                  <w:rFonts w:ascii="Cambria Math" w:eastAsia="宋体" w:hAnsi="Cambria Math" w:cs="Times New Roman"/>
                  <w:color w:val="000000" w:themeColor="text1"/>
                  <w:sz w:val="24"/>
                  <w:szCs w:val="24"/>
                </w:rPr>
                <m:t>#(53)</m:t>
              </m:r>
            </m:e>
          </m:eqArr>
        </m:oMath>
      </m:oMathPara>
    </w:p>
    <w:p w14:paraId="2EE24FB4" w14:textId="10AECE03" w:rsidR="00580616" w:rsidRPr="00177203" w:rsidRDefault="007F23E7" w:rsidP="007F23E7">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electrocatalytic synthesis of urea from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follows a 16-electron total reaction shown in Eq.</w:t>
      </w:r>
      <w:r w:rsidR="00F368E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3</w:t>
      </w:r>
      <w:r w:rsidR="00E63FA8" w:rsidRPr="00177203">
        <w:rPr>
          <w:rFonts w:eastAsia="宋体" w:cs="Times New Roman"/>
          <w:color w:val="000000" w:themeColor="text1"/>
          <w:sz w:val="24"/>
          <w:szCs w:val="24"/>
        </w:rPr>
        <w:t>6</w:t>
      </w:r>
      <w:r w:rsidRPr="00177203">
        <w:rPr>
          <w:rFonts w:eastAsia="宋体" w:cs="Times New Roman"/>
          <w:color w:val="000000" w:themeColor="text1"/>
          <w:sz w:val="24"/>
          <w:szCs w:val="24"/>
        </w:rPr>
        <w:t xml:space="preserve">. The reaction proceeds via sequential proton-coupled electron transfer steps, starting with the reduction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to the key carbon intermediate *CO through Eq.</w:t>
      </w:r>
      <w:r w:rsidR="00F368E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3</w:t>
      </w:r>
      <w:r w:rsidR="00E63FA8" w:rsidRPr="00177203">
        <w:rPr>
          <w:rFonts w:eastAsia="宋体" w:cs="Times New Roman"/>
          <w:color w:val="000000" w:themeColor="text1"/>
          <w:sz w:val="24"/>
          <w:szCs w:val="24"/>
        </w:rPr>
        <w:t>7</w:t>
      </w:r>
      <w:r w:rsidRPr="00177203">
        <w:rPr>
          <w:rFonts w:eastAsia="宋体" w:cs="Times New Roman"/>
          <w:color w:val="000000" w:themeColor="text1"/>
          <w:sz w:val="24"/>
          <w:szCs w:val="24"/>
        </w:rPr>
        <w:t xml:space="preserve"> and Eq.</w:t>
      </w:r>
      <w:r w:rsidR="00F368E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3</w:t>
      </w:r>
      <w:r w:rsidR="00E63FA8" w:rsidRPr="00177203">
        <w:rPr>
          <w:rFonts w:eastAsia="宋体" w:cs="Times New Roman"/>
          <w:color w:val="000000" w:themeColor="text1"/>
          <w:sz w:val="24"/>
          <w:szCs w:val="24"/>
        </w:rPr>
        <w:t>8</w:t>
      </w:r>
      <w:r w:rsidRPr="00177203">
        <w:rPr>
          <w:rFonts w:eastAsia="宋体" w:cs="Times New Roman"/>
          <w:color w:val="000000" w:themeColor="text1"/>
          <w:sz w:val="24"/>
          <w:szCs w:val="24"/>
        </w:rPr>
        <w:t>. Meanwhile,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is reduced to the key nitrogen intermediate *NO via four consecutive steps described in Eq.</w:t>
      </w:r>
      <w:r w:rsidR="00F368E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3</w:t>
      </w:r>
      <w:r w:rsidR="00E63FA8" w:rsidRPr="00177203">
        <w:rPr>
          <w:rFonts w:eastAsia="宋体" w:cs="Times New Roman"/>
          <w:color w:val="000000" w:themeColor="text1"/>
          <w:sz w:val="24"/>
          <w:szCs w:val="24"/>
        </w:rPr>
        <w:t>9</w:t>
      </w:r>
      <w:r w:rsidRPr="00177203">
        <w:rPr>
          <w:rFonts w:eastAsia="宋体" w:cs="Times New Roman"/>
          <w:color w:val="000000" w:themeColor="text1"/>
          <w:sz w:val="24"/>
          <w:szCs w:val="24"/>
        </w:rPr>
        <w:t xml:space="preserve"> to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42</w:t>
      </w:r>
      <w:r w:rsidRPr="00177203">
        <w:rPr>
          <w:rFonts w:eastAsia="宋体" w:cs="Times New Roman"/>
          <w:color w:val="000000" w:themeColor="text1"/>
          <w:sz w:val="24"/>
          <w:szCs w:val="24"/>
        </w:rPr>
        <w:t>. The first C–N bond formation occurs through the coupling of *CO and *NO to generate *CONO intermediate in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43</w:t>
      </w:r>
      <w:r w:rsidRPr="00177203">
        <w:rPr>
          <w:rFonts w:eastAsia="宋体" w:cs="Times New Roman"/>
          <w:color w:val="000000" w:themeColor="text1"/>
          <w:sz w:val="24"/>
          <w:szCs w:val="24"/>
        </w:rPr>
        <w:t>, followed by sequential hydrogenation steps via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44</w:t>
      </w:r>
      <w:r w:rsidRPr="00177203">
        <w:rPr>
          <w:rFonts w:eastAsia="宋体" w:cs="Times New Roman"/>
          <w:color w:val="000000" w:themeColor="text1"/>
          <w:sz w:val="24"/>
          <w:szCs w:val="24"/>
        </w:rPr>
        <w:t xml:space="preserve"> to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47</w:t>
      </w:r>
      <w:r w:rsidRPr="00177203">
        <w:rPr>
          <w:rFonts w:eastAsia="宋体" w:cs="Times New Roman"/>
          <w:color w:val="000000" w:themeColor="text1"/>
          <w:sz w:val="24"/>
          <w:szCs w:val="24"/>
        </w:rPr>
        <w:t xml:space="preserve"> to produce *CON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The second nitrogen-containing moiety is introduced via the reduction of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to *</w:t>
      </w:r>
      <w:r w:rsidR="000C65B5" w:rsidRPr="00177203">
        <w:rPr>
          <w:rFonts w:eastAsia="宋体" w:cs="Times New Roman"/>
          <w:color w:val="000000" w:themeColor="text1"/>
          <w:sz w:val="24"/>
          <w:szCs w:val="24"/>
        </w:rPr>
        <w:t>NO</w:t>
      </w:r>
      <w:r w:rsidR="000C65B5"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through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48</w:t>
      </w:r>
      <w:r w:rsidRPr="00177203">
        <w:rPr>
          <w:rFonts w:eastAsia="宋体" w:cs="Times New Roman"/>
          <w:color w:val="000000" w:themeColor="text1"/>
          <w:sz w:val="24"/>
          <w:szCs w:val="24"/>
        </w:rPr>
        <w:t xml:space="preserve"> to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50</w:t>
      </w:r>
      <w:r w:rsidRPr="00177203">
        <w:rPr>
          <w:rFonts w:eastAsia="宋体" w:cs="Times New Roman"/>
          <w:color w:val="000000" w:themeColor="text1"/>
          <w:sz w:val="24"/>
          <w:szCs w:val="24"/>
        </w:rPr>
        <w:t>, followed by the second C–N coupling between *CON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and *</w:t>
      </w:r>
      <w:r w:rsidR="000C65B5" w:rsidRPr="00177203">
        <w:rPr>
          <w:rFonts w:eastAsia="宋体" w:cs="Times New Roman"/>
          <w:color w:val="000000" w:themeColor="text1"/>
          <w:sz w:val="24"/>
          <w:szCs w:val="24"/>
        </w:rPr>
        <w:t>NO</w:t>
      </w:r>
      <w:r w:rsidR="000C65B5"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in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51</w:t>
      </w:r>
      <w:r w:rsidRPr="00177203">
        <w:rPr>
          <w:rFonts w:eastAsia="宋体" w:cs="Times New Roman"/>
          <w:color w:val="000000" w:themeColor="text1"/>
          <w:sz w:val="24"/>
          <w:szCs w:val="24"/>
        </w:rPr>
        <w:t>. The resulting *CON</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000C65B5" w:rsidRPr="00177203">
        <w:rPr>
          <w:rFonts w:eastAsia="宋体" w:cs="Times New Roman"/>
          <w:color w:val="000000" w:themeColor="text1"/>
          <w:sz w:val="24"/>
          <w:szCs w:val="24"/>
        </w:rPr>
        <w:t>NO</w:t>
      </w:r>
      <w:r w:rsidR="000C65B5"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intermediate undergoes four-electron four-proton hydrogenation via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52</w:t>
      </w:r>
      <w:r w:rsidRPr="00177203">
        <w:rPr>
          <w:rFonts w:eastAsia="宋体" w:cs="Times New Roman"/>
          <w:color w:val="000000" w:themeColor="text1"/>
          <w:sz w:val="24"/>
          <w:szCs w:val="24"/>
        </w:rPr>
        <w:t>, and the final urea product is formed and desorbed from the catalyst surface through Eq.</w:t>
      </w:r>
      <w:r w:rsidR="00F368E4" w:rsidRPr="00177203">
        <w:rPr>
          <w:rFonts w:eastAsia="宋体" w:cs="Times New Roman"/>
          <w:color w:val="000000" w:themeColor="text1"/>
          <w:sz w:val="24"/>
          <w:szCs w:val="24"/>
        </w:rPr>
        <w:t xml:space="preserve"> </w:t>
      </w:r>
      <w:r w:rsidR="00E63FA8" w:rsidRPr="00177203">
        <w:rPr>
          <w:rFonts w:eastAsia="宋体" w:cs="Times New Roman"/>
          <w:color w:val="000000" w:themeColor="text1"/>
          <w:sz w:val="24"/>
          <w:szCs w:val="24"/>
        </w:rPr>
        <w:t>53</w:t>
      </w:r>
      <w:r w:rsidRPr="00177203">
        <w:rPr>
          <w:rFonts w:eastAsia="宋体" w:cs="Times New Roman"/>
          <w:color w:val="000000" w:themeColor="text1"/>
          <w:sz w:val="24"/>
          <w:szCs w:val="24"/>
        </w:rPr>
        <w:t>. Three competing side reaction pathways are identified alongside the main route. The first</w:t>
      </w:r>
      <w:r w:rsidR="006D4FED" w:rsidRPr="00177203">
        <w:rPr>
          <w:rFonts w:eastAsia="宋体" w:cs="Times New Roman"/>
          <w:color w:val="000000" w:themeColor="text1"/>
          <w:sz w:val="24"/>
          <w:szCs w:val="24"/>
        </w:rPr>
        <w:t xml:space="preserve"> (S1)</w:t>
      </w:r>
      <w:r w:rsidRPr="00177203">
        <w:rPr>
          <w:rFonts w:eastAsia="宋体" w:cs="Times New Roman"/>
          <w:color w:val="000000" w:themeColor="text1"/>
          <w:sz w:val="24"/>
          <w:szCs w:val="24"/>
        </w:rPr>
        <w:t xml:space="preserve"> is the </w:t>
      </w:r>
      <w:r w:rsidR="000C65B5" w:rsidRPr="00177203">
        <w:rPr>
          <w:rFonts w:eastAsia="宋体" w:cs="Times New Roman"/>
          <w:color w:val="000000" w:themeColor="text1"/>
          <w:sz w:val="24"/>
          <w:szCs w:val="24"/>
        </w:rPr>
        <w:t>NO</w:t>
      </w:r>
      <w:r w:rsidR="000C65B5"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reduction and formation of *CO</w:t>
      </w:r>
      <w:r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and *H</w:t>
      </w:r>
      <w:r w:rsidR="00E63B12" w:rsidRPr="00177203">
        <w:rPr>
          <w:rFonts w:eastAsia="宋体" w:cs="Times New Roman"/>
          <w:color w:val="000000" w:themeColor="text1"/>
          <w:sz w:val="24"/>
          <w:szCs w:val="24"/>
        </w:rPr>
        <w:t>NO</w:t>
      </w:r>
      <w:r w:rsidR="00E63B12"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with a reaction energy barrier of 2.63 eV. The second</w:t>
      </w:r>
      <w:r w:rsidR="006D4FED" w:rsidRPr="00177203">
        <w:rPr>
          <w:rFonts w:eastAsia="宋体" w:cs="Times New Roman"/>
          <w:color w:val="000000" w:themeColor="text1"/>
          <w:sz w:val="24"/>
          <w:szCs w:val="24"/>
        </w:rPr>
        <w:t xml:space="preserve"> (S2)</w:t>
      </w:r>
      <w:r w:rsidRPr="00177203">
        <w:rPr>
          <w:rFonts w:eastAsia="宋体" w:cs="Times New Roman"/>
          <w:color w:val="000000" w:themeColor="text1"/>
          <w:sz w:val="24"/>
          <w:szCs w:val="24"/>
        </w:rPr>
        <w:t xml:space="preserve"> is the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RR dissociation pathway via the reaction *CONO + H⁺ + e⁻ → *CO + *NHO with an energy barrier of 2.18 eV. The third </w:t>
      </w:r>
      <w:r w:rsidR="006D4FED" w:rsidRPr="00177203">
        <w:rPr>
          <w:rFonts w:eastAsia="宋体" w:cs="Times New Roman"/>
          <w:color w:val="000000" w:themeColor="text1"/>
          <w:sz w:val="24"/>
          <w:szCs w:val="24"/>
        </w:rPr>
        <w:t xml:space="preserve">(S3) </w:t>
      </w:r>
      <w:r w:rsidRPr="00177203">
        <w:rPr>
          <w:rFonts w:eastAsia="宋体" w:cs="Times New Roman"/>
          <w:color w:val="000000" w:themeColor="text1"/>
          <w:sz w:val="24"/>
          <w:szCs w:val="24"/>
        </w:rPr>
        <w:t xml:space="preserve">is the N-terminal reduction </w:t>
      </w:r>
      <w:r w:rsidR="006D4FED" w:rsidRPr="00177203">
        <w:rPr>
          <w:rFonts w:eastAsia="宋体" w:cs="Times New Roman"/>
          <w:color w:val="000000" w:themeColor="text1"/>
          <w:sz w:val="24"/>
          <w:szCs w:val="24"/>
        </w:rPr>
        <w:t>from *CONH to *CONH</w:t>
      </w:r>
      <w:r w:rsidR="006D4FED"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with an energy barrier of 0.57 eV.</w:t>
      </w:r>
    </w:p>
    <w:p w14:paraId="0DAB9208" w14:textId="6DC2C444" w:rsidR="006D4FED" w:rsidRPr="00177203" w:rsidRDefault="006D4FED" w:rsidP="006D4FED">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The thermodynamic regulation of the main urea synthesis pathway and competing side reactions is achieved by the nanoconfined structure of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The upshift of the Cu d-band center induced by the confined cavity was confirmed by both DFT calculations and XPS characterization. The modulated electronic structure optimizes the adsorption strength of key intermediates *CO and *NO on the </w:t>
      </w:r>
      <w:r w:rsidR="00B93AF8" w:rsidRPr="00177203">
        <w:rPr>
          <w:rFonts w:eastAsia="宋体" w:cs="Times New Roman"/>
          <w:color w:val="000000" w:themeColor="text1"/>
          <w:sz w:val="24"/>
          <w:szCs w:val="24"/>
        </w:rPr>
        <w:t>Cu–N</w:t>
      </w:r>
      <w:r w:rsidR="00B93AF8" w:rsidRPr="00177203">
        <w:rPr>
          <w:rFonts w:eastAsia="宋体" w:cs="Times New Roman"/>
          <w:color w:val="000000" w:themeColor="text1"/>
          <w:sz w:val="24"/>
          <w:szCs w:val="24"/>
          <w:vertAlign w:val="subscript"/>
        </w:rPr>
        <w:t>4</w:t>
      </w:r>
      <w:r w:rsidRPr="00177203">
        <w:rPr>
          <w:rFonts w:eastAsia="宋体" w:cs="Times New Roman"/>
          <w:color w:val="000000" w:themeColor="text1"/>
          <w:sz w:val="24"/>
          <w:szCs w:val="24"/>
        </w:rPr>
        <w:t xml:space="preserve"> active sites. The adsorption free energies of *CO and *NO </w:t>
      </w:r>
      <w:proofErr w:type="gramStart"/>
      <w:r w:rsidR="00306188" w:rsidRPr="00177203">
        <w:rPr>
          <w:rFonts w:eastAsia="宋体" w:cs="Times New Roman"/>
          <w:color w:val="000000" w:themeColor="text1"/>
          <w:sz w:val="24"/>
          <w:szCs w:val="24"/>
        </w:rPr>
        <w:t>are</w:t>
      </w:r>
      <w:proofErr w:type="gramEnd"/>
      <w:r w:rsidRPr="00177203">
        <w:rPr>
          <w:rFonts w:eastAsia="宋体" w:cs="Times New Roman"/>
          <w:color w:val="000000" w:themeColor="text1"/>
          <w:sz w:val="24"/>
          <w:szCs w:val="24"/>
        </w:rPr>
        <w:t xml:space="preserve"> tuned to a moderate range, which ensures sufficient activation of the two intermediates for C–N coupling while avoiding over-stabilization that leads to side reactions. The energy barrier of the rate-determining C–N coupling step in the main pathway </w:t>
      </w:r>
      <w:r w:rsidR="00E63FA8"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reduced to 0.031 eV</w:t>
      </w:r>
      <w:r w:rsidR="00F368E4" w:rsidRPr="00177203">
        <w:rPr>
          <w:rFonts w:eastAsia="宋体" w:cs="Times New Roman"/>
          <w:color w:val="000000" w:themeColor="text1"/>
          <w:sz w:val="24"/>
          <w:szCs w:val="24"/>
        </w:rPr>
        <w:t xml:space="preserve"> (</w:t>
      </w:r>
      <w:r w:rsidR="00306188" w:rsidRPr="00177203">
        <w:rPr>
          <w:rFonts w:eastAsia="宋体" w:cs="Times New Roman"/>
          <w:color w:val="000000" w:themeColor="text1"/>
          <w:sz w:val="24"/>
          <w:szCs w:val="24"/>
        </w:rPr>
        <w:t>Supplementary</w:t>
      </w:r>
      <w:r w:rsidR="00F368E4" w:rsidRPr="00177203">
        <w:rPr>
          <w:rFonts w:eastAsia="宋体" w:cs="Times New Roman"/>
          <w:color w:val="000000" w:themeColor="text1"/>
          <w:sz w:val="24"/>
          <w:szCs w:val="24"/>
        </w:rPr>
        <w:t xml:space="preserve"> Fig. 55)</w:t>
      </w:r>
      <w:r w:rsidRPr="00177203">
        <w:rPr>
          <w:rFonts w:eastAsia="宋体" w:cs="Times New Roman"/>
          <w:color w:val="000000" w:themeColor="text1"/>
          <w:sz w:val="24"/>
          <w:szCs w:val="24"/>
        </w:rPr>
        <w:t xml:space="preserve">, which </w:t>
      </w:r>
      <w:r w:rsidR="00E63FA8"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significantly lower than the energy barriers of all three competing side reactions. The thermodynamic favorability of the main reaction is thus greatly enhanced by the nanoconfined structure.</w:t>
      </w:r>
    </w:p>
    <w:p w14:paraId="576387E3" w14:textId="699A116B" w:rsidR="006D4FED" w:rsidRPr="00177203" w:rsidRDefault="006D4FED" w:rsidP="006D4FED">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Kinetic selectivity toward the main urea synthesis pathway</w:t>
      </w:r>
      <w:r w:rsidR="00E63FA8" w:rsidRPr="00177203">
        <w:rPr>
          <w:rFonts w:eastAsia="宋体" w:cs="Times New Roman"/>
          <w:color w:val="000000" w:themeColor="text1"/>
          <w:sz w:val="24"/>
          <w:szCs w:val="24"/>
        </w:rPr>
        <w:t xml:space="preserve"> was</w:t>
      </w:r>
      <w:r w:rsidRPr="00177203">
        <w:rPr>
          <w:rFonts w:eastAsia="宋体" w:cs="Times New Roman"/>
          <w:color w:val="000000" w:themeColor="text1"/>
          <w:sz w:val="24"/>
          <w:szCs w:val="24"/>
        </w:rPr>
        <w:t xml:space="preserve"> further strengthened by the spatial confinement effect of the 1.8 nm cavity in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Molecular dynamics simulations confirmed that the size-matched cavity prolongs the retention time of *CO and *NO intermediates, and enriches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anions near the active sites. The increased local concentration of key intermediates accelerates the bimolecular C–N coupling reaction, which follows a second-order kinetic law. In-situ Raman and ATR-SEIRAS characterization detected no signal of side reaction intermediates during electrolysis at the optimal potential, with only characteristic peaks of main reaction intermediates and urea observed. The nanoconfined cavity also suppresses the parasitic hydrogen evolution reaction via spatial restriction of hydrogen radical dimerization, as confirmed by EPR characterization. The concentrated hydrogen radicals in the cavity are directed toward the hydrogenation of C–N coupling intermediates instead of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formation, further improving the Faradaic efficiency of urea. The synergy of thermodynamic and kinetic regulation by the nanoconfined structure realizes the kinetic matching between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E63B12" w:rsidRPr="00177203">
        <w:rPr>
          <w:rFonts w:eastAsia="宋体" w:cs="Times New Roman"/>
          <w:sz w:val="24"/>
          <w:szCs w:val="24"/>
        </w:rPr>
        <w:t>RR</w:t>
      </w:r>
      <w:r w:rsidRPr="00177203">
        <w:rPr>
          <w:rFonts w:eastAsia="宋体" w:cs="Times New Roman"/>
          <w:color w:val="000000" w:themeColor="text1"/>
          <w:sz w:val="24"/>
          <w:szCs w:val="24"/>
        </w:rPr>
        <w:t xml:space="preserve"> and N</w:t>
      </w:r>
      <w:r w:rsidR="00E63B12" w:rsidRPr="00177203">
        <w:rPr>
          <w:rFonts w:eastAsia="宋体" w:cs="Times New Roman"/>
          <w:color w:val="000000" w:themeColor="text1"/>
          <w:sz w:val="24"/>
          <w:szCs w:val="24"/>
        </w:rPr>
        <w:t>O</w:t>
      </w:r>
      <w:r w:rsidR="00E63B12"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RR. The synchronous generation of *CO and *NO intermediates on the active sites eliminates the accumulation of uncoupled nitrogen intermediates, which are the main source of </w:t>
      </w:r>
      <w:r w:rsidR="000C65B5" w:rsidRPr="00177203">
        <w:rPr>
          <w:rFonts w:eastAsia="宋体" w:cs="Times New Roman"/>
          <w:color w:val="000000" w:themeColor="text1"/>
          <w:sz w:val="24"/>
          <w:szCs w:val="24"/>
        </w:rPr>
        <w:t>NH</w:t>
      </w:r>
      <w:r w:rsidR="000C65B5" w:rsidRPr="00177203">
        <w:rPr>
          <w:rFonts w:eastAsia="宋体" w:cs="Times New Roman"/>
          <w:color w:val="000000" w:themeColor="text1"/>
          <w:sz w:val="24"/>
          <w:szCs w:val="24"/>
          <w:vertAlign w:val="subscript"/>
        </w:rPr>
        <w:t>3</w:t>
      </w:r>
      <w:r w:rsidRPr="00177203">
        <w:rPr>
          <w:rFonts w:eastAsia="宋体" w:cs="Times New Roman"/>
          <w:color w:val="000000" w:themeColor="text1"/>
          <w:sz w:val="24"/>
          <w:szCs w:val="24"/>
        </w:rPr>
        <w:t xml:space="preserve"> byproducts. </w:t>
      </w:r>
    </w:p>
    <w:p w14:paraId="30F55444" w14:textId="77777777" w:rsidR="006D4FED" w:rsidRPr="00177203" w:rsidRDefault="006D4FED" w:rsidP="00755A71">
      <w:pPr>
        <w:spacing w:afterLines="50" w:after="156"/>
        <w:outlineLvl w:val="2"/>
        <w:rPr>
          <w:rFonts w:eastAsia="宋体" w:cs="Times New Roman"/>
          <w:color w:val="000000" w:themeColor="text1"/>
          <w:sz w:val="24"/>
          <w:szCs w:val="24"/>
        </w:rPr>
        <w:sectPr w:rsidR="006D4FED" w:rsidRPr="00177203" w:rsidSect="00F65C78">
          <w:pgSz w:w="11906" w:h="16838"/>
          <w:pgMar w:top="1440" w:right="1800" w:bottom="1440" w:left="1800" w:header="851" w:footer="992" w:gutter="0"/>
          <w:lnNumType w:countBy="1" w:restart="continuous"/>
          <w:cols w:space="425"/>
          <w:docGrid w:type="lines" w:linePitch="312"/>
        </w:sectPr>
      </w:pPr>
    </w:p>
    <w:p w14:paraId="28C78B79" w14:textId="77777777" w:rsidR="00755A71" w:rsidRPr="00177203" w:rsidRDefault="008E04C2" w:rsidP="00755A71">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Section 5. Pilot test setup</w:t>
      </w:r>
    </w:p>
    <w:p w14:paraId="7661C644" w14:textId="6E04CF32" w:rsidR="00464938" w:rsidRPr="00177203" w:rsidRDefault="00AD4F90" w:rsidP="00F368E4">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Design and operating conditions: </w:t>
      </w:r>
      <w:r w:rsidR="00464938" w:rsidRPr="00177203">
        <w:rPr>
          <w:rFonts w:eastAsia="宋体" w:cs="Times New Roman"/>
          <w:color w:val="000000" w:themeColor="text1"/>
          <w:sz w:val="24"/>
          <w:szCs w:val="24"/>
        </w:rPr>
        <w:t xml:space="preserve">The pilot-scale test system for electrocatalytic urea synthesis was designed, constructed, and operated in collaboration with Ningxia </w:t>
      </w:r>
      <w:proofErr w:type="spellStart"/>
      <w:r w:rsidR="00464938" w:rsidRPr="00177203">
        <w:rPr>
          <w:rFonts w:eastAsia="宋体" w:cs="Times New Roman"/>
          <w:color w:val="000000" w:themeColor="text1"/>
          <w:sz w:val="24"/>
          <w:szCs w:val="24"/>
        </w:rPr>
        <w:t>Jianlong</w:t>
      </w:r>
      <w:proofErr w:type="spellEnd"/>
      <w:r w:rsidR="00464938" w:rsidRPr="00177203">
        <w:rPr>
          <w:rFonts w:eastAsia="宋体" w:cs="Times New Roman"/>
          <w:color w:val="000000" w:themeColor="text1"/>
          <w:sz w:val="24"/>
          <w:szCs w:val="24"/>
        </w:rPr>
        <w:t xml:space="preserve"> Special Steel Co., Ltd., a large-scale integrated iron and steel manufacturing enterprise located in </w:t>
      </w:r>
      <w:proofErr w:type="spellStart"/>
      <w:r w:rsidR="00464938" w:rsidRPr="00177203">
        <w:rPr>
          <w:rFonts w:eastAsia="宋体" w:cs="Times New Roman"/>
          <w:color w:val="000000" w:themeColor="text1"/>
          <w:sz w:val="24"/>
          <w:szCs w:val="24"/>
        </w:rPr>
        <w:t>Shizuishan</w:t>
      </w:r>
      <w:proofErr w:type="spellEnd"/>
      <w:r w:rsidR="00464938" w:rsidRPr="00177203">
        <w:rPr>
          <w:rFonts w:eastAsia="宋体" w:cs="Times New Roman"/>
          <w:color w:val="000000" w:themeColor="text1"/>
          <w:sz w:val="24"/>
          <w:szCs w:val="24"/>
        </w:rPr>
        <w:t xml:space="preserve"> City, Ningxia Hui Autonomous Region, China. The plant has an annual steel production capacity of 8 million tons, with a mature iron and steel flue gas comprehensive treatment system and industrial wastewater treatment facility, providing a realistic industrial scenario for the on-site valorization of waste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00464938" w:rsidRPr="00177203">
        <w:rPr>
          <w:rFonts w:eastAsia="宋体" w:cs="Times New Roman"/>
          <w:color w:val="000000" w:themeColor="text1"/>
          <w:sz w:val="24"/>
          <w:szCs w:val="24"/>
        </w:rPr>
        <w:t xml:space="preserve"> and nitrate into urea.</w:t>
      </w:r>
      <w:r w:rsidR="00F368E4" w:rsidRPr="00177203">
        <w:rPr>
          <w:rFonts w:eastAsia="宋体" w:cs="Times New Roman"/>
          <w:color w:val="000000" w:themeColor="text1"/>
          <w:sz w:val="24"/>
          <w:szCs w:val="24"/>
        </w:rPr>
        <w:t xml:space="preserve"> </w:t>
      </w:r>
      <w:r w:rsidR="00464938" w:rsidRPr="00177203">
        <w:rPr>
          <w:rFonts w:eastAsia="宋体" w:cs="Times New Roman"/>
          <w:color w:val="000000" w:themeColor="text1"/>
          <w:sz w:val="24"/>
          <w:szCs w:val="24"/>
        </w:rPr>
        <w:t>The pilot system utilize</w:t>
      </w:r>
      <w:r w:rsidR="00D92D0E" w:rsidRPr="00177203">
        <w:rPr>
          <w:rFonts w:eastAsia="宋体" w:cs="Times New Roman"/>
          <w:color w:val="000000" w:themeColor="text1"/>
          <w:sz w:val="24"/>
          <w:szCs w:val="24"/>
        </w:rPr>
        <w:t>d</w:t>
      </w:r>
      <w:r w:rsidR="00464938" w:rsidRPr="00177203">
        <w:rPr>
          <w:rFonts w:eastAsia="宋体" w:cs="Times New Roman"/>
          <w:color w:val="000000" w:themeColor="text1"/>
          <w:sz w:val="24"/>
          <w:szCs w:val="24"/>
        </w:rPr>
        <w:t xml:space="preserve"> two waste streams from the steel plant as the sole carbon and nitrogen sources, eliminating the need for high-purity commercial feedstocks and reducing overall production costs.</w:t>
      </w:r>
    </w:p>
    <w:p w14:paraId="20000B47" w14:textId="6584FE32" w:rsidR="00464938" w:rsidRPr="00177203" w:rsidRDefault="00464938"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 xml:space="preserve">The carbon source </w:t>
      </w:r>
      <w:r w:rsidR="00D92D0E" w:rsidRPr="00177203">
        <w:rPr>
          <w:rFonts w:eastAsia="宋体" w:cs="Times New Roman"/>
          <w:color w:val="000000" w:themeColor="text1"/>
          <w:sz w:val="24"/>
          <w:szCs w:val="24"/>
        </w:rPr>
        <w:t>wa</w:t>
      </w:r>
      <w:r w:rsidRPr="00177203">
        <w:rPr>
          <w:rFonts w:eastAsia="宋体" w:cs="Times New Roman"/>
          <w:color w:val="000000" w:themeColor="text1"/>
          <w:sz w:val="24"/>
          <w:szCs w:val="24"/>
        </w:rPr>
        <w:t xml:space="preserve">s the sintering machine head flue gas from the plant, the primary source of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emissions from steel production. The raw flue gas ha</w:t>
      </w:r>
      <w:r w:rsidR="00D92D0E"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 a typical composition of 10–</w:t>
      </w:r>
      <w:r w:rsidR="00B61F99" w:rsidRPr="00177203">
        <w:rPr>
          <w:rFonts w:eastAsia="宋体" w:cs="Times New Roman"/>
          <w:color w:val="000000" w:themeColor="text1"/>
          <w:sz w:val="24"/>
          <w:szCs w:val="24"/>
        </w:rPr>
        <w:t>20</w:t>
      </w:r>
      <w:r w:rsidRPr="00177203">
        <w:rPr>
          <w:rFonts w:eastAsia="宋体" w:cs="Times New Roman"/>
          <w:color w:val="000000" w:themeColor="text1"/>
          <w:sz w:val="24"/>
          <w:szCs w:val="24"/>
        </w:rPr>
        <w:t xml:space="preserve"> vol%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75–80 vol% </w:t>
      </w:r>
      <w:r w:rsidR="00523DF0" w:rsidRPr="00177203">
        <w:rPr>
          <w:rFonts w:eastAsia="宋体" w:cs="Times New Roman"/>
          <w:sz w:val="24"/>
          <w:szCs w:val="24"/>
        </w:rPr>
        <w:t>N</w:t>
      </w:r>
      <w:r w:rsidR="00F368E4" w:rsidRPr="00177203">
        <w:rPr>
          <w:rFonts w:eastAsia="宋体" w:cs="Times New Roman"/>
          <w:sz w:val="24"/>
          <w:szCs w:val="24"/>
          <w:vertAlign w:val="subscript"/>
        </w:rPr>
        <w:t>2</w:t>
      </w:r>
      <w:r w:rsidRPr="00177203">
        <w:rPr>
          <w:rFonts w:eastAsia="宋体" w:cs="Times New Roman"/>
          <w:color w:val="000000" w:themeColor="text1"/>
          <w:sz w:val="24"/>
          <w:szCs w:val="24"/>
        </w:rPr>
        <w:t>, 4–6 vol% O</w:t>
      </w:r>
      <w:r w:rsidR="00F368E4"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500–1500 mg</w:t>
      </w:r>
      <w:r w:rsidR="00F368E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Nm</w:t>
      </w:r>
      <w:r w:rsidR="00F368E4" w:rsidRPr="00177203">
        <w:rPr>
          <w:rFonts w:eastAsia="宋体" w:cs="Times New Roman"/>
          <w:color w:val="000000" w:themeColor="text1"/>
          <w:sz w:val="24"/>
          <w:szCs w:val="24"/>
          <w:vertAlign w:val="superscript"/>
        </w:rPr>
        <w:t>–3</w:t>
      </w:r>
      <w:r w:rsidRPr="00177203">
        <w:rPr>
          <w:rFonts w:eastAsia="宋体" w:cs="Times New Roman"/>
          <w:color w:val="000000" w:themeColor="text1"/>
          <w:sz w:val="24"/>
          <w:szCs w:val="24"/>
        </w:rPr>
        <w:t xml:space="preserve"> SO</w:t>
      </w:r>
      <w:r w:rsidR="00F368E4"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200–600 mg</w:t>
      </w:r>
      <w:r w:rsidR="00F368E4" w:rsidRPr="00177203">
        <w:rPr>
          <w:rFonts w:eastAsia="宋体" w:cs="Times New Roman"/>
          <w:color w:val="000000" w:themeColor="text1"/>
          <w:sz w:val="24"/>
          <w:szCs w:val="24"/>
        </w:rPr>
        <w:t xml:space="preserve"> Nm</w:t>
      </w:r>
      <w:r w:rsidR="00F368E4" w:rsidRPr="00177203">
        <w:rPr>
          <w:rFonts w:eastAsia="宋体" w:cs="Times New Roman"/>
          <w:color w:val="000000" w:themeColor="text1"/>
          <w:sz w:val="24"/>
          <w:szCs w:val="24"/>
          <w:vertAlign w:val="superscript"/>
        </w:rPr>
        <w:t>–3</w:t>
      </w:r>
      <w:r w:rsidRPr="00177203">
        <w:rPr>
          <w:rFonts w:eastAsia="宋体" w:cs="Times New Roman"/>
          <w:color w:val="000000" w:themeColor="text1"/>
          <w:sz w:val="24"/>
          <w:szCs w:val="24"/>
        </w:rPr>
        <w:t xml:space="preserve"> NO</w:t>
      </w:r>
      <w:r w:rsidR="00F368E4" w:rsidRPr="00177203">
        <w:rPr>
          <w:rFonts w:eastAsia="宋体" w:cs="Times New Roman"/>
          <w:color w:val="000000" w:themeColor="text1"/>
          <w:sz w:val="24"/>
          <w:szCs w:val="24"/>
          <w:vertAlign w:val="subscript"/>
        </w:rPr>
        <w:t>x</w:t>
      </w:r>
      <w:r w:rsidRPr="00177203">
        <w:rPr>
          <w:rFonts w:eastAsia="宋体" w:cs="Times New Roman"/>
          <w:color w:val="000000" w:themeColor="text1"/>
          <w:sz w:val="24"/>
          <w:szCs w:val="24"/>
        </w:rPr>
        <w:t xml:space="preserve">, 8–12 vol% </w:t>
      </w:r>
      <w:r w:rsidR="00E63B12" w:rsidRPr="00177203">
        <w:rPr>
          <w:rFonts w:eastAsia="宋体" w:cs="Times New Roman"/>
          <w:sz w:val="24"/>
          <w:szCs w:val="24"/>
        </w:rPr>
        <w:t>H</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O, and trace amounts of fly ash and heavy metals. The raw flue gas under</w:t>
      </w:r>
      <w:r w:rsidR="00D92D0E" w:rsidRPr="00177203">
        <w:rPr>
          <w:rFonts w:eastAsia="宋体" w:cs="Times New Roman"/>
          <w:color w:val="000000" w:themeColor="text1"/>
          <w:sz w:val="24"/>
          <w:szCs w:val="24"/>
        </w:rPr>
        <w:t>went</w:t>
      </w:r>
      <w:r w:rsidRPr="00177203">
        <w:rPr>
          <w:rFonts w:eastAsia="宋体" w:cs="Times New Roman"/>
          <w:color w:val="000000" w:themeColor="text1"/>
          <w:sz w:val="24"/>
          <w:szCs w:val="24"/>
        </w:rPr>
        <w:t xml:space="preserve"> a pretreatment process to meet the feed requirements of the electrolysis system</w:t>
      </w:r>
      <w:r w:rsidR="00F368E4" w:rsidRPr="00177203">
        <w:rPr>
          <w:rFonts w:eastAsia="宋体" w:cs="Times New Roman"/>
          <w:color w:val="000000" w:themeColor="text1"/>
          <w:sz w:val="24"/>
          <w:szCs w:val="24"/>
        </w:rPr>
        <w:t>. It</w:t>
      </w:r>
      <w:r w:rsidRPr="00177203">
        <w:rPr>
          <w:rFonts w:eastAsia="宋体" w:cs="Times New Roman"/>
          <w:color w:val="000000" w:themeColor="text1"/>
          <w:sz w:val="24"/>
          <w:szCs w:val="24"/>
        </w:rPr>
        <w:t xml:space="preserve"> first pass</w:t>
      </w:r>
      <w:r w:rsidR="00D92D0E" w:rsidRPr="00177203">
        <w:rPr>
          <w:rFonts w:eastAsia="宋体" w:cs="Times New Roman"/>
          <w:color w:val="000000" w:themeColor="text1"/>
          <w:sz w:val="24"/>
          <w:szCs w:val="24"/>
        </w:rPr>
        <w:t>ed</w:t>
      </w:r>
      <w:r w:rsidRPr="00177203">
        <w:rPr>
          <w:rFonts w:eastAsia="宋体" w:cs="Times New Roman"/>
          <w:color w:val="000000" w:themeColor="text1"/>
          <w:sz w:val="24"/>
          <w:szCs w:val="24"/>
        </w:rPr>
        <w:t xml:space="preserve"> through </w:t>
      </w:r>
      <w:bookmarkStart w:id="3" w:name="_Hlk225801009"/>
      <w:r w:rsidRPr="00177203">
        <w:rPr>
          <w:rFonts w:eastAsia="宋体" w:cs="Times New Roman"/>
          <w:color w:val="000000" w:themeColor="text1"/>
          <w:sz w:val="24"/>
          <w:szCs w:val="24"/>
        </w:rPr>
        <w:t>a bag filter</w:t>
      </w:r>
      <w:bookmarkEnd w:id="3"/>
      <w:r w:rsidRPr="00177203">
        <w:rPr>
          <w:rFonts w:eastAsia="宋体" w:cs="Times New Roman"/>
          <w:color w:val="000000" w:themeColor="text1"/>
          <w:sz w:val="24"/>
          <w:szCs w:val="24"/>
        </w:rPr>
        <w:t xml:space="preserve"> to remove residual fly ash, then enter</w:t>
      </w:r>
      <w:r w:rsidR="00D92D0E" w:rsidRPr="00177203">
        <w:rPr>
          <w:rFonts w:eastAsia="宋体" w:cs="Times New Roman"/>
          <w:color w:val="000000" w:themeColor="text1"/>
          <w:sz w:val="24"/>
          <w:szCs w:val="24"/>
        </w:rPr>
        <w:t>ed</w:t>
      </w:r>
      <w:r w:rsidRPr="00177203">
        <w:rPr>
          <w:rFonts w:eastAsia="宋体" w:cs="Times New Roman"/>
          <w:color w:val="000000" w:themeColor="text1"/>
          <w:sz w:val="24"/>
          <w:szCs w:val="24"/>
        </w:rPr>
        <w:t xml:space="preserve"> a wet flue gas desulfurization tower and selective catalytic reduction unit, achieving &gt;99.9% SO</w:t>
      </w:r>
      <w:r w:rsidR="00F368E4" w:rsidRPr="00177203">
        <w:rPr>
          <w:rFonts w:eastAsia="宋体" w:cs="Times New Roman"/>
          <w:color w:val="000000" w:themeColor="text1"/>
          <w:sz w:val="24"/>
          <w:szCs w:val="24"/>
          <w:vertAlign w:val="subscript"/>
        </w:rPr>
        <w:t>2</w:t>
      </w:r>
      <w:r w:rsidRPr="00177203">
        <w:rPr>
          <w:rFonts w:eastAsia="宋体" w:cs="Times New Roman"/>
          <w:color w:val="000000" w:themeColor="text1"/>
          <w:sz w:val="24"/>
          <w:szCs w:val="24"/>
        </w:rPr>
        <w:t xml:space="preserve"> removal to below 1 ppm and &gt;98% denitrification efficiency to NOₓ concentration below 5 ppm. The pretreated flue gas enter</w:t>
      </w:r>
      <w:r w:rsidR="00D92D0E" w:rsidRPr="00177203">
        <w:rPr>
          <w:rFonts w:eastAsia="宋体" w:cs="Times New Roman"/>
          <w:color w:val="000000" w:themeColor="text1"/>
          <w:sz w:val="24"/>
          <w:szCs w:val="24"/>
        </w:rPr>
        <w:t>ed</w:t>
      </w:r>
      <w:r w:rsidRPr="00177203">
        <w:rPr>
          <w:rFonts w:eastAsia="宋体" w:cs="Times New Roman"/>
          <w:color w:val="000000" w:themeColor="text1"/>
          <w:sz w:val="24"/>
          <w:szCs w:val="24"/>
        </w:rPr>
        <w:t xml:space="preserve"> an amine-based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capture unit with 30 wt% </w:t>
      </w:r>
      <w:proofErr w:type="spellStart"/>
      <w:r w:rsidRPr="00177203">
        <w:rPr>
          <w:rFonts w:eastAsia="宋体" w:cs="Times New Roman"/>
          <w:color w:val="000000" w:themeColor="text1"/>
          <w:sz w:val="24"/>
          <w:szCs w:val="24"/>
        </w:rPr>
        <w:t>monoethanolamine</w:t>
      </w:r>
      <w:proofErr w:type="spellEnd"/>
      <w:r w:rsidRPr="00177203">
        <w:rPr>
          <w:rFonts w:eastAsia="宋体" w:cs="Times New Roman"/>
          <w:color w:val="000000" w:themeColor="text1"/>
          <w:sz w:val="24"/>
          <w:szCs w:val="24"/>
        </w:rPr>
        <w:t xml:space="preserve"> solution, releasing high-purity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of &gt;99.5 vol% via steam stripping regeneration. The captured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w:t>
      </w:r>
      <w:r w:rsidR="00D92D0E"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compressed, dried, and delivered to the cathode gas chamber of the electrolyzer with a flow rate controlled by a mass flow controller.</w:t>
      </w:r>
    </w:p>
    <w:p w14:paraId="3CBD5DE9" w14:textId="0F46A6F6" w:rsidR="00464938" w:rsidRPr="00177203" w:rsidRDefault="00464938"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 xml:space="preserve">The nitrogen source </w:t>
      </w:r>
      <w:r w:rsidR="00D92D0E"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nitrate-rich wastewater from the plant’s flue gas denitrification system, rolling and pickling processes. The raw wastewater ha</w:t>
      </w:r>
      <w:r w:rsidR="00D92D0E" w:rsidRPr="00177203">
        <w:rPr>
          <w:rFonts w:eastAsia="宋体" w:cs="Times New Roman"/>
          <w:color w:val="000000" w:themeColor="text1"/>
          <w:sz w:val="24"/>
          <w:szCs w:val="24"/>
        </w:rPr>
        <w:t>d</w:t>
      </w:r>
      <w:r w:rsidRPr="00177203">
        <w:rPr>
          <w:rFonts w:eastAsia="宋体" w:cs="Times New Roman"/>
          <w:color w:val="000000" w:themeColor="text1"/>
          <w:sz w:val="24"/>
          <w:szCs w:val="24"/>
        </w:rPr>
        <w:t xml:space="preserve"> a nitrate concentration of 300–1800 </w:t>
      </w:r>
      <w:r w:rsidR="00E63B12" w:rsidRPr="00177203">
        <w:rPr>
          <w:rFonts w:eastAsia="宋体" w:cs="Times New Roman"/>
          <w:color w:val="000000" w:themeColor="text1"/>
          <w:sz w:val="24"/>
          <w:szCs w:val="24"/>
        </w:rPr>
        <w:t>mg L</w:t>
      </w:r>
      <w:r w:rsidR="00E63B1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t>
      </w:r>
      <w:r w:rsidR="00F368E4" w:rsidRPr="00177203">
        <w:rPr>
          <w:rFonts w:eastAsia="宋体" w:cs="Times New Roman"/>
          <w:color w:val="000000" w:themeColor="text1"/>
          <w:sz w:val="24"/>
          <w:szCs w:val="24"/>
        </w:rPr>
        <w:t>total nitrogen</w:t>
      </w:r>
      <w:r w:rsidRPr="00177203">
        <w:rPr>
          <w:rFonts w:eastAsia="宋体" w:cs="Times New Roman"/>
          <w:color w:val="000000" w:themeColor="text1"/>
          <w:sz w:val="24"/>
          <w:szCs w:val="24"/>
        </w:rPr>
        <w:t xml:space="preserve">), a pH of 5.0–7.5, and contains trace amounts of ammonia, urea, and suspended solids. The raw wastewater </w:t>
      </w:r>
      <w:r w:rsidR="00D92D0E" w:rsidRPr="00177203">
        <w:rPr>
          <w:rFonts w:eastAsia="宋体" w:cs="Times New Roman"/>
          <w:color w:val="000000" w:themeColor="text1"/>
          <w:sz w:val="24"/>
          <w:szCs w:val="24"/>
        </w:rPr>
        <w:t>wa</w:t>
      </w:r>
      <w:r w:rsidRPr="00177203">
        <w:rPr>
          <w:rFonts w:eastAsia="宋体" w:cs="Times New Roman"/>
          <w:color w:val="000000" w:themeColor="text1"/>
          <w:sz w:val="24"/>
          <w:szCs w:val="24"/>
        </w:rPr>
        <w:t xml:space="preserve">s pretreated via a multimedia filter with quartz sand and activated carbon to remove suspended solids and organic impurities, reducing turbidity to below 0.5 NTU, and then concentrated </w:t>
      </w:r>
      <w:r w:rsidR="00B61F99" w:rsidRPr="00177203">
        <w:rPr>
          <w:rFonts w:eastAsia="宋体" w:cs="Times New Roman"/>
          <w:color w:val="000000" w:themeColor="text1"/>
          <w:sz w:val="24"/>
          <w:szCs w:val="24"/>
        </w:rPr>
        <w:t xml:space="preserve">to 0.5 M </w:t>
      </w:r>
      <w:r w:rsidRPr="00177203">
        <w:rPr>
          <w:rFonts w:eastAsia="宋体" w:cs="Times New Roman"/>
          <w:color w:val="000000" w:themeColor="text1"/>
          <w:sz w:val="24"/>
          <w:szCs w:val="24"/>
        </w:rPr>
        <w:t>via reverse osmosis to match the concentration requirements of the electrolysis reaction.</w:t>
      </w:r>
    </w:p>
    <w:p w14:paraId="5735681D" w14:textId="5A029B87" w:rsidR="00A74A2A" w:rsidRPr="00177203" w:rsidRDefault="00A74A2A"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 xml:space="preserve">The core of the pilot system was a modular zero-gap </w:t>
      </w:r>
      <w:r w:rsidR="00B61F99" w:rsidRPr="00177203">
        <w:rPr>
          <w:rFonts w:eastAsia="宋体" w:cs="Times New Roman"/>
          <w:color w:val="000000" w:themeColor="text1"/>
          <w:sz w:val="24"/>
          <w:szCs w:val="24"/>
        </w:rPr>
        <w:t xml:space="preserve">proton </w:t>
      </w:r>
      <w:r w:rsidRPr="00177203">
        <w:rPr>
          <w:rFonts w:eastAsia="宋体" w:cs="Times New Roman"/>
          <w:color w:val="000000" w:themeColor="text1"/>
          <w:sz w:val="24"/>
          <w:szCs w:val="24"/>
        </w:rPr>
        <w:t>exchange membrane electrolyzer stack, designed and constructed in-house. The stack consisted of 14 parallel electrolyzer modules, each with an effective geometric electrode area of 400 mm × 300 mm, giving a total effective electrode area of 1</w:t>
      </w:r>
      <w:r w:rsidR="00F368E4"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68 </w:t>
      </w:r>
      <w:r w:rsidR="00E63B12" w:rsidRPr="00177203">
        <w:rPr>
          <w:rFonts w:eastAsia="宋体" w:cs="Times New Roman"/>
          <w:sz w:val="24"/>
          <w:szCs w:val="24"/>
        </w:rPr>
        <w:t>m</w:t>
      </w:r>
      <w:r w:rsidR="00E63B12" w:rsidRPr="00177203">
        <w:rPr>
          <w:rFonts w:eastAsia="宋体" w:cs="Times New Roman"/>
          <w:sz w:val="24"/>
          <w:szCs w:val="24"/>
          <w:vertAlign w:val="superscript"/>
        </w:rPr>
        <w:t>2</w:t>
      </w:r>
      <w:r w:rsidRPr="00177203">
        <w:rPr>
          <w:rFonts w:eastAsia="宋体" w:cs="Times New Roman"/>
          <w:color w:val="000000" w:themeColor="text1"/>
          <w:sz w:val="24"/>
          <w:szCs w:val="24"/>
        </w:rPr>
        <w:t xml:space="preserve">. Each module adopted a zero-gap sandwich structure fully consistent with the lab-scale flow cell configuration, consisting of an anode flow field plate, iridium oxide coated titanium mesh anode, </w:t>
      </w:r>
      <w:r w:rsidR="00387AB0" w:rsidRPr="00177203">
        <w:rPr>
          <w:rFonts w:eastAsia="宋体" w:cs="Times New Roman"/>
          <w:color w:val="000000" w:themeColor="text1"/>
          <w:sz w:val="24"/>
          <w:szCs w:val="24"/>
        </w:rPr>
        <w:t xml:space="preserve">proton </w:t>
      </w:r>
      <w:r w:rsidRPr="00177203">
        <w:rPr>
          <w:rFonts w:eastAsia="宋体" w:cs="Times New Roman"/>
          <w:color w:val="000000" w:themeColor="text1"/>
          <w:sz w:val="24"/>
          <w:szCs w:val="24"/>
        </w:rPr>
        <w:t>exchange membrane, gas diffusion electrode cathode, and cathode flow field plate.</w:t>
      </w:r>
    </w:p>
    <w:p w14:paraId="36E80311" w14:textId="4F134C07" w:rsidR="00A74A2A" w:rsidRPr="00177203" w:rsidRDefault="00A74A2A"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The anode was a commercial titanium mesh coated with iridium oxide catalyst at a loading of 2 mg cm</w:t>
      </w:r>
      <w:r w:rsidR="00F368E4"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which exhibits high oxygen evolution reaction activity and stability in alkaline electrolyte. The cathode gas diffusion electrode was fabricated via a continuous roll-to-roll coating process. The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catalyst was coated on hydrophobic carbon fiber paper with a microporous layer at a loading of 0.02–0.05 mg cm</w:t>
      </w:r>
      <w:r w:rsidR="00F368E4"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consistent with the optimal loading identified in lab-scale tests. The catalyst ink was prepared by dispersing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powder in a mixed solvent of isopropanol and deionized water, with 5 wt% Nafion </w:t>
      </w:r>
      <w:r w:rsidR="005F6644" w:rsidRPr="00177203">
        <w:rPr>
          <w:rFonts w:eastAsia="宋体" w:cs="Times New Roman"/>
          <w:color w:val="000000" w:themeColor="text1"/>
          <w:sz w:val="24"/>
          <w:szCs w:val="24"/>
        </w:rPr>
        <w:t>ionomers</w:t>
      </w:r>
      <w:r w:rsidRPr="00177203">
        <w:rPr>
          <w:rFonts w:eastAsia="宋体" w:cs="Times New Roman"/>
          <w:color w:val="000000" w:themeColor="text1"/>
          <w:sz w:val="24"/>
          <w:szCs w:val="24"/>
        </w:rPr>
        <w:t xml:space="preserve"> as the binder to reach a solid content of 5 wt%. The ink was coated on the electrolyte-facing side of the carbon paper via a slot-die coater at 2 m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xml:space="preserve">, followed by sequential drying in a three-stage oven at 60 °C, 80 °C, and 120 °C. The </w:t>
      </w:r>
      <w:r w:rsidR="009F21D7" w:rsidRPr="00177203">
        <w:rPr>
          <w:rFonts w:eastAsia="宋体" w:cs="Times New Roman"/>
          <w:color w:val="000000" w:themeColor="text1"/>
          <w:sz w:val="24"/>
          <w:szCs w:val="24"/>
        </w:rPr>
        <w:t xml:space="preserve">proton </w:t>
      </w:r>
      <w:r w:rsidRPr="00177203">
        <w:rPr>
          <w:rFonts w:eastAsia="宋体" w:cs="Times New Roman"/>
          <w:color w:val="000000" w:themeColor="text1"/>
          <w:sz w:val="24"/>
          <w:szCs w:val="24"/>
        </w:rPr>
        <w:t xml:space="preserve">exchange membrane used was </w:t>
      </w:r>
      <w:proofErr w:type="spellStart"/>
      <w:r w:rsidR="009F21D7" w:rsidRPr="00177203">
        <w:rPr>
          <w:rFonts w:eastAsia="宋体" w:cs="Times New Roman"/>
          <w:color w:val="000000" w:themeColor="text1"/>
          <w:sz w:val="24"/>
          <w:szCs w:val="24"/>
        </w:rPr>
        <w:t>Nepem</w:t>
      </w:r>
      <w:proofErr w:type="spellEnd"/>
      <w:r w:rsidR="009F21D7" w:rsidRPr="00177203">
        <w:rPr>
          <w:rFonts w:eastAsia="宋体" w:cs="Times New Roman"/>
          <w:color w:val="000000" w:themeColor="text1"/>
          <w:sz w:val="24"/>
          <w:szCs w:val="24"/>
        </w:rPr>
        <w:t>-W</w:t>
      </w:r>
      <w:r w:rsidRPr="00177203">
        <w:rPr>
          <w:rFonts w:eastAsia="宋体" w:cs="Times New Roman"/>
          <w:color w:val="000000" w:themeColor="text1"/>
          <w:sz w:val="24"/>
          <w:szCs w:val="24"/>
        </w:rPr>
        <w:t xml:space="preserve"> with a thickness of </w:t>
      </w:r>
      <w:r w:rsidR="009F21D7" w:rsidRPr="00177203">
        <w:rPr>
          <w:rFonts w:eastAsia="宋体" w:cs="Times New Roman"/>
          <w:color w:val="000000" w:themeColor="text1"/>
          <w:sz w:val="24"/>
          <w:szCs w:val="24"/>
        </w:rPr>
        <w:t>125</w:t>
      </w:r>
      <w:r w:rsidRPr="00177203">
        <w:rPr>
          <w:rFonts w:eastAsia="宋体" w:cs="Times New Roman"/>
          <w:color w:val="000000" w:themeColor="text1"/>
          <w:sz w:val="24"/>
          <w:szCs w:val="24"/>
        </w:rPr>
        <w:t xml:space="preserve"> μm, pre-activated by soaking in </w:t>
      </w:r>
      <w:r w:rsidR="009F21D7" w:rsidRPr="00177203">
        <w:rPr>
          <w:rFonts w:eastAsia="宋体" w:cs="Times New Roman"/>
          <w:color w:val="000000" w:themeColor="text1"/>
          <w:sz w:val="24"/>
          <w:szCs w:val="24"/>
        </w:rPr>
        <w:t xml:space="preserve">hydrogen peroxide and </w:t>
      </w:r>
      <w:r w:rsidRPr="00177203">
        <w:rPr>
          <w:rFonts w:eastAsia="宋体" w:cs="Times New Roman"/>
          <w:color w:val="000000" w:themeColor="text1"/>
          <w:sz w:val="24"/>
          <w:szCs w:val="24"/>
        </w:rPr>
        <w:t xml:space="preserve">0.5 M </w:t>
      </w:r>
      <w:r w:rsidR="009F21D7" w:rsidRPr="00177203">
        <w:rPr>
          <w:rFonts w:eastAsia="宋体" w:cs="Times New Roman"/>
          <w:color w:val="000000" w:themeColor="text1"/>
          <w:sz w:val="24"/>
          <w:szCs w:val="24"/>
        </w:rPr>
        <w:t>sulfuric acid</w:t>
      </w:r>
      <w:r w:rsidRPr="00177203">
        <w:rPr>
          <w:rFonts w:eastAsia="宋体" w:cs="Times New Roman"/>
          <w:color w:val="000000" w:themeColor="text1"/>
          <w:sz w:val="24"/>
          <w:szCs w:val="24"/>
        </w:rPr>
        <w:t xml:space="preserve"> solution for 24 h at room temperature and rinsed with deionized water before assembly.</w:t>
      </w:r>
    </w:p>
    <w:p w14:paraId="7DCA778B" w14:textId="171429FA" w:rsidR="00A74A2A" w:rsidRPr="00177203" w:rsidRDefault="00A74A2A"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 xml:space="preserve">The pilot system was operated in a continuous flow mode. The stack was operated at a constant cell voltage of 2.2–2.5 V, with a current density of 12.5 mA </w:t>
      </w:r>
      <w:r w:rsidR="00A7012D" w:rsidRPr="00177203">
        <w:rPr>
          <w:rFonts w:eastAsia="宋体" w:cs="Times New Roman"/>
          <w:color w:val="000000" w:themeColor="text1"/>
          <w:sz w:val="24"/>
          <w:szCs w:val="24"/>
        </w:rPr>
        <w:t>cm</w:t>
      </w:r>
      <w:r w:rsidR="00A7012D"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during start-up corresponding to a total current of </w:t>
      </w:r>
      <w:r w:rsidR="00F02E28" w:rsidRPr="00177203">
        <w:rPr>
          <w:rFonts w:eastAsia="宋体" w:cs="Times New Roman"/>
          <w:color w:val="000000" w:themeColor="text1"/>
          <w:sz w:val="24"/>
          <w:szCs w:val="24"/>
        </w:rPr>
        <w:t>210</w:t>
      </w:r>
      <w:r w:rsidRPr="00177203">
        <w:rPr>
          <w:rFonts w:eastAsia="宋体" w:cs="Times New Roman"/>
          <w:color w:val="000000" w:themeColor="text1"/>
          <w:sz w:val="24"/>
          <w:szCs w:val="24"/>
        </w:rPr>
        <w:t xml:space="preserve"> A, which decreased to 5 mA cm</w:t>
      </w:r>
      <w:r w:rsidR="00F368E4" w:rsidRPr="00177203">
        <w:rPr>
          <w:rFonts w:eastAsia="宋体" w:cs="Times New Roman"/>
          <w:color w:val="000000" w:themeColor="text1"/>
          <w:sz w:val="24"/>
          <w:szCs w:val="24"/>
          <w:vertAlign w:val="superscript"/>
        </w:rPr>
        <w:t>–2</w:t>
      </w:r>
      <w:r w:rsidRPr="00177203">
        <w:rPr>
          <w:rFonts w:eastAsia="宋体" w:cs="Times New Roman"/>
          <w:color w:val="000000" w:themeColor="text1"/>
          <w:sz w:val="24"/>
          <w:szCs w:val="24"/>
        </w:rPr>
        <w:t xml:space="preserve"> after reaching stable operation corresponding to a total current of </w:t>
      </w:r>
      <w:r w:rsidR="00F02E28" w:rsidRPr="00177203">
        <w:rPr>
          <w:rFonts w:eastAsia="宋体" w:cs="Times New Roman"/>
          <w:color w:val="000000" w:themeColor="text1"/>
          <w:sz w:val="24"/>
          <w:szCs w:val="24"/>
        </w:rPr>
        <w:t>84</w:t>
      </w:r>
      <w:r w:rsidRPr="00177203">
        <w:rPr>
          <w:rFonts w:eastAsia="宋体" w:cs="Times New Roman"/>
          <w:color w:val="000000" w:themeColor="text1"/>
          <w:sz w:val="24"/>
          <w:szCs w:val="24"/>
        </w:rPr>
        <w:t xml:space="preserve"> A. The electrolysis temperature was maintained at 30–40 °C via a jacketed heat exchanger on the electrolyte circulation loop. Pretreated carbon dioxide gas was fed to the cathode gas chamber at 0.5–1.0 L </w:t>
      </w:r>
      <w:r w:rsidR="00E63B12" w:rsidRPr="00177203">
        <w:rPr>
          <w:rFonts w:eastAsia="宋体" w:cs="Times New Roman"/>
          <w:sz w:val="24"/>
          <w:szCs w:val="24"/>
        </w:rPr>
        <w:t>min</w:t>
      </w:r>
      <w:r w:rsidR="00E63B12" w:rsidRPr="00177203">
        <w:rPr>
          <w:rFonts w:eastAsia="宋体" w:cs="Times New Roman"/>
          <w:sz w:val="24"/>
          <w:szCs w:val="24"/>
          <w:vertAlign w:val="superscript"/>
        </w:rPr>
        <w:t>–1</w:t>
      </w:r>
      <w:r w:rsidRPr="00177203">
        <w:rPr>
          <w:rFonts w:eastAsia="宋体" w:cs="Times New Roman"/>
          <w:color w:val="000000" w:themeColor="text1"/>
          <w:sz w:val="24"/>
          <w:szCs w:val="24"/>
        </w:rPr>
        <w:t>, with a relative humidity of 90% achieved via a humidifier before entering the stack. The electrolyte was circulated through the anode and cathode chambers at 2–5 L h</w:t>
      </w:r>
      <w:r w:rsidR="00F368E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via a magnetic centrifugal pump, with a residence time of 15 min in the electrolyzer. Cathode effluent was collected at regular intervals from the electrolyte circulation loop, with urea concentration monitored in real time via an online UV-vis spectrophotometer, and samples collected every 2 h for offline quantification via the diacetyl monoxime method and </w:t>
      </w:r>
      <w:r w:rsidR="00F368E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H NMR spectroscopy, consistent with the methods detailed in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Information section 3.3.</w:t>
      </w:r>
    </w:p>
    <w:p w14:paraId="5B58FD90" w14:textId="2AAFD846" w:rsidR="00A74A2A" w:rsidRPr="00177203" w:rsidRDefault="00A74A2A"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 xml:space="preserve">Solid urea product was recovered from the collected cathode effluent via a sequential purification process to remove nitrate and carbonate impurities. The collected effluent first underwent low-temperature static settling to remove suspended impurities, with the supernatant passed through a cation exchange resin column to remove potassium ions. The effluent was then subjected to nanofiltration separation to remove nitrate and carbonate anionic impurities, followed by low-temperature atmospheric concentration and recrystallization to obtain solid urea product. The purity of the urea product was determined via </w:t>
      </w:r>
      <w:r w:rsidR="00F368E4"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H NMR spectroscopy, with a measured purity of no less than 99.5%.</w:t>
      </w:r>
    </w:p>
    <w:p w14:paraId="0001CAC8" w14:textId="7585BAC0" w:rsidR="00A74A2A" w:rsidRPr="00177203" w:rsidRDefault="00A74A2A" w:rsidP="00A74A2A">
      <w:pPr>
        <w:spacing w:afterLines="50" w:after="156"/>
        <w:ind w:firstLine="360"/>
        <w:rPr>
          <w:rFonts w:eastAsia="宋体" w:cs="Times New Roman"/>
          <w:color w:val="000000" w:themeColor="text1"/>
          <w:sz w:val="24"/>
          <w:szCs w:val="24"/>
        </w:rPr>
      </w:pPr>
      <w:r w:rsidRPr="00177203">
        <w:rPr>
          <w:rFonts w:eastAsia="宋体" w:cs="Times New Roman"/>
          <w:color w:val="000000" w:themeColor="text1"/>
          <w:sz w:val="24"/>
          <w:szCs w:val="24"/>
        </w:rPr>
        <w:t>The long-term performance of the pilot system was evaluated via 300 h of continuous operation. The system maintained a stable urea production rate of more than 2</w:t>
      </w:r>
      <w:r w:rsidR="00FB6E52" w:rsidRPr="00177203">
        <w:rPr>
          <w:rFonts w:eastAsia="宋体" w:cs="Times New Roman"/>
          <w:color w:val="000000" w:themeColor="text1"/>
          <w:sz w:val="24"/>
          <w:szCs w:val="24"/>
        </w:rPr>
        <w:t>.</w:t>
      </w:r>
      <w:r w:rsidRPr="00177203">
        <w:rPr>
          <w:rFonts w:eastAsia="宋体" w:cs="Times New Roman"/>
          <w:color w:val="000000" w:themeColor="text1"/>
          <w:sz w:val="24"/>
          <w:szCs w:val="24"/>
        </w:rPr>
        <w:t xml:space="preserve">4 g </w:t>
      </w:r>
      <w:r w:rsidR="00E31B5B" w:rsidRPr="00177203">
        <w:rPr>
          <w:rFonts w:eastAsia="宋体" w:cs="Times New Roman"/>
          <w:color w:val="000000" w:themeColor="text1"/>
          <w:sz w:val="24"/>
          <w:szCs w:val="24"/>
        </w:rPr>
        <w:t>g</w:t>
      </w:r>
      <w:r w:rsidR="00E31B5B" w:rsidRPr="00177203">
        <w:rPr>
          <w:rFonts w:eastAsia="宋体" w:cs="Times New Roman"/>
          <w:color w:val="000000" w:themeColor="text1"/>
          <w:sz w:val="24"/>
          <w:szCs w:val="24"/>
          <w:vertAlign w:val="subscript"/>
        </w:rPr>
        <w:t>cat</w:t>
      </w:r>
      <w:r w:rsidR="00E31B5B" w:rsidRPr="00177203">
        <w:rPr>
          <w:rFonts w:eastAsia="宋体" w:cs="Times New Roman"/>
          <w:color w:val="000000" w:themeColor="text1"/>
          <w:sz w:val="24"/>
          <w:szCs w:val="24"/>
          <w:vertAlign w:val="superscript"/>
        </w:rPr>
        <w:t>–1</w:t>
      </w:r>
      <w:r w:rsidR="00E31B5B" w:rsidRPr="00177203">
        <w:rPr>
          <w:rFonts w:eastAsia="宋体" w:cs="Times New Roman"/>
          <w:color w:val="000000" w:themeColor="text1"/>
          <w:sz w:val="24"/>
          <w:szCs w:val="24"/>
        </w:rPr>
        <w:t xml:space="preserve"> h</w:t>
      </w:r>
      <w:r w:rsidR="00E31B5B"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with a urea Faradaic efficiency of </w:t>
      </w:r>
      <w:r w:rsidR="00E971DF" w:rsidRPr="00177203">
        <w:rPr>
          <w:rFonts w:eastAsia="宋体" w:cs="Times New Roman"/>
          <w:color w:val="000000" w:themeColor="text1"/>
          <w:sz w:val="24"/>
          <w:szCs w:val="24"/>
        </w:rPr>
        <w:t>90</w:t>
      </w:r>
      <w:r w:rsidRPr="00177203">
        <w:rPr>
          <w:rFonts w:eastAsia="宋体" w:cs="Times New Roman"/>
          <w:color w:val="000000" w:themeColor="text1"/>
          <w:sz w:val="24"/>
          <w:szCs w:val="24"/>
        </w:rPr>
        <w:t xml:space="preserve">% and energy consumption of </w:t>
      </w:r>
      <w:r w:rsidR="00FB6E52" w:rsidRPr="00177203">
        <w:rPr>
          <w:rFonts w:eastAsia="宋体" w:cs="Times New Roman"/>
          <w:color w:val="000000" w:themeColor="text1"/>
          <w:sz w:val="24"/>
          <w:szCs w:val="24"/>
        </w:rPr>
        <w:t>14920</w:t>
      </w:r>
      <w:r w:rsidRPr="00177203">
        <w:rPr>
          <w:rFonts w:eastAsia="宋体" w:cs="Times New Roman"/>
          <w:color w:val="000000" w:themeColor="text1"/>
          <w:sz w:val="24"/>
          <w:szCs w:val="24"/>
        </w:rPr>
        <w:t xml:space="preserve"> kWh </w:t>
      </w:r>
      <w:r w:rsidR="00FB6E52" w:rsidRPr="00177203">
        <w:rPr>
          <w:rFonts w:eastAsia="宋体" w:cs="Times New Roman"/>
          <w:color w:val="000000" w:themeColor="text1"/>
          <w:sz w:val="24"/>
          <w:szCs w:val="24"/>
        </w:rPr>
        <w:t>t</w:t>
      </w:r>
      <w:r w:rsidR="00FB6E52" w:rsidRPr="00177203">
        <w:rPr>
          <w:rFonts w:eastAsia="宋体" w:cs="Times New Roman"/>
          <w:color w:val="000000" w:themeColor="text1"/>
          <w:sz w:val="24"/>
          <w:szCs w:val="24"/>
          <w:vertAlign w:val="superscript"/>
        </w:rPr>
        <w:t>–1</w:t>
      </w:r>
      <w:r w:rsidRPr="00177203">
        <w:rPr>
          <w:rFonts w:eastAsia="宋体" w:cs="Times New Roman"/>
          <w:color w:val="000000" w:themeColor="text1"/>
          <w:sz w:val="24"/>
          <w:szCs w:val="24"/>
        </w:rPr>
        <w:t xml:space="preserve"> of urea, as shown in Fig.</w:t>
      </w:r>
      <w:r w:rsidR="00F368E4" w:rsidRPr="00177203">
        <w:rPr>
          <w:rFonts w:eastAsia="宋体" w:cs="Times New Roman"/>
          <w:color w:val="000000" w:themeColor="text1"/>
          <w:sz w:val="24"/>
          <w:szCs w:val="24"/>
        </w:rPr>
        <w:t xml:space="preserve"> </w:t>
      </w:r>
      <w:r w:rsidRPr="00177203">
        <w:rPr>
          <w:rFonts w:eastAsia="宋体" w:cs="Times New Roman"/>
          <w:color w:val="0070C0"/>
          <w:sz w:val="24"/>
          <w:szCs w:val="24"/>
        </w:rPr>
        <w:t>5d</w:t>
      </w:r>
      <w:r w:rsidRPr="00177203">
        <w:rPr>
          <w:rFonts w:eastAsia="宋体" w:cs="Times New Roman"/>
          <w:color w:val="000000" w:themeColor="text1"/>
          <w:sz w:val="24"/>
          <w:szCs w:val="24"/>
        </w:rPr>
        <w:t xml:space="preserve">. Post-mortem analysis of the cathode catalyst after 300 h of operation was performed via scanning electron microscopy, transmission electron microscopy, and X-ray photoelectron spectroscopy, corresponding to </w:t>
      </w:r>
      <w:r w:rsidR="00306188" w:rsidRPr="00177203">
        <w:rPr>
          <w:rFonts w:eastAsia="宋体" w:cs="Times New Roman"/>
          <w:color w:val="000000" w:themeColor="text1"/>
          <w:sz w:val="24"/>
          <w:szCs w:val="24"/>
        </w:rPr>
        <w:t>Supplementary</w:t>
      </w:r>
      <w:r w:rsidRPr="00177203">
        <w:rPr>
          <w:rFonts w:eastAsia="宋体" w:cs="Times New Roman"/>
          <w:color w:val="000000" w:themeColor="text1"/>
          <w:sz w:val="24"/>
          <w:szCs w:val="24"/>
        </w:rPr>
        <w:t xml:space="preserve"> Figs.</w:t>
      </w:r>
      <w:r w:rsidR="009F79C4" w:rsidRPr="00177203">
        <w:rPr>
          <w:rFonts w:eastAsia="宋体" w:cs="Times New Roman"/>
          <w:color w:val="000000" w:themeColor="text1"/>
          <w:sz w:val="24"/>
          <w:szCs w:val="24"/>
        </w:rPr>
        <w:t xml:space="preserve"> </w:t>
      </w:r>
      <w:r w:rsidRPr="00177203">
        <w:rPr>
          <w:rFonts w:eastAsia="宋体" w:cs="Times New Roman"/>
          <w:color w:val="000000" w:themeColor="text1"/>
          <w:sz w:val="24"/>
          <w:szCs w:val="24"/>
        </w:rPr>
        <w:t>8, 9 and 16. The characterization results confirm</w:t>
      </w:r>
      <w:r w:rsidR="00F368E4" w:rsidRPr="00177203">
        <w:rPr>
          <w:rFonts w:eastAsia="宋体" w:cs="Times New Roman"/>
          <w:color w:val="000000" w:themeColor="text1"/>
          <w:sz w:val="24"/>
          <w:szCs w:val="24"/>
        </w:rPr>
        <w:t xml:space="preserve">s </w:t>
      </w:r>
      <w:r w:rsidRPr="00177203">
        <w:rPr>
          <w:rFonts w:eastAsia="宋体" w:cs="Times New Roman"/>
          <w:color w:val="000000" w:themeColor="text1"/>
          <w:sz w:val="24"/>
          <w:szCs w:val="24"/>
        </w:rPr>
        <w:t xml:space="preserve">that the rhombic dodecahedral morphology of the </w:t>
      </w:r>
      <w:r w:rsidR="00E63B12" w:rsidRPr="00177203">
        <w:rPr>
          <w:rFonts w:eastAsia="宋体" w:cs="Times New Roman"/>
          <w:color w:val="000000" w:themeColor="text1"/>
          <w:sz w:val="24"/>
          <w:szCs w:val="24"/>
        </w:rPr>
        <w:t>tZIF-Cu</w:t>
      </w:r>
      <w:r w:rsidR="00E63B12" w:rsidRPr="00177203">
        <w:rPr>
          <w:rFonts w:eastAsia="宋体" w:cs="Times New Roman"/>
          <w:color w:val="000000" w:themeColor="text1"/>
          <w:sz w:val="24"/>
          <w:szCs w:val="24"/>
          <w:vertAlign w:val="subscript"/>
        </w:rPr>
        <w:t>900</w:t>
      </w:r>
      <w:r w:rsidRPr="00177203">
        <w:rPr>
          <w:rFonts w:eastAsia="宋体" w:cs="Times New Roman"/>
          <w:color w:val="000000" w:themeColor="text1"/>
          <w:sz w:val="24"/>
          <w:szCs w:val="24"/>
        </w:rPr>
        <w:t xml:space="preserve"> catalyst was fully preserved, with no detectable copper agglomeration or leaching observed, and the chemical environment of the active sites remained consistent with the fresh catalyst. These results demonstrate the excellent long-term stability of the nanoconfined catalyst under industrial operating conditions.</w:t>
      </w:r>
    </w:p>
    <w:p w14:paraId="746340CA" w14:textId="78BFBC00" w:rsidR="00E93009" w:rsidRPr="00177203" w:rsidRDefault="00E93009" w:rsidP="0006726B">
      <w:pPr>
        <w:spacing w:afterLines="50" w:after="156"/>
        <w:outlineLvl w:val="2"/>
        <w:rPr>
          <w:rFonts w:eastAsia="宋体" w:cs="Times New Roman"/>
          <w:color w:val="000000" w:themeColor="text1"/>
          <w:sz w:val="24"/>
          <w:szCs w:val="24"/>
        </w:rPr>
      </w:pPr>
      <w:r w:rsidRPr="00177203">
        <w:rPr>
          <w:rFonts w:eastAsia="宋体" w:cs="Times New Roman"/>
          <w:b/>
          <w:bCs/>
          <w:color w:val="000000" w:themeColor="text1"/>
          <w:sz w:val="24"/>
          <w:szCs w:val="24"/>
        </w:rPr>
        <w:t xml:space="preserve">Techno-economic sensitivity analysis and break-even calculation: </w:t>
      </w:r>
      <w:r w:rsidRPr="00177203">
        <w:rPr>
          <w:rFonts w:eastAsia="宋体" w:cs="Times New Roman"/>
          <w:color w:val="000000" w:themeColor="text1"/>
          <w:sz w:val="24"/>
          <w:szCs w:val="24"/>
        </w:rPr>
        <w:t xml:space="preserve">All sensitivity and break-even calculations </w:t>
      </w:r>
      <w:r w:rsidR="00F368E4" w:rsidRPr="00177203">
        <w:rPr>
          <w:rFonts w:eastAsia="宋体" w:cs="Times New Roman"/>
          <w:color w:val="000000" w:themeColor="text1"/>
          <w:sz w:val="24"/>
          <w:szCs w:val="24"/>
        </w:rPr>
        <w:t>were</w:t>
      </w:r>
      <w:r w:rsidRPr="00177203">
        <w:rPr>
          <w:rFonts w:eastAsia="宋体" w:cs="Times New Roman"/>
          <w:color w:val="000000" w:themeColor="text1"/>
          <w:sz w:val="24"/>
          <w:szCs w:val="24"/>
        </w:rPr>
        <w:t xml:space="preserve"> based on the net levelized cost (Cₙₑₜ) model consistent with the main text, with complete sub-formulas and parameter interpretations as follows:</w:t>
      </w:r>
    </w:p>
    <w:p w14:paraId="7AFE3A98" w14:textId="061CE4B7" w:rsidR="003E251D" w:rsidRPr="00177203" w:rsidRDefault="003E251D" w:rsidP="003E251D">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Techno-economic analysis </w:t>
      </w:r>
      <w:r w:rsidR="00F368E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performed to quantify industrial viability where net consumption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net</m:t>
            </m:r>
          </m:sub>
        </m:sSub>
      </m:oMath>
      <w:r w:rsidRPr="00177203">
        <w:rPr>
          <w:rFonts w:eastAsia="宋体" w:cs="Times New Roman"/>
          <w:color w:val="000000" w:themeColor="text1"/>
          <w:sz w:val="24"/>
          <w:szCs w:val="24"/>
        </w:rPr>
        <w:t>) is defined as:</w:t>
      </w:r>
    </w:p>
    <w:p w14:paraId="061ACD23" w14:textId="18C34A37" w:rsidR="003E251D" w:rsidRPr="00177203" w:rsidRDefault="00000000" w:rsidP="003E251D">
      <w:pPr>
        <w:spacing w:afterLines="50" w:after="156"/>
        <w:rPr>
          <w:rFonts w:eastAsia="宋体" w:cs="Times New Roman"/>
          <w:color w:val="000000" w:themeColor="text1"/>
          <w:sz w:val="24"/>
          <w:szCs w:val="24"/>
        </w:rPr>
      </w:pPr>
      <m:oMathPara>
        <m:oMath>
          <m:eqArr>
            <m:eqArrPr>
              <m:maxDist m:val="1"/>
              <m:ctrlPr>
                <w:rPr>
                  <w:rFonts w:ascii="Cambria Math" w:eastAsia="宋体" w:hAnsi="Cambria Math" w:cs="Times New Roman"/>
                  <w:i/>
                  <w:color w:val="000000" w:themeColor="text1"/>
                  <w:sz w:val="24"/>
                  <w:szCs w:val="24"/>
                </w:rPr>
              </m:ctrlPr>
            </m:eqArr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net</m:t>
                  </m:r>
                </m:sub>
              </m:sSub>
              <m:r>
                <w:rPr>
                  <w:rFonts w:ascii="Cambria Math" w:eastAsia="宋体" w:hAnsi="Cambria Math" w:cs="Times New Roman"/>
                  <w:color w:val="000000" w:themeColor="text1"/>
                  <w:sz w:val="24"/>
                  <w:szCs w:val="24"/>
                </w:rPr>
                <m:t xml:space="preserve">= </m:t>
              </m:r>
              <m:d>
                <m:dPr>
                  <m:ctrlPr>
                    <w:rPr>
                      <w:rFonts w:ascii="Cambria Math" w:eastAsia="宋体" w:hAnsi="Cambria Math" w:cs="Times New Roman"/>
                      <w:i/>
                      <w:color w:val="000000" w:themeColor="text1"/>
                      <w:sz w:val="24"/>
                      <w:szCs w:val="24"/>
                    </w:rPr>
                  </m:ctrlPr>
                </m:d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e</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m</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l</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d</m:t>
                      </m:r>
                    </m:sub>
                  </m:sSub>
                </m:e>
              </m:d>
              <m:r>
                <w:rPr>
                  <w:rFonts w:ascii="Cambria Math" w:eastAsia="宋体" w:hAnsi="Cambria Math" w:cs="Times New Roman"/>
                  <w:color w:val="000000" w:themeColor="text1"/>
                  <w:sz w:val="24"/>
                  <w:szCs w:val="24"/>
                </w:rPr>
                <m:t xml:space="preserve">- </m:t>
              </m:r>
              <m:d>
                <m:dPr>
                  <m:ctrlPr>
                    <w:rPr>
                      <w:rFonts w:ascii="Cambria Math" w:eastAsia="宋体" w:hAnsi="Cambria Math" w:cs="Times New Roman"/>
                      <w:i/>
                      <w:color w:val="000000" w:themeColor="text1"/>
                      <w:sz w:val="24"/>
                      <w:szCs w:val="24"/>
                    </w:rPr>
                  </m:ctrlPr>
                </m:dPr>
                <m:e>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c</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NO3</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W</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raw</m:t>
                      </m:r>
                    </m:sub>
                  </m:sSub>
                </m:e>
              </m:d>
              <m:r>
                <w:rPr>
                  <w:rFonts w:ascii="Cambria Math" w:eastAsia="宋体" w:hAnsi="Cambria Math" w:cs="Times New Roman"/>
                  <w:color w:val="000000" w:themeColor="text1"/>
                  <w:sz w:val="24"/>
                  <w:szCs w:val="24"/>
                </w:rPr>
                <m:t>#(54)</m:t>
              </m:r>
            </m:e>
          </m:eqArr>
        </m:oMath>
      </m:oMathPara>
    </w:p>
    <w:p w14:paraId="4D3C6B31" w14:textId="3D9A60CA" w:rsidR="003E251D" w:rsidRPr="00177203" w:rsidRDefault="003E251D" w:rsidP="003E251D">
      <w:pPr>
        <w:spacing w:afterLines="50" w:after="156"/>
        <w:rPr>
          <w:rFonts w:eastAsia="宋体" w:cs="Times New Roman"/>
          <w:color w:val="000000" w:themeColor="text1"/>
          <w:sz w:val="24"/>
          <w:szCs w:val="24"/>
        </w:rPr>
      </w:pPr>
      <w:r w:rsidRPr="00177203">
        <w:rPr>
          <w:rFonts w:eastAsia="宋体" w:cs="Times New Roman"/>
          <w:color w:val="000000" w:themeColor="text1"/>
          <w:sz w:val="24"/>
          <w:szCs w:val="24"/>
        </w:rPr>
        <w:t xml:space="preserve">where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e</m:t>
            </m:r>
          </m:sub>
        </m:sSub>
      </m:oMath>
      <w:r w:rsidRPr="00177203">
        <w:rPr>
          <w:rFonts w:eastAsia="宋体" w:cs="Times New Roman"/>
          <w:color w:val="000000" w:themeColor="text1"/>
          <w:sz w:val="24"/>
          <w:szCs w:val="24"/>
        </w:rPr>
        <w:t xml:space="preserve">= energy consumption cost (14920 kWh t⁻¹ urea, 0.032 USD kWh⁻¹);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m</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l</m:t>
            </m:r>
          </m:sub>
        </m:sSub>
        <m:r>
          <w:rPr>
            <w:rFonts w:ascii="Cambria Math" w:eastAsia="宋体" w:hAnsi="Cambria Math" w:cs="Times New Roman"/>
            <w:color w:val="000000" w:themeColor="text1"/>
            <w:sz w:val="24"/>
            <w:szCs w:val="24"/>
          </w:rPr>
          <m:t xml:space="preserve">+ </m:t>
        </m:r>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d</m:t>
            </m:r>
          </m:sub>
        </m:sSub>
      </m:oMath>
      <w:r w:rsidRPr="00177203">
        <w:rPr>
          <w:rFonts w:eastAsia="宋体" w:cs="Times New Roman"/>
          <w:color w:val="000000" w:themeColor="text1"/>
          <w:sz w:val="24"/>
          <w:szCs w:val="24"/>
        </w:rPr>
        <w:t xml:space="preserve"> = feed pretreatment, labor and equipment costs, minimized via shared infrastructure (38.56, 26.00, and 20.00 USD t⁻¹, respectively);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c</m:t>
            </m:r>
          </m:sub>
        </m:sSub>
      </m:oMath>
      <w:r w:rsidRPr="00177203">
        <w:rPr>
          <w:rFonts w:eastAsia="宋体" w:cs="Times New Roman"/>
          <w:color w:val="000000" w:themeColor="text1"/>
          <w:sz w:val="24"/>
          <w:szCs w:val="24"/>
        </w:rPr>
        <w:t xml:space="preserve"> = carbon trading revenue from 1.87 t </w:t>
      </w:r>
      <w:r w:rsidR="00E63B12" w:rsidRPr="00177203">
        <w:rPr>
          <w:rFonts w:eastAsia="宋体" w:cs="Times New Roman"/>
          <w:sz w:val="24"/>
          <w:szCs w:val="24"/>
        </w:rPr>
        <w:t>CO</w:t>
      </w:r>
      <w:r w:rsidR="00E63B12" w:rsidRPr="00177203">
        <w:rPr>
          <w:rFonts w:eastAsia="宋体" w:cs="Times New Roman"/>
          <w:sz w:val="24"/>
          <w:szCs w:val="24"/>
          <w:vertAlign w:val="subscript"/>
        </w:rPr>
        <w:t>2</w:t>
      </w:r>
      <w:r w:rsidRPr="00177203">
        <w:rPr>
          <w:rFonts w:eastAsia="宋体" w:cs="Times New Roman"/>
          <w:color w:val="000000" w:themeColor="text1"/>
          <w:sz w:val="24"/>
          <w:szCs w:val="24"/>
        </w:rPr>
        <w:t xml:space="preserve"> fixation per ton urea (20.76 USD t⁻¹);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NO3</m:t>
            </m:r>
          </m:sub>
        </m:sSub>
      </m:oMath>
      <w:r w:rsidRPr="00177203">
        <w:rPr>
          <w:rFonts w:eastAsia="宋体" w:cs="Times New Roman"/>
          <w:color w:val="000000" w:themeColor="text1"/>
          <w:sz w:val="24"/>
          <w:szCs w:val="24"/>
        </w:rPr>
        <w:t xml:space="preserve"> = saved nitrate wastewater treatment fees (96.00 USD t⁻¹);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W</m:t>
            </m:r>
          </m:sub>
        </m:sSub>
      </m:oMath>
      <w:r w:rsidRPr="00177203">
        <w:rPr>
          <w:rFonts w:eastAsia="宋体" w:cs="Times New Roman"/>
          <w:color w:val="000000" w:themeColor="text1"/>
          <w:sz w:val="24"/>
          <w:szCs w:val="24"/>
        </w:rPr>
        <w:t xml:space="preserve"> = reclaimed water recycling income (2.45 USD t⁻¹);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R</m:t>
            </m:r>
          </m:e>
          <m:sub>
            <m:r>
              <w:rPr>
                <w:rFonts w:ascii="Cambria Math" w:eastAsia="宋体" w:hAnsi="Cambria Math" w:cs="Times New Roman"/>
                <w:color w:val="000000" w:themeColor="text1"/>
                <w:sz w:val="24"/>
                <w:szCs w:val="24"/>
              </w:rPr>
              <m:t>raw</m:t>
            </m:r>
          </m:sub>
        </m:sSub>
      </m:oMath>
      <w:r w:rsidRPr="00177203">
        <w:rPr>
          <w:rFonts w:eastAsia="宋体" w:cs="Times New Roman"/>
          <w:color w:val="000000" w:themeColor="text1"/>
          <w:sz w:val="24"/>
          <w:szCs w:val="24"/>
        </w:rPr>
        <w:t xml:space="preserve"> = raw material savings from waste valorization (132.79 USD t⁻¹). All parameters are based on 2026 industrial actual values</w:t>
      </w:r>
      <w:r w:rsidR="002954F8" w:rsidRPr="00177203">
        <w:rPr>
          <w:rFonts w:cs="Times New Roman"/>
          <w:noProof/>
          <w:color w:val="0070C0"/>
          <w:vertAlign w:val="superscript"/>
        </w:rPr>
        <w:t>71,72</w:t>
      </w:r>
      <w:r w:rsidRPr="00177203">
        <w:rPr>
          <w:rFonts w:eastAsia="宋体" w:cs="Times New Roman"/>
          <w:color w:val="000000" w:themeColor="text1"/>
          <w:sz w:val="24"/>
          <w:szCs w:val="24"/>
        </w:rPr>
        <w:t>.</w:t>
      </w:r>
    </w:p>
    <w:p w14:paraId="12998705" w14:textId="0B11B914" w:rsidR="00E93009" w:rsidRPr="00177203" w:rsidRDefault="003E251D" w:rsidP="003E251D">
      <w:pPr>
        <w:spacing w:afterLines="50" w:after="156"/>
        <w:ind w:firstLine="420"/>
        <w:rPr>
          <w:rFonts w:eastAsia="宋体" w:cs="Times New Roman"/>
          <w:color w:val="000000" w:themeColor="text1"/>
          <w:sz w:val="24"/>
          <w:szCs w:val="24"/>
        </w:rPr>
      </w:pPr>
      <w:r w:rsidRPr="00177203">
        <w:rPr>
          <w:rFonts w:eastAsia="宋体" w:cs="Times New Roman"/>
          <w:color w:val="000000" w:themeColor="text1"/>
          <w:sz w:val="24"/>
          <w:szCs w:val="24"/>
        </w:rPr>
        <w:t xml:space="preserve">Sensitivity analysis </w:t>
      </w:r>
      <w:r w:rsidR="00F368E4" w:rsidRPr="00177203">
        <w:rPr>
          <w:rFonts w:eastAsia="宋体" w:cs="Times New Roman"/>
          <w:color w:val="000000" w:themeColor="text1"/>
          <w:sz w:val="24"/>
          <w:szCs w:val="24"/>
        </w:rPr>
        <w:t>was</w:t>
      </w:r>
      <w:r w:rsidRPr="00177203">
        <w:rPr>
          <w:rFonts w:eastAsia="宋体" w:cs="Times New Roman"/>
          <w:color w:val="000000" w:themeColor="text1"/>
          <w:sz w:val="24"/>
          <w:szCs w:val="24"/>
        </w:rPr>
        <w:t xml:space="preserve"> performed under single-variable control (other parameters fixed at benchmark values), with break-even threshold defined as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net</m:t>
            </m:r>
          </m:sub>
        </m:sSub>
      </m:oMath>
      <w:r w:rsidRPr="00177203">
        <w:rPr>
          <w:rFonts w:eastAsia="宋体" w:cs="Times New Roman"/>
          <w:color w:val="000000" w:themeColor="text1"/>
          <w:sz w:val="24"/>
          <w:szCs w:val="24"/>
        </w:rPr>
        <w:t xml:space="preserve"> ≤ conventional urea production cost (460 USD t⁻¹ for North America, 650 USD t⁻¹ for EU). Break-even boundaries are plotted by fitting the linear correlation between </w:t>
      </w:r>
      <m:oMath>
        <m:sSub>
          <m:sSubPr>
            <m:ctrlPr>
              <w:rPr>
                <w:rFonts w:ascii="Cambria Math" w:eastAsia="宋体" w:hAnsi="Cambria Math" w:cs="Times New Roman"/>
                <w:i/>
                <w:color w:val="000000" w:themeColor="text1"/>
                <w:sz w:val="24"/>
                <w:szCs w:val="24"/>
              </w:rPr>
            </m:ctrlPr>
          </m:sSubPr>
          <m:e>
            <m:r>
              <w:rPr>
                <w:rFonts w:ascii="Cambria Math" w:eastAsia="宋体" w:hAnsi="Cambria Math" w:cs="Times New Roman"/>
                <w:color w:val="000000" w:themeColor="text1"/>
                <w:sz w:val="24"/>
                <w:szCs w:val="24"/>
              </w:rPr>
              <m:t>C</m:t>
            </m:r>
          </m:e>
          <m:sub>
            <m:r>
              <w:rPr>
                <w:rFonts w:ascii="Cambria Math" w:eastAsia="宋体" w:hAnsi="Cambria Math" w:cs="Times New Roman"/>
                <w:color w:val="000000" w:themeColor="text1"/>
                <w:sz w:val="24"/>
                <w:szCs w:val="24"/>
              </w:rPr>
              <m:t>net</m:t>
            </m:r>
          </m:sub>
        </m:sSub>
      </m:oMath>
      <w:r w:rsidRPr="00177203">
        <w:rPr>
          <w:rFonts w:eastAsia="宋体" w:cs="Times New Roman"/>
          <w:color w:val="000000" w:themeColor="text1"/>
          <w:sz w:val="24"/>
          <w:szCs w:val="24"/>
        </w:rPr>
        <w:t xml:space="preserve"> and each sensitive parameter, with coordinate axes set as parameter value and net urea cost. The intersection of the fitted curve and conventional urea cost baseline represents the critical commercialization threshold, confirming the technology maintains cost competitiveness within wide parameter fluctuations and possesses clear large-scale application potential.</w:t>
      </w:r>
    </w:p>
    <w:p w14:paraId="11471A6A" w14:textId="249541A3" w:rsidR="00D90122" w:rsidRPr="00177203" w:rsidRDefault="00A077F3" w:rsidP="00E93009">
      <w:pPr>
        <w:spacing w:afterLines="50" w:after="156"/>
        <w:rPr>
          <w:rFonts w:eastAsia="宋体" w:cs="Times New Roman"/>
          <w:color w:val="000000" w:themeColor="text1"/>
          <w:sz w:val="24"/>
          <w:szCs w:val="24"/>
        </w:rPr>
      </w:pPr>
      <w:r w:rsidRPr="00177203">
        <w:rPr>
          <w:rFonts w:cs="Times New Roman"/>
          <w:noProof/>
        </w:rPr>
        <w:drawing>
          <wp:inline distT="0" distB="0" distL="0" distR="0" wp14:anchorId="64B2DD3F" wp14:editId="2F3FC6ED">
            <wp:extent cx="5274310" cy="3676015"/>
            <wp:effectExtent l="0" t="0" r="2540" b="635"/>
            <wp:docPr id="158248921" name="图片 15824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3676015"/>
                    </a:xfrm>
                    <a:prstGeom prst="rect">
                      <a:avLst/>
                    </a:prstGeom>
                    <a:noFill/>
                    <a:ln>
                      <a:noFill/>
                    </a:ln>
                  </pic:spPr>
                </pic:pic>
              </a:graphicData>
            </a:graphic>
          </wp:inline>
        </w:drawing>
      </w:r>
    </w:p>
    <w:p w14:paraId="07AA205A" w14:textId="56C12135" w:rsidR="0072432E" w:rsidRPr="00177203" w:rsidRDefault="00306188" w:rsidP="0072432E">
      <w:pPr>
        <w:spacing w:afterLines="50" w:after="156"/>
        <w:outlineLvl w:val="3"/>
        <w:rPr>
          <w:rFonts w:eastAsia="宋体" w:cs="Times New Roman"/>
          <w:color w:val="000000" w:themeColor="text1"/>
          <w:sz w:val="24"/>
          <w:szCs w:val="24"/>
        </w:rPr>
      </w:pPr>
      <w:r w:rsidRPr="00177203">
        <w:rPr>
          <w:rFonts w:eastAsia="宋体" w:cs="Times New Roman"/>
          <w:b/>
          <w:bCs/>
          <w:color w:val="000000" w:themeColor="text1"/>
          <w:sz w:val="24"/>
          <w:szCs w:val="24"/>
        </w:rPr>
        <w:t>Supplementary</w:t>
      </w:r>
      <w:r w:rsidR="00A23D53" w:rsidRPr="00177203">
        <w:rPr>
          <w:rFonts w:eastAsia="宋体" w:cs="Times New Roman"/>
          <w:b/>
          <w:bCs/>
          <w:color w:val="000000" w:themeColor="text1"/>
          <w:sz w:val="24"/>
          <w:szCs w:val="24"/>
        </w:rPr>
        <w:t xml:space="preserve"> Fig. 5</w:t>
      </w:r>
      <w:r w:rsidR="0072432E" w:rsidRPr="00177203">
        <w:rPr>
          <w:rFonts w:eastAsia="宋体" w:cs="Times New Roman"/>
          <w:b/>
          <w:bCs/>
          <w:color w:val="000000" w:themeColor="text1"/>
          <w:sz w:val="24"/>
          <w:szCs w:val="24"/>
        </w:rPr>
        <w:t>7</w:t>
      </w:r>
      <w:r w:rsidR="00A23D53" w:rsidRPr="00177203">
        <w:rPr>
          <w:rFonts w:eastAsia="宋体" w:cs="Times New Roman"/>
          <w:color w:val="000000" w:themeColor="text1"/>
          <w:sz w:val="24"/>
          <w:szCs w:val="24"/>
        </w:rPr>
        <w:t>.</w:t>
      </w:r>
      <w:r w:rsidR="00715EE2" w:rsidRPr="00177203">
        <w:rPr>
          <w:rFonts w:eastAsia="宋体" w:cs="Times New Roman"/>
        </w:rPr>
        <w:t xml:space="preserve"> </w:t>
      </w:r>
      <w:r w:rsidR="00715EE2" w:rsidRPr="00177203">
        <w:rPr>
          <w:rFonts w:eastAsia="宋体" w:cs="Times New Roman"/>
          <w:color w:val="000000" w:themeColor="text1"/>
          <w:sz w:val="24"/>
          <w:szCs w:val="24"/>
        </w:rPr>
        <w:t>Techno-economic sensitivity analysis and break-even evaluation of the electrocatalytic urea synthesis technology</w:t>
      </w:r>
      <w:r w:rsidR="00162483" w:rsidRPr="00177203">
        <w:rPr>
          <w:rFonts w:eastAsia="宋体" w:cs="Times New Roman"/>
          <w:color w:val="000000" w:themeColor="text1"/>
          <w:sz w:val="24"/>
          <w:szCs w:val="24"/>
        </w:rPr>
        <w:t xml:space="preserve"> based on 2026 industrial benchmark prices</w:t>
      </w:r>
      <w:r w:rsidR="00715EE2" w:rsidRPr="00177203">
        <w:rPr>
          <w:rFonts w:eastAsia="宋体" w:cs="Times New Roman"/>
          <w:color w:val="000000" w:themeColor="text1"/>
          <w:sz w:val="24"/>
          <w:szCs w:val="24"/>
        </w:rPr>
        <w:t>: net levelized cost of urea as a function of urea Faradaic efficiency and electricity price. The break-even baselines of conventional urea production in North America (NA) and European Union (EU) are shown as references.</w:t>
      </w:r>
      <w:r w:rsidR="0072432E" w:rsidRPr="00177203">
        <w:rPr>
          <w:rFonts w:eastAsia="宋体" w:cs="Times New Roman"/>
          <w:color w:val="000000" w:themeColor="text1"/>
          <w:sz w:val="24"/>
          <w:szCs w:val="24"/>
        </w:rPr>
        <w:br w:type="page"/>
      </w:r>
    </w:p>
    <w:p w14:paraId="287BABAD" w14:textId="5A9C829A" w:rsidR="00455342" w:rsidRPr="00177203" w:rsidRDefault="00455342" w:rsidP="00B10F60">
      <w:pPr>
        <w:spacing w:afterLines="50" w:after="156"/>
        <w:outlineLvl w:val="0"/>
        <w:rPr>
          <w:rFonts w:eastAsia="宋体" w:cs="Times New Roman"/>
          <w:b/>
          <w:bCs/>
          <w:color w:val="000000" w:themeColor="text1"/>
          <w:sz w:val="24"/>
          <w:szCs w:val="24"/>
        </w:rPr>
      </w:pPr>
      <w:r w:rsidRPr="00177203">
        <w:rPr>
          <w:rFonts w:eastAsia="宋体" w:cs="Times New Roman"/>
          <w:b/>
          <w:bCs/>
          <w:color w:val="000000" w:themeColor="text1"/>
          <w:sz w:val="24"/>
          <w:szCs w:val="24"/>
        </w:rPr>
        <w:t>References</w:t>
      </w:r>
    </w:p>
    <w:p w14:paraId="6946A740" w14:textId="3E73D9B3" w:rsidR="002D0DCC" w:rsidRPr="00177203" w:rsidRDefault="002D0DCC" w:rsidP="002D0DCC">
      <w:pPr>
        <w:pStyle w:val="EndNoteBibliography"/>
        <w:ind w:left="720" w:hanging="720"/>
        <w:rPr>
          <w:sz w:val="24"/>
          <w:szCs w:val="24"/>
        </w:rPr>
      </w:pPr>
      <w:r w:rsidRPr="00177203">
        <w:rPr>
          <w:sz w:val="24"/>
          <w:szCs w:val="32"/>
        </w:rPr>
        <w:t>1.</w:t>
      </w:r>
      <w:r w:rsidRPr="00177203">
        <w:rPr>
          <w:sz w:val="24"/>
          <w:szCs w:val="24"/>
        </w:rPr>
        <w:tab/>
        <w:t xml:space="preserve">Lastoskie, C., Gubbins, K. E. &amp; Quirke, N. Pore size distribution analysis of microporous carbons: a density functional theory approach. </w:t>
      </w:r>
      <w:r w:rsidRPr="00177203">
        <w:rPr>
          <w:i/>
          <w:sz w:val="24"/>
          <w:szCs w:val="24"/>
        </w:rPr>
        <w:t>J Phys. Chem.</w:t>
      </w:r>
      <w:r w:rsidRPr="00177203">
        <w:rPr>
          <w:sz w:val="24"/>
          <w:szCs w:val="24"/>
        </w:rPr>
        <w:t xml:space="preserve"> </w:t>
      </w:r>
      <w:r w:rsidRPr="00177203">
        <w:rPr>
          <w:b/>
          <w:sz w:val="24"/>
          <w:szCs w:val="24"/>
        </w:rPr>
        <w:t>97</w:t>
      </w:r>
      <w:r w:rsidRPr="00177203">
        <w:rPr>
          <w:sz w:val="24"/>
          <w:szCs w:val="24"/>
        </w:rPr>
        <w:t>, 4786–4796 (1993).</w:t>
      </w:r>
    </w:p>
    <w:p w14:paraId="452F14BC" w14:textId="11B7DF18" w:rsidR="002D0DCC" w:rsidRPr="00177203" w:rsidRDefault="002D0DCC" w:rsidP="002D0DCC">
      <w:pPr>
        <w:pStyle w:val="EndNoteBibliography"/>
        <w:ind w:left="720" w:hanging="720"/>
        <w:rPr>
          <w:sz w:val="24"/>
          <w:szCs w:val="24"/>
        </w:rPr>
      </w:pPr>
      <w:r w:rsidRPr="00177203">
        <w:rPr>
          <w:sz w:val="24"/>
          <w:szCs w:val="24"/>
        </w:rPr>
        <w:t>2.</w:t>
      </w:r>
      <w:r w:rsidRPr="00177203">
        <w:rPr>
          <w:sz w:val="24"/>
          <w:szCs w:val="24"/>
        </w:rPr>
        <w:tab/>
        <w:t xml:space="preserve">Doraghi, Z., Alinezhad, H. &amp; Ahmadi, A. A copper–doped ZIF–8: A high–performance catalyst for eco-friendly Ullmann and Biginelli reactions. </w:t>
      </w:r>
      <w:r w:rsidRPr="00177203">
        <w:rPr>
          <w:i/>
          <w:sz w:val="24"/>
          <w:szCs w:val="24"/>
        </w:rPr>
        <w:t>Sci. Rep.</w:t>
      </w:r>
      <w:r w:rsidRPr="00177203">
        <w:rPr>
          <w:sz w:val="24"/>
          <w:szCs w:val="24"/>
        </w:rPr>
        <w:t xml:space="preserve"> </w:t>
      </w:r>
      <w:r w:rsidRPr="00177203">
        <w:rPr>
          <w:b/>
          <w:sz w:val="24"/>
          <w:szCs w:val="24"/>
        </w:rPr>
        <w:t>15</w:t>
      </w:r>
      <w:r w:rsidRPr="00177203">
        <w:rPr>
          <w:sz w:val="24"/>
          <w:szCs w:val="24"/>
        </w:rPr>
        <w:t>, 24432 (2025).</w:t>
      </w:r>
    </w:p>
    <w:p w14:paraId="62EE2E4B" w14:textId="05FA5E43" w:rsidR="002D0DCC" w:rsidRPr="00177203" w:rsidRDefault="002D0DCC" w:rsidP="002D0DCC">
      <w:pPr>
        <w:pStyle w:val="EndNoteBibliography"/>
        <w:ind w:left="720" w:hanging="720"/>
        <w:rPr>
          <w:sz w:val="24"/>
          <w:szCs w:val="24"/>
        </w:rPr>
      </w:pPr>
      <w:r w:rsidRPr="00177203">
        <w:rPr>
          <w:sz w:val="24"/>
          <w:szCs w:val="24"/>
        </w:rPr>
        <w:t>3.</w:t>
      </w:r>
      <w:r w:rsidRPr="00177203">
        <w:rPr>
          <w:sz w:val="24"/>
          <w:szCs w:val="24"/>
        </w:rPr>
        <w:tab/>
        <w:t>Yang, Y.</w:t>
      </w:r>
      <w:r w:rsidRPr="00177203">
        <w:rPr>
          <w:i/>
          <w:sz w:val="24"/>
          <w:szCs w:val="24"/>
        </w:rPr>
        <w:t xml:space="preserve"> et al.</w:t>
      </w:r>
      <w:r w:rsidRPr="00177203">
        <w:rPr>
          <w:sz w:val="24"/>
          <w:szCs w:val="24"/>
        </w:rPr>
        <w:t xml:space="preserve"> Bioinspired Cu(II) defect sites in ZIF-8 for selective methane oxidation. </w:t>
      </w:r>
      <w:r w:rsidRPr="00177203">
        <w:rPr>
          <w:i/>
          <w:sz w:val="24"/>
          <w:szCs w:val="24"/>
        </w:rPr>
        <w:t xml:space="preserve">J. Am. Chem. Soc. </w:t>
      </w:r>
      <w:r w:rsidRPr="00177203">
        <w:rPr>
          <w:b/>
          <w:sz w:val="24"/>
          <w:szCs w:val="24"/>
        </w:rPr>
        <w:t>145</w:t>
      </w:r>
      <w:r w:rsidRPr="00177203">
        <w:rPr>
          <w:sz w:val="24"/>
          <w:szCs w:val="24"/>
        </w:rPr>
        <w:t>, 22019–22030 (2023).</w:t>
      </w:r>
    </w:p>
    <w:p w14:paraId="5D07789A" w14:textId="3DEC7637" w:rsidR="002D0DCC" w:rsidRPr="00177203" w:rsidRDefault="002D0DCC" w:rsidP="002D0DCC">
      <w:pPr>
        <w:pStyle w:val="EndNoteBibliography"/>
        <w:ind w:left="720" w:hanging="720"/>
        <w:rPr>
          <w:sz w:val="24"/>
          <w:szCs w:val="24"/>
        </w:rPr>
      </w:pPr>
      <w:r w:rsidRPr="00177203">
        <w:rPr>
          <w:sz w:val="24"/>
          <w:szCs w:val="24"/>
        </w:rPr>
        <w:t>4.</w:t>
      </w:r>
      <w:r w:rsidRPr="00177203">
        <w:rPr>
          <w:sz w:val="24"/>
          <w:szCs w:val="24"/>
        </w:rPr>
        <w:tab/>
        <w:t>Zan, Y.</w:t>
      </w:r>
      <w:r w:rsidRPr="00177203">
        <w:rPr>
          <w:i/>
          <w:sz w:val="24"/>
          <w:szCs w:val="24"/>
        </w:rPr>
        <w:t xml:space="preserve"> et al.</w:t>
      </w:r>
      <w:r w:rsidRPr="00177203">
        <w:rPr>
          <w:sz w:val="24"/>
          <w:szCs w:val="24"/>
        </w:rPr>
        <w:t xml:space="preserve"> Copper nanoparticles supported on ZIF-8: Comparison of Cu(II) reduction processes and application as benzyl alcohol oxidation catalysts. </w:t>
      </w:r>
      <w:r w:rsidRPr="00177203">
        <w:rPr>
          <w:i/>
          <w:sz w:val="24"/>
          <w:szCs w:val="24"/>
        </w:rPr>
        <w:t>ACS Appl. Mater. Interfaces</w:t>
      </w:r>
      <w:r w:rsidRPr="00177203">
        <w:rPr>
          <w:sz w:val="24"/>
          <w:szCs w:val="24"/>
        </w:rPr>
        <w:t xml:space="preserve"> </w:t>
      </w:r>
      <w:r w:rsidRPr="00177203">
        <w:rPr>
          <w:b/>
          <w:sz w:val="24"/>
          <w:szCs w:val="24"/>
        </w:rPr>
        <w:t>15</w:t>
      </w:r>
      <w:r w:rsidRPr="00177203">
        <w:rPr>
          <w:sz w:val="24"/>
          <w:szCs w:val="24"/>
        </w:rPr>
        <w:t>, 38716–38728 (2023).</w:t>
      </w:r>
    </w:p>
    <w:p w14:paraId="4EE4F920" w14:textId="5428B479" w:rsidR="002D0DCC" w:rsidRPr="00177203" w:rsidRDefault="002D0DCC" w:rsidP="002D0DCC">
      <w:pPr>
        <w:pStyle w:val="EndNoteBibliography"/>
        <w:ind w:left="720" w:hanging="720"/>
        <w:rPr>
          <w:sz w:val="24"/>
          <w:szCs w:val="24"/>
        </w:rPr>
      </w:pPr>
      <w:r w:rsidRPr="00177203">
        <w:rPr>
          <w:sz w:val="24"/>
          <w:szCs w:val="24"/>
        </w:rPr>
        <w:t>5.</w:t>
      </w:r>
      <w:r w:rsidRPr="00177203">
        <w:rPr>
          <w:sz w:val="24"/>
          <w:szCs w:val="24"/>
        </w:rPr>
        <w:tab/>
        <w:t>Nozari, V.</w:t>
      </w:r>
      <w:r w:rsidRPr="00177203">
        <w:rPr>
          <w:i/>
          <w:sz w:val="24"/>
          <w:szCs w:val="24"/>
        </w:rPr>
        <w:t xml:space="preserve"> et al.</w:t>
      </w:r>
      <w:r w:rsidRPr="00177203">
        <w:rPr>
          <w:sz w:val="24"/>
          <w:szCs w:val="24"/>
        </w:rPr>
        <w:t xml:space="preserve"> Ionic liquid facilitated melting of the metal–organic framework ZIF-8. </w:t>
      </w:r>
      <w:r w:rsidRPr="00177203">
        <w:rPr>
          <w:i/>
          <w:sz w:val="24"/>
          <w:szCs w:val="24"/>
        </w:rPr>
        <w:t>Nat. Commun.</w:t>
      </w:r>
      <w:r w:rsidRPr="00177203">
        <w:rPr>
          <w:sz w:val="24"/>
          <w:szCs w:val="24"/>
        </w:rPr>
        <w:t xml:space="preserve"> </w:t>
      </w:r>
      <w:r w:rsidRPr="00177203">
        <w:rPr>
          <w:b/>
          <w:sz w:val="24"/>
          <w:szCs w:val="24"/>
        </w:rPr>
        <w:t>12</w:t>
      </w:r>
      <w:r w:rsidRPr="00177203">
        <w:rPr>
          <w:sz w:val="24"/>
          <w:szCs w:val="24"/>
        </w:rPr>
        <w:t>, 5703 (2021).</w:t>
      </w:r>
    </w:p>
    <w:p w14:paraId="182AA4CD" w14:textId="0F75D5DF" w:rsidR="002D0DCC" w:rsidRPr="00177203" w:rsidRDefault="002D0DCC" w:rsidP="002D0DCC">
      <w:pPr>
        <w:pStyle w:val="EndNoteBibliography"/>
        <w:ind w:left="720" w:hanging="720"/>
        <w:rPr>
          <w:sz w:val="24"/>
          <w:szCs w:val="24"/>
        </w:rPr>
      </w:pPr>
      <w:r w:rsidRPr="00177203">
        <w:rPr>
          <w:sz w:val="24"/>
          <w:szCs w:val="24"/>
        </w:rPr>
        <w:t>6.</w:t>
      </w:r>
      <w:r w:rsidRPr="00177203">
        <w:rPr>
          <w:sz w:val="24"/>
          <w:szCs w:val="24"/>
        </w:rPr>
        <w:tab/>
        <w:t xml:space="preserve">Nahian, M. S., Pritom, R. &amp; Islam, M. M. Revealing mechanistic insights into amorphous graphite formation from oxygenated polar heavy-end aromatic feedstock. </w:t>
      </w:r>
      <w:r w:rsidRPr="00177203">
        <w:rPr>
          <w:i/>
          <w:sz w:val="24"/>
          <w:szCs w:val="24"/>
        </w:rPr>
        <w:t>J. Phys. Chem. C</w:t>
      </w:r>
      <w:r w:rsidRPr="00177203">
        <w:rPr>
          <w:sz w:val="24"/>
          <w:szCs w:val="24"/>
        </w:rPr>
        <w:t xml:space="preserve"> </w:t>
      </w:r>
      <w:r w:rsidRPr="00177203">
        <w:rPr>
          <w:b/>
          <w:sz w:val="24"/>
          <w:szCs w:val="24"/>
        </w:rPr>
        <w:t>127</w:t>
      </w:r>
      <w:r w:rsidRPr="00177203">
        <w:rPr>
          <w:sz w:val="24"/>
          <w:szCs w:val="24"/>
        </w:rPr>
        <w:t>, 20146–20156 (2023).</w:t>
      </w:r>
    </w:p>
    <w:p w14:paraId="6015500B" w14:textId="0AE49067" w:rsidR="002D0DCC" w:rsidRPr="00177203" w:rsidRDefault="002D0DCC" w:rsidP="002D0DCC">
      <w:pPr>
        <w:pStyle w:val="EndNoteBibliography"/>
        <w:ind w:left="720" w:hanging="720"/>
        <w:rPr>
          <w:sz w:val="24"/>
          <w:szCs w:val="24"/>
        </w:rPr>
      </w:pPr>
      <w:r w:rsidRPr="00177203">
        <w:rPr>
          <w:sz w:val="24"/>
          <w:szCs w:val="24"/>
        </w:rPr>
        <w:t>7.</w:t>
      </w:r>
      <w:r w:rsidRPr="00177203">
        <w:rPr>
          <w:sz w:val="24"/>
          <w:szCs w:val="24"/>
        </w:rPr>
        <w:tab/>
        <w:t xml:space="preserve">Gaffney, J. S., Marley, N. A. &amp; Smith, K. J. Characterization of fine mode atmospheric aerosols by Raman microscopy and diffuse reflectance FTIR. </w:t>
      </w:r>
      <w:r w:rsidRPr="00177203">
        <w:rPr>
          <w:i/>
          <w:sz w:val="24"/>
          <w:szCs w:val="24"/>
        </w:rPr>
        <w:t>J. Phys. Chem. A</w:t>
      </w:r>
      <w:r w:rsidRPr="00177203">
        <w:rPr>
          <w:sz w:val="24"/>
          <w:szCs w:val="24"/>
        </w:rPr>
        <w:t xml:space="preserve"> </w:t>
      </w:r>
      <w:r w:rsidRPr="00177203">
        <w:rPr>
          <w:b/>
          <w:sz w:val="24"/>
          <w:szCs w:val="24"/>
        </w:rPr>
        <w:t>119</w:t>
      </w:r>
      <w:r w:rsidRPr="00177203">
        <w:rPr>
          <w:sz w:val="24"/>
          <w:szCs w:val="24"/>
        </w:rPr>
        <w:t>, 4524–4532 (2015).</w:t>
      </w:r>
    </w:p>
    <w:p w14:paraId="764A118E" w14:textId="5B0DC5D2" w:rsidR="002D0DCC" w:rsidRPr="00177203" w:rsidRDefault="002D0DCC" w:rsidP="002D0DCC">
      <w:pPr>
        <w:pStyle w:val="EndNoteBibliography"/>
        <w:ind w:left="720" w:hanging="720"/>
        <w:rPr>
          <w:sz w:val="24"/>
          <w:szCs w:val="24"/>
        </w:rPr>
      </w:pPr>
      <w:r w:rsidRPr="00177203">
        <w:rPr>
          <w:sz w:val="24"/>
          <w:szCs w:val="24"/>
        </w:rPr>
        <w:t>8.</w:t>
      </w:r>
      <w:r w:rsidRPr="00177203">
        <w:rPr>
          <w:sz w:val="24"/>
          <w:szCs w:val="24"/>
        </w:rPr>
        <w:tab/>
        <w:t xml:space="preserve">Li, L., An, B., Lahiri, A., Wang, P. &amp; Fang, Y. Doublet of D and 2D bands in graphene deposited with Ag nanoparticles by surface enhanced Raman spectroscopy. </w:t>
      </w:r>
      <w:r w:rsidRPr="00177203">
        <w:rPr>
          <w:i/>
          <w:sz w:val="24"/>
          <w:szCs w:val="24"/>
        </w:rPr>
        <w:t>Carbon</w:t>
      </w:r>
      <w:r w:rsidRPr="00177203">
        <w:rPr>
          <w:sz w:val="24"/>
          <w:szCs w:val="24"/>
        </w:rPr>
        <w:t xml:space="preserve"> </w:t>
      </w:r>
      <w:r w:rsidRPr="00177203">
        <w:rPr>
          <w:b/>
          <w:sz w:val="24"/>
          <w:szCs w:val="24"/>
        </w:rPr>
        <w:t>65</w:t>
      </w:r>
      <w:r w:rsidRPr="00177203">
        <w:rPr>
          <w:sz w:val="24"/>
          <w:szCs w:val="24"/>
        </w:rPr>
        <w:t>, 359–364 (2013).</w:t>
      </w:r>
    </w:p>
    <w:p w14:paraId="5DEA5A50" w14:textId="00345E46" w:rsidR="002D0DCC" w:rsidRPr="00177203" w:rsidRDefault="002D0DCC" w:rsidP="002D0DCC">
      <w:pPr>
        <w:pStyle w:val="EndNoteBibliography"/>
        <w:ind w:left="720" w:hanging="720"/>
        <w:rPr>
          <w:sz w:val="24"/>
          <w:szCs w:val="24"/>
        </w:rPr>
      </w:pPr>
      <w:r w:rsidRPr="00177203">
        <w:rPr>
          <w:sz w:val="24"/>
          <w:szCs w:val="24"/>
        </w:rPr>
        <w:t>9.</w:t>
      </w:r>
      <w:r w:rsidRPr="00177203">
        <w:rPr>
          <w:sz w:val="24"/>
          <w:szCs w:val="24"/>
        </w:rPr>
        <w:tab/>
        <w:t>Cheng, H.</w:t>
      </w:r>
      <w:r w:rsidRPr="00177203">
        <w:rPr>
          <w:i/>
          <w:sz w:val="24"/>
          <w:szCs w:val="24"/>
        </w:rPr>
        <w:t xml:space="preserve"> et al.</w:t>
      </w:r>
      <w:r w:rsidRPr="00177203">
        <w:rPr>
          <w:sz w:val="24"/>
          <w:szCs w:val="24"/>
        </w:rPr>
        <w:t xml:space="preserve"> Construction of atomically dispersed Cu–N</w:t>
      </w:r>
      <w:r w:rsidRPr="00177203">
        <w:rPr>
          <w:sz w:val="24"/>
          <w:szCs w:val="24"/>
          <w:vertAlign w:val="subscript"/>
        </w:rPr>
        <w:t>4</w:t>
      </w:r>
      <w:r w:rsidRPr="00177203">
        <w:rPr>
          <w:sz w:val="24"/>
          <w:szCs w:val="24"/>
        </w:rPr>
        <w:t xml:space="preserve"> sites via engineered coordination environment for high–efficient CO</w:t>
      </w:r>
      <w:r w:rsidRPr="00177203">
        <w:rPr>
          <w:sz w:val="24"/>
          <w:szCs w:val="24"/>
          <w:vertAlign w:val="subscript"/>
        </w:rPr>
        <w:t>2</w:t>
      </w:r>
      <w:r w:rsidRPr="00177203">
        <w:rPr>
          <w:sz w:val="24"/>
          <w:szCs w:val="24"/>
        </w:rPr>
        <w:t xml:space="preserve"> electroreduction. </w:t>
      </w:r>
      <w:r w:rsidRPr="00177203">
        <w:rPr>
          <w:i/>
          <w:sz w:val="24"/>
          <w:szCs w:val="24"/>
        </w:rPr>
        <w:t>Chem. Eng. J.</w:t>
      </w:r>
      <w:r w:rsidRPr="00177203">
        <w:rPr>
          <w:sz w:val="24"/>
          <w:szCs w:val="24"/>
        </w:rPr>
        <w:t xml:space="preserve"> </w:t>
      </w:r>
      <w:r w:rsidRPr="00177203">
        <w:rPr>
          <w:b/>
          <w:sz w:val="24"/>
          <w:szCs w:val="24"/>
        </w:rPr>
        <w:t>407</w:t>
      </w:r>
      <w:r w:rsidRPr="00177203">
        <w:rPr>
          <w:sz w:val="24"/>
          <w:szCs w:val="24"/>
        </w:rPr>
        <w:t>, 126842 (2021).</w:t>
      </w:r>
    </w:p>
    <w:p w14:paraId="133035CA" w14:textId="6C7F5838" w:rsidR="002D0DCC" w:rsidRPr="00177203" w:rsidRDefault="002D0DCC" w:rsidP="002D0DCC">
      <w:pPr>
        <w:pStyle w:val="EndNoteBibliography"/>
        <w:ind w:left="720" w:hanging="720"/>
        <w:rPr>
          <w:sz w:val="24"/>
          <w:szCs w:val="24"/>
        </w:rPr>
      </w:pPr>
      <w:r w:rsidRPr="00177203">
        <w:rPr>
          <w:sz w:val="24"/>
          <w:szCs w:val="24"/>
        </w:rPr>
        <w:t>10.</w:t>
      </w:r>
      <w:r w:rsidRPr="00177203">
        <w:rPr>
          <w:sz w:val="24"/>
          <w:szCs w:val="24"/>
        </w:rPr>
        <w:tab/>
        <w:t>Chen, X.</w:t>
      </w:r>
      <w:r w:rsidRPr="00177203">
        <w:rPr>
          <w:i/>
          <w:sz w:val="24"/>
          <w:szCs w:val="24"/>
        </w:rPr>
        <w:t xml:space="preserve"> et al.</w:t>
      </w:r>
      <w:r w:rsidRPr="00177203">
        <w:rPr>
          <w:sz w:val="24"/>
          <w:szCs w:val="24"/>
        </w:rPr>
        <w:t xml:space="preserve"> Metal–organic framework-derived mesoporous carbon nanoframes embedded with atomically dispersed Fe–N</w:t>
      </w:r>
      <w:r w:rsidRPr="00177203">
        <w:rPr>
          <w:sz w:val="24"/>
          <w:szCs w:val="24"/>
          <w:vertAlign w:val="subscript"/>
        </w:rPr>
        <w:t>x</w:t>
      </w:r>
      <w:r w:rsidRPr="00177203">
        <w:rPr>
          <w:sz w:val="24"/>
          <w:szCs w:val="24"/>
        </w:rPr>
        <w:t xml:space="preserve"> active sites for efficient bifunctional oxygen and carbon dioxide electroreduction. </w:t>
      </w:r>
      <w:r w:rsidRPr="00177203">
        <w:rPr>
          <w:i/>
          <w:sz w:val="24"/>
          <w:szCs w:val="24"/>
        </w:rPr>
        <w:t>Appl. Catal. B: Environ.</w:t>
      </w:r>
      <w:r w:rsidRPr="00177203">
        <w:rPr>
          <w:b/>
          <w:sz w:val="24"/>
          <w:szCs w:val="24"/>
        </w:rPr>
        <w:t>267</w:t>
      </w:r>
      <w:r w:rsidRPr="00177203">
        <w:rPr>
          <w:sz w:val="24"/>
          <w:szCs w:val="24"/>
        </w:rPr>
        <w:t>, 118720 (2020).</w:t>
      </w:r>
    </w:p>
    <w:p w14:paraId="109ED800" w14:textId="1A4BDD3B" w:rsidR="002D0DCC" w:rsidRPr="00177203" w:rsidRDefault="002D0DCC" w:rsidP="002D0DCC">
      <w:pPr>
        <w:pStyle w:val="EndNoteBibliography"/>
        <w:ind w:left="720" w:hanging="720"/>
        <w:rPr>
          <w:sz w:val="24"/>
          <w:szCs w:val="24"/>
        </w:rPr>
      </w:pPr>
      <w:r w:rsidRPr="00177203">
        <w:rPr>
          <w:sz w:val="24"/>
          <w:szCs w:val="24"/>
        </w:rPr>
        <w:t>11.</w:t>
      </w:r>
      <w:r w:rsidRPr="00177203">
        <w:rPr>
          <w:sz w:val="24"/>
          <w:szCs w:val="24"/>
        </w:rPr>
        <w:tab/>
        <w:t>Ma, S.</w:t>
      </w:r>
      <w:r w:rsidRPr="00177203">
        <w:rPr>
          <w:i/>
          <w:sz w:val="24"/>
          <w:szCs w:val="24"/>
        </w:rPr>
        <w:t xml:space="preserve"> et al.</w:t>
      </w:r>
      <w:r w:rsidRPr="00177203">
        <w:rPr>
          <w:sz w:val="24"/>
          <w:szCs w:val="24"/>
        </w:rPr>
        <w:t xml:space="preserve"> Ionic exchange of metal–organic frameworks for constructing unsaturated copper single–atom catalysts for boosting oxygen reduction reaction. </w:t>
      </w:r>
      <w:r w:rsidRPr="00177203">
        <w:rPr>
          <w:i/>
          <w:sz w:val="24"/>
          <w:szCs w:val="24"/>
        </w:rPr>
        <w:t>Small</w:t>
      </w:r>
      <w:r w:rsidRPr="00177203">
        <w:rPr>
          <w:sz w:val="24"/>
          <w:szCs w:val="24"/>
        </w:rPr>
        <w:t xml:space="preserve"> </w:t>
      </w:r>
      <w:r w:rsidRPr="00177203">
        <w:rPr>
          <w:b/>
          <w:sz w:val="24"/>
          <w:szCs w:val="24"/>
        </w:rPr>
        <w:t>16</w:t>
      </w:r>
      <w:r w:rsidRPr="00177203">
        <w:rPr>
          <w:sz w:val="24"/>
          <w:szCs w:val="24"/>
        </w:rPr>
        <w:t>, 2001384 (2020).</w:t>
      </w:r>
    </w:p>
    <w:p w14:paraId="4F438D8A" w14:textId="3A9443BE" w:rsidR="002D0DCC" w:rsidRPr="00177203" w:rsidRDefault="002D0DCC" w:rsidP="002D0DCC">
      <w:pPr>
        <w:pStyle w:val="EndNoteBibliography"/>
        <w:ind w:left="720" w:hanging="720"/>
        <w:rPr>
          <w:sz w:val="24"/>
          <w:szCs w:val="24"/>
        </w:rPr>
      </w:pPr>
      <w:r w:rsidRPr="00177203">
        <w:rPr>
          <w:sz w:val="24"/>
          <w:szCs w:val="24"/>
        </w:rPr>
        <w:t>12.</w:t>
      </w:r>
      <w:r w:rsidRPr="00177203">
        <w:rPr>
          <w:sz w:val="24"/>
          <w:szCs w:val="24"/>
        </w:rPr>
        <w:tab/>
        <w:t>Xie, Z.</w:t>
      </w:r>
      <w:r w:rsidRPr="00177203">
        <w:rPr>
          <w:i/>
          <w:sz w:val="24"/>
          <w:szCs w:val="24"/>
        </w:rPr>
        <w:t xml:space="preserve"> et al.</w:t>
      </w:r>
      <w:r w:rsidRPr="00177203">
        <w:rPr>
          <w:sz w:val="24"/>
          <w:szCs w:val="24"/>
        </w:rPr>
        <w:t xml:space="preserve"> Solar–driven co–production of C</w:t>
      </w:r>
      <w:r w:rsidRPr="00177203">
        <w:rPr>
          <w:sz w:val="24"/>
          <w:szCs w:val="24"/>
          <w:vertAlign w:val="subscript"/>
        </w:rPr>
        <w:t>2</w:t>
      </w:r>
      <w:r w:rsidRPr="00177203">
        <w:rPr>
          <w:sz w:val="24"/>
          <w:szCs w:val="24"/>
        </w:rPr>
        <w:t>H</w:t>
      </w:r>
      <w:r w:rsidRPr="00177203">
        <w:rPr>
          <w:sz w:val="24"/>
          <w:szCs w:val="24"/>
          <w:vertAlign w:val="subscript"/>
        </w:rPr>
        <w:t>4</w:t>
      </w:r>
      <w:r w:rsidRPr="00177203">
        <w:rPr>
          <w:sz w:val="24"/>
          <w:szCs w:val="24"/>
        </w:rPr>
        <w:t xml:space="preserve"> and H</w:t>
      </w:r>
      <w:r w:rsidRPr="00177203">
        <w:rPr>
          <w:sz w:val="24"/>
          <w:szCs w:val="24"/>
          <w:vertAlign w:val="subscript"/>
        </w:rPr>
        <w:t>2</w:t>
      </w:r>
      <w:r w:rsidRPr="00177203">
        <w:rPr>
          <w:sz w:val="24"/>
          <w:szCs w:val="24"/>
        </w:rPr>
        <w:t>O</w:t>
      </w:r>
      <w:r w:rsidRPr="00177203">
        <w:rPr>
          <w:sz w:val="24"/>
          <w:szCs w:val="24"/>
          <w:vertAlign w:val="subscript"/>
        </w:rPr>
        <w:t>2</w:t>
      </w:r>
      <w:r w:rsidRPr="00177203">
        <w:rPr>
          <w:sz w:val="24"/>
          <w:szCs w:val="24"/>
        </w:rPr>
        <w:t xml:space="preserve"> from CO</w:t>
      </w:r>
      <w:r w:rsidRPr="00177203">
        <w:rPr>
          <w:sz w:val="24"/>
          <w:szCs w:val="24"/>
          <w:vertAlign w:val="subscript"/>
        </w:rPr>
        <w:t xml:space="preserve">2 </w:t>
      </w:r>
      <w:r w:rsidRPr="00177203">
        <w:rPr>
          <w:sz w:val="24"/>
          <w:szCs w:val="24"/>
        </w:rPr>
        <w:t>and H</w:t>
      </w:r>
      <w:r w:rsidRPr="00177203">
        <w:rPr>
          <w:sz w:val="24"/>
          <w:szCs w:val="24"/>
          <w:vertAlign w:val="subscript"/>
        </w:rPr>
        <w:t>2</w:t>
      </w:r>
      <w:r w:rsidRPr="00177203">
        <w:rPr>
          <w:sz w:val="24"/>
          <w:szCs w:val="24"/>
        </w:rPr>
        <w:t xml:space="preserve">O. </w:t>
      </w:r>
      <w:r w:rsidRPr="00177203">
        <w:rPr>
          <w:i/>
          <w:sz w:val="24"/>
          <w:szCs w:val="24"/>
        </w:rPr>
        <w:t>Nat. Commun.</w:t>
      </w:r>
      <w:r w:rsidRPr="00177203">
        <w:rPr>
          <w:sz w:val="24"/>
          <w:szCs w:val="24"/>
        </w:rPr>
        <w:t xml:space="preserve"> (2026).</w:t>
      </w:r>
    </w:p>
    <w:p w14:paraId="7AF18F47" w14:textId="4A2E6FF3" w:rsidR="002D0DCC" w:rsidRPr="00177203" w:rsidRDefault="002D0DCC" w:rsidP="002D0DCC">
      <w:pPr>
        <w:pStyle w:val="EndNoteBibliography"/>
        <w:ind w:left="720" w:hanging="720"/>
        <w:rPr>
          <w:sz w:val="24"/>
          <w:szCs w:val="24"/>
        </w:rPr>
      </w:pPr>
      <w:r w:rsidRPr="00177203">
        <w:rPr>
          <w:sz w:val="24"/>
          <w:szCs w:val="24"/>
        </w:rPr>
        <w:t>13.</w:t>
      </w:r>
      <w:r w:rsidRPr="00177203">
        <w:rPr>
          <w:sz w:val="24"/>
          <w:szCs w:val="24"/>
        </w:rPr>
        <w:tab/>
        <w:t>Xiong, Y.</w:t>
      </w:r>
      <w:r w:rsidRPr="00177203">
        <w:rPr>
          <w:i/>
          <w:sz w:val="24"/>
          <w:szCs w:val="24"/>
        </w:rPr>
        <w:t xml:space="preserve"> et al.</w:t>
      </w:r>
      <w:r w:rsidRPr="00177203">
        <w:rPr>
          <w:sz w:val="24"/>
          <w:szCs w:val="24"/>
        </w:rPr>
        <w:t xml:space="preserve"> Construction of dual-active-site copper catalyst containing both Cu–N</w:t>
      </w:r>
      <w:r w:rsidRPr="00177203">
        <w:rPr>
          <w:sz w:val="24"/>
          <w:szCs w:val="24"/>
          <w:vertAlign w:val="subscript"/>
        </w:rPr>
        <w:t>3</w:t>
      </w:r>
      <w:r w:rsidRPr="00177203">
        <w:rPr>
          <w:sz w:val="24"/>
          <w:szCs w:val="24"/>
        </w:rPr>
        <w:t xml:space="preserve"> and Cu–N</w:t>
      </w:r>
      <w:r w:rsidRPr="00177203">
        <w:rPr>
          <w:sz w:val="24"/>
          <w:szCs w:val="24"/>
          <w:vertAlign w:val="subscript"/>
        </w:rPr>
        <w:t>4</w:t>
      </w:r>
      <w:r w:rsidRPr="00177203">
        <w:rPr>
          <w:sz w:val="24"/>
          <w:szCs w:val="24"/>
        </w:rPr>
        <w:t xml:space="preserve"> sites. </w:t>
      </w:r>
      <w:r w:rsidRPr="00177203">
        <w:rPr>
          <w:i/>
          <w:sz w:val="24"/>
          <w:szCs w:val="24"/>
        </w:rPr>
        <w:t>Small</w:t>
      </w:r>
      <w:r w:rsidRPr="00177203">
        <w:rPr>
          <w:sz w:val="24"/>
          <w:szCs w:val="24"/>
        </w:rPr>
        <w:t xml:space="preserve"> </w:t>
      </w:r>
      <w:r w:rsidRPr="00177203">
        <w:rPr>
          <w:b/>
          <w:sz w:val="24"/>
          <w:szCs w:val="24"/>
        </w:rPr>
        <w:t>17</w:t>
      </w:r>
      <w:r w:rsidRPr="00177203">
        <w:rPr>
          <w:sz w:val="24"/>
          <w:szCs w:val="24"/>
        </w:rPr>
        <w:t>, 2006834 (2021).</w:t>
      </w:r>
    </w:p>
    <w:p w14:paraId="05319B36" w14:textId="1C1C484B" w:rsidR="002D0DCC" w:rsidRPr="00177203" w:rsidRDefault="002D0DCC" w:rsidP="002D0DCC">
      <w:pPr>
        <w:pStyle w:val="EndNoteBibliography"/>
        <w:ind w:left="720" w:hanging="720"/>
        <w:rPr>
          <w:sz w:val="24"/>
          <w:szCs w:val="24"/>
        </w:rPr>
      </w:pPr>
      <w:r w:rsidRPr="00177203">
        <w:rPr>
          <w:sz w:val="24"/>
          <w:szCs w:val="24"/>
        </w:rPr>
        <w:t>14.</w:t>
      </w:r>
      <w:r w:rsidRPr="00177203">
        <w:rPr>
          <w:sz w:val="24"/>
          <w:szCs w:val="24"/>
        </w:rPr>
        <w:tab/>
        <w:t xml:space="preserve">Young, V. Angular distribution XPS studies on carbon foil. </w:t>
      </w:r>
      <w:r w:rsidRPr="00177203">
        <w:rPr>
          <w:i/>
          <w:sz w:val="24"/>
          <w:szCs w:val="24"/>
        </w:rPr>
        <w:t>Carbon</w:t>
      </w:r>
      <w:r w:rsidRPr="00177203">
        <w:rPr>
          <w:sz w:val="24"/>
          <w:szCs w:val="24"/>
        </w:rPr>
        <w:t xml:space="preserve"> </w:t>
      </w:r>
      <w:r w:rsidRPr="00177203">
        <w:rPr>
          <w:b/>
          <w:sz w:val="24"/>
          <w:szCs w:val="24"/>
        </w:rPr>
        <w:t>20</w:t>
      </w:r>
      <w:r w:rsidRPr="00177203">
        <w:rPr>
          <w:sz w:val="24"/>
          <w:szCs w:val="24"/>
        </w:rPr>
        <w:t>, 35–39 (1982).</w:t>
      </w:r>
    </w:p>
    <w:p w14:paraId="58E3FF63" w14:textId="2CFC75B0" w:rsidR="002D0DCC" w:rsidRPr="00177203" w:rsidRDefault="002D0DCC" w:rsidP="002D0DCC">
      <w:pPr>
        <w:pStyle w:val="EndNoteBibliography"/>
        <w:ind w:left="720" w:hanging="720"/>
        <w:rPr>
          <w:sz w:val="24"/>
          <w:szCs w:val="24"/>
        </w:rPr>
      </w:pPr>
      <w:r w:rsidRPr="00177203">
        <w:rPr>
          <w:sz w:val="24"/>
          <w:szCs w:val="24"/>
        </w:rPr>
        <w:t>15.</w:t>
      </w:r>
      <w:r w:rsidRPr="00177203">
        <w:rPr>
          <w:sz w:val="24"/>
          <w:szCs w:val="24"/>
        </w:rPr>
        <w:tab/>
        <w:t xml:space="preserve">Du, X. W., Fu, Y., Sun, J., Yao, P. &amp; Cui, L. Intensive light emission from SiCN films by reactive RF magnetron sputtering. </w:t>
      </w:r>
      <w:r w:rsidRPr="00177203">
        <w:rPr>
          <w:i/>
          <w:sz w:val="24"/>
          <w:szCs w:val="24"/>
        </w:rPr>
        <w:t>Mater. Chem. Phys.</w:t>
      </w:r>
      <w:r w:rsidRPr="00177203">
        <w:rPr>
          <w:sz w:val="24"/>
          <w:szCs w:val="24"/>
        </w:rPr>
        <w:t xml:space="preserve"> </w:t>
      </w:r>
      <w:r w:rsidRPr="00177203">
        <w:rPr>
          <w:b/>
          <w:sz w:val="24"/>
          <w:szCs w:val="24"/>
        </w:rPr>
        <w:t>103</w:t>
      </w:r>
      <w:r w:rsidRPr="00177203">
        <w:rPr>
          <w:sz w:val="24"/>
          <w:szCs w:val="24"/>
        </w:rPr>
        <w:t>, 456–460 (2007).</w:t>
      </w:r>
    </w:p>
    <w:p w14:paraId="73A7CA65" w14:textId="09F8325A" w:rsidR="002D0DCC" w:rsidRPr="00177203" w:rsidRDefault="002D0DCC" w:rsidP="002D0DCC">
      <w:pPr>
        <w:pStyle w:val="EndNoteBibliography"/>
        <w:ind w:left="720" w:hanging="720"/>
        <w:rPr>
          <w:sz w:val="24"/>
          <w:szCs w:val="24"/>
        </w:rPr>
      </w:pPr>
      <w:r w:rsidRPr="00177203">
        <w:rPr>
          <w:sz w:val="24"/>
          <w:szCs w:val="24"/>
        </w:rPr>
        <w:t>16.</w:t>
      </w:r>
      <w:r w:rsidRPr="00177203">
        <w:rPr>
          <w:sz w:val="24"/>
          <w:szCs w:val="24"/>
        </w:rPr>
        <w:tab/>
        <w:t xml:space="preserve">Chen, X., Wang, X. &amp; Fang, D. A review on C1s XPS-spectra for some kinds of carbon materials. </w:t>
      </w:r>
      <w:r w:rsidR="006F3A1B" w:rsidRPr="00177203">
        <w:rPr>
          <w:i/>
          <w:sz w:val="24"/>
          <w:szCs w:val="24"/>
        </w:rPr>
        <w:t>Fuller. Nanotub. Car. Nanostruct.</w:t>
      </w:r>
      <w:r w:rsidRPr="00177203">
        <w:rPr>
          <w:sz w:val="24"/>
          <w:szCs w:val="24"/>
        </w:rPr>
        <w:t xml:space="preserve"> </w:t>
      </w:r>
      <w:r w:rsidRPr="00177203">
        <w:rPr>
          <w:b/>
          <w:sz w:val="24"/>
          <w:szCs w:val="24"/>
        </w:rPr>
        <w:t>28</w:t>
      </w:r>
      <w:r w:rsidRPr="00177203">
        <w:rPr>
          <w:sz w:val="24"/>
          <w:szCs w:val="24"/>
        </w:rPr>
        <w:t>, 1048–1058 (2020).</w:t>
      </w:r>
    </w:p>
    <w:p w14:paraId="227088CE" w14:textId="09BCF3A0" w:rsidR="002D0DCC" w:rsidRPr="00177203" w:rsidRDefault="002D0DCC" w:rsidP="002D0DCC">
      <w:pPr>
        <w:pStyle w:val="EndNoteBibliography"/>
        <w:ind w:left="720" w:hanging="720"/>
        <w:rPr>
          <w:sz w:val="24"/>
          <w:szCs w:val="24"/>
        </w:rPr>
      </w:pPr>
      <w:r w:rsidRPr="00177203">
        <w:rPr>
          <w:sz w:val="24"/>
          <w:szCs w:val="24"/>
        </w:rPr>
        <w:t>17.</w:t>
      </w:r>
      <w:r w:rsidRPr="00177203">
        <w:rPr>
          <w:sz w:val="24"/>
          <w:szCs w:val="24"/>
        </w:rPr>
        <w:tab/>
        <w:t>Kau, L. S., Spira</w:t>
      </w:r>
      <w:r w:rsidR="006F3A1B" w:rsidRPr="00177203">
        <w:rPr>
          <w:sz w:val="24"/>
          <w:szCs w:val="24"/>
        </w:rPr>
        <w:t>-</w:t>
      </w:r>
      <w:r w:rsidRPr="00177203">
        <w:rPr>
          <w:sz w:val="24"/>
          <w:szCs w:val="24"/>
        </w:rPr>
        <w:t>Solomon, D. J., Penner</w:t>
      </w:r>
      <w:r w:rsidR="006F3A1B" w:rsidRPr="00177203">
        <w:rPr>
          <w:sz w:val="24"/>
          <w:szCs w:val="24"/>
        </w:rPr>
        <w:t>-</w:t>
      </w:r>
      <w:r w:rsidRPr="00177203">
        <w:rPr>
          <w:sz w:val="24"/>
          <w:szCs w:val="24"/>
        </w:rPr>
        <w:t>Hahn, J. E., Hodgson, K. O. &amp; Solomon, E. I. X</w:t>
      </w:r>
      <w:r w:rsidR="006F3A1B" w:rsidRPr="00177203">
        <w:rPr>
          <w:sz w:val="24"/>
          <w:szCs w:val="24"/>
        </w:rPr>
        <w:t>-</w:t>
      </w:r>
      <w:r w:rsidRPr="00177203">
        <w:rPr>
          <w:sz w:val="24"/>
          <w:szCs w:val="24"/>
        </w:rPr>
        <w:t xml:space="preserve">ray absorption edge determination of the oxidation state and coordination number of copper. Application to the type 3 site in Rhus vernicifera laccase and its reaction with oxygen. </w:t>
      </w:r>
      <w:r w:rsidRPr="00177203">
        <w:rPr>
          <w:i/>
          <w:sz w:val="24"/>
          <w:szCs w:val="24"/>
        </w:rPr>
        <w:t xml:space="preserve">J. Am. Chem. Soc. </w:t>
      </w:r>
      <w:r w:rsidRPr="00177203">
        <w:rPr>
          <w:b/>
          <w:sz w:val="24"/>
          <w:szCs w:val="24"/>
        </w:rPr>
        <w:t>109</w:t>
      </w:r>
      <w:r w:rsidRPr="00177203">
        <w:rPr>
          <w:sz w:val="24"/>
          <w:szCs w:val="24"/>
        </w:rPr>
        <w:t>, 6433–6442 (1987).</w:t>
      </w:r>
    </w:p>
    <w:p w14:paraId="0A69A912" w14:textId="157C44D2" w:rsidR="002D0DCC" w:rsidRPr="00177203" w:rsidRDefault="002D0DCC" w:rsidP="002D0DCC">
      <w:pPr>
        <w:pStyle w:val="EndNoteBibliography"/>
        <w:ind w:left="720" w:hanging="720"/>
        <w:rPr>
          <w:sz w:val="24"/>
          <w:szCs w:val="24"/>
        </w:rPr>
      </w:pPr>
      <w:r w:rsidRPr="00177203">
        <w:rPr>
          <w:sz w:val="24"/>
          <w:szCs w:val="24"/>
        </w:rPr>
        <w:t>18.</w:t>
      </w:r>
      <w:r w:rsidRPr="00177203">
        <w:rPr>
          <w:sz w:val="24"/>
          <w:szCs w:val="24"/>
        </w:rPr>
        <w:tab/>
        <w:t>Liao, Y.</w:t>
      </w:r>
      <w:r w:rsidR="006F3A1B" w:rsidRPr="00177203">
        <w:rPr>
          <w:sz w:val="24"/>
          <w:szCs w:val="24"/>
        </w:rPr>
        <w:t xml:space="preserve"> </w:t>
      </w:r>
      <w:r w:rsidRPr="00177203">
        <w:rPr>
          <w:sz w:val="24"/>
          <w:szCs w:val="24"/>
        </w:rPr>
        <w:t>T.</w:t>
      </w:r>
      <w:r w:rsidRPr="00177203">
        <w:rPr>
          <w:i/>
          <w:sz w:val="24"/>
          <w:szCs w:val="24"/>
        </w:rPr>
        <w:t xml:space="preserve"> et al.</w:t>
      </w:r>
      <w:r w:rsidRPr="00177203">
        <w:rPr>
          <w:sz w:val="24"/>
          <w:szCs w:val="24"/>
        </w:rPr>
        <w:t xml:space="preserve"> Mesoporous TiO</w:t>
      </w:r>
      <w:r w:rsidRPr="00177203">
        <w:rPr>
          <w:sz w:val="24"/>
          <w:szCs w:val="24"/>
          <w:vertAlign w:val="subscript"/>
        </w:rPr>
        <w:t>2</w:t>
      </w:r>
      <w:r w:rsidRPr="00177203">
        <w:rPr>
          <w:sz w:val="24"/>
          <w:szCs w:val="24"/>
        </w:rPr>
        <w:t xml:space="preserve"> embedded with a uniform distribution of CuO exhibit enhanced charge separation and photocatalytic efficiency. </w:t>
      </w:r>
      <w:r w:rsidRPr="00177203">
        <w:rPr>
          <w:i/>
          <w:sz w:val="24"/>
          <w:szCs w:val="24"/>
        </w:rPr>
        <w:t>ACS Appl. Mater. Interf</w:t>
      </w:r>
      <w:r w:rsidR="006F3A1B" w:rsidRPr="00177203">
        <w:rPr>
          <w:i/>
          <w:sz w:val="24"/>
          <w:szCs w:val="24"/>
        </w:rPr>
        <w:t>.</w:t>
      </w:r>
      <w:r w:rsidRPr="00177203">
        <w:rPr>
          <w:sz w:val="24"/>
          <w:szCs w:val="24"/>
        </w:rPr>
        <w:t xml:space="preserve"> </w:t>
      </w:r>
      <w:r w:rsidRPr="00177203">
        <w:rPr>
          <w:b/>
          <w:sz w:val="24"/>
          <w:szCs w:val="24"/>
        </w:rPr>
        <w:t>9</w:t>
      </w:r>
      <w:r w:rsidRPr="00177203">
        <w:rPr>
          <w:sz w:val="24"/>
          <w:szCs w:val="24"/>
        </w:rPr>
        <w:t>, 42425–42429 (2017).</w:t>
      </w:r>
    </w:p>
    <w:p w14:paraId="7BCCCE88" w14:textId="7B44166E" w:rsidR="002D0DCC" w:rsidRPr="00177203" w:rsidRDefault="002D0DCC" w:rsidP="002D0DCC">
      <w:pPr>
        <w:pStyle w:val="EndNoteBibliography"/>
        <w:ind w:left="720" w:hanging="720"/>
        <w:rPr>
          <w:sz w:val="24"/>
          <w:szCs w:val="24"/>
        </w:rPr>
      </w:pPr>
      <w:r w:rsidRPr="00177203">
        <w:rPr>
          <w:sz w:val="24"/>
          <w:szCs w:val="24"/>
        </w:rPr>
        <w:t>19.</w:t>
      </w:r>
      <w:r w:rsidRPr="00177203">
        <w:rPr>
          <w:sz w:val="24"/>
          <w:szCs w:val="24"/>
        </w:rPr>
        <w:tab/>
        <w:t>Gong, C.</w:t>
      </w:r>
      <w:r w:rsidRPr="00177203">
        <w:rPr>
          <w:i/>
          <w:sz w:val="24"/>
          <w:szCs w:val="24"/>
        </w:rPr>
        <w:t xml:space="preserve"> et al.</w:t>
      </w:r>
      <w:r w:rsidRPr="00177203">
        <w:rPr>
          <w:sz w:val="24"/>
          <w:szCs w:val="24"/>
        </w:rPr>
        <w:t xml:space="preserve"> Selective electrocatalytic synthesis of urea using entangled iron porphyrins in covalent organic frameworks. </w:t>
      </w:r>
      <w:r w:rsidRPr="00177203">
        <w:rPr>
          <w:i/>
          <w:sz w:val="24"/>
          <w:szCs w:val="24"/>
        </w:rPr>
        <w:t>Nat. Synth.</w:t>
      </w:r>
      <w:r w:rsidRPr="00177203">
        <w:rPr>
          <w:sz w:val="24"/>
          <w:szCs w:val="24"/>
        </w:rPr>
        <w:t xml:space="preserve"> </w:t>
      </w:r>
      <w:r w:rsidRPr="00177203">
        <w:rPr>
          <w:b/>
          <w:sz w:val="24"/>
          <w:szCs w:val="24"/>
        </w:rPr>
        <w:t>4</w:t>
      </w:r>
      <w:r w:rsidRPr="00177203">
        <w:rPr>
          <w:sz w:val="24"/>
          <w:szCs w:val="24"/>
        </w:rPr>
        <w:t>, 720–729 (2025).</w:t>
      </w:r>
    </w:p>
    <w:p w14:paraId="0C8ECA04" w14:textId="77777777" w:rsidR="002D0DCC" w:rsidRPr="00177203" w:rsidRDefault="002D0DCC" w:rsidP="002D0DCC">
      <w:pPr>
        <w:pStyle w:val="EndNoteBibliography"/>
        <w:ind w:left="720" w:hanging="720"/>
        <w:rPr>
          <w:sz w:val="24"/>
          <w:szCs w:val="24"/>
        </w:rPr>
      </w:pPr>
      <w:r w:rsidRPr="00177203">
        <w:rPr>
          <w:sz w:val="24"/>
          <w:szCs w:val="24"/>
        </w:rPr>
        <w:t>20.</w:t>
      </w:r>
      <w:r w:rsidRPr="00177203">
        <w:rPr>
          <w:sz w:val="24"/>
          <w:szCs w:val="24"/>
        </w:rPr>
        <w:tab/>
        <w:t xml:space="preserve">March, W., Fingerhut, B. &amp; Miller, E. Determination of urea by diacetylmonoxime method. </w:t>
      </w:r>
      <w:r w:rsidRPr="00177203">
        <w:rPr>
          <w:i/>
          <w:sz w:val="24"/>
          <w:szCs w:val="24"/>
        </w:rPr>
        <w:t>Clin. Chem</w:t>
      </w:r>
      <w:r w:rsidRPr="00177203">
        <w:rPr>
          <w:sz w:val="24"/>
          <w:szCs w:val="24"/>
        </w:rPr>
        <w:t xml:space="preserve"> </w:t>
      </w:r>
      <w:r w:rsidRPr="00177203">
        <w:rPr>
          <w:b/>
          <w:sz w:val="24"/>
          <w:szCs w:val="24"/>
        </w:rPr>
        <w:t>11</w:t>
      </w:r>
      <w:r w:rsidRPr="00177203">
        <w:rPr>
          <w:sz w:val="24"/>
          <w:szCs w:val="24"/>
        </w:rPr>
        <w:t>, 624 (1965).</w:t>
      </w:r>
    </w:p>
    <w:p w14:paraId="64E219C3" w14:textId="1A6DD9EE" w:rsidR="002D0DCC" w:rsidRPr="00177203" w:rsidRDefault="002D0DCC" w:rsidP="002D0DCC">
      <w:pPr>
        <w:pStyle w:val="EndNoteBibliography"/>
        <w:ind w:left="720" w:hanging="720"/>
        <w:rPr>
          <w:sz w:val="24"/>
          <w:szCs w:val="24"/>
        </w:rPr>
      </w:pPr>
      <w:r w:rsidRPr="00177203">
        <w:rPr>
          <w:sz w:val="24"/>
          <w:szCs w:val="24"/>
        </w:rPr>
        <w:t>21.</w:t>
      </w:r>
      <w:r w:rsidRPr="00177203">
        <w:rPr>
          <w:sz w:val="24"/>
          <w:szCs w:val="24"/>
        </w:rPr>
        <w:tab/>
        <w:t xml:space="preserve">Yee, J. Y. &amp; Davis, R. O. E. Determination of ammoniacal and urea nitrogen. </w:t>
      </w:r>
      <w:r w:rsidRPr="00177203">
        <w:rPr>
          <w:i/>
          <w:sz w:val="24"/>
          <w:szCs w:val="24"/>
        </w:rPr>
        <w:t>Ind</w:t>
      </w:r>
      <w:r w:rsidR="006F3A1B" w:rsidRPr="00177203">
        <w:rPr>
          <w:i/>
          <w:sz w:val="24"/>
          <w:szCs w:val="24"/>
        </w:rPr>
        <w:t>.</w:t>
      </w:r>
      <w:r w:rsidRPr="00177203">
        <w:rPr>
          <w:i/>
          <w:sz w:val="24"/>
          <w:szCs w:val="24"/>
        </w:rPr>
        <w:t xml:space="preserve"> Eng</w:t>
      </w:r>
      <w:r w:rsidR="006F3A1B" w:rsidRPr="00177203">
        <w:rPr>
          <w:i/>
          <w:sz w:val="24"/>
          <w:szCs w:val="24"/>
        </w:rPr>
        <w:t>.</w:t>
      </w:r>
      <w:r w:rsidRPr="00177203">
        <w:rPr>
          <w:i/>
          <w:sz w:val="24"/>
          <w:szCs w:val="24"/>
        </w:rPr>
        <w:t xml:space="preserve"> Chem</w:t>
      </w:r>
      <w:r w:rsidR="006F3A1B" w:rsidRPr="00177203">
        <w:rPr>
          <w:i/>
          <w:sz w:val="24"/>
          <w:szCs w:val="24"/>
        </w:rPr>
        <w:t>.</w:t>
      </w:r>
      <w:r w:rsidRPr="00177203">
        <w:rPr>
          <w:i/>
          <w:sz w:val="24"/>
          <w:szCs w:val="24"/>
        </w:rPr>
        <w:t xml:space="preserve"> Ana</w:t>
      </w:r>
      <w:r w:rsidR="006F3A1B" w:rsidRPr="00177203">
        <w:rPr>
          <w:i/>
          <w:sz w:val="24"/>
          <w:szCs w:val="24"/>
        </w:rPr>
        <w:t>.</w:t>
      </w:r>
      <w:r w:rsidRPr="00177203">
        <w:rPr>
          <w:i/>
          <w:sz w:val="24"/>
          <w:szCs w:val="24"/>
        </w:rPr>
        <w:t xml:space="preserve"> Ed</w:t>
      </w:r>
      <w:r w:rsidR="006F3A1B" w:rsidRPr="00177203">
        <w:rPr>
          <w:i/>
          <w:sz w:val="24"/>
          <w:szCs w:val="24"/>
        </w:rPr>
        <w:t>.</w:t>
      </w:r>
      <w:r w:rsidRPr="00177203">
        <w:rPr>
          <w:sz w:val="24"/>
          <w:szCs w:val="24"/>
        </w:rPr>
        <w:t xml:space="preserve"> </w:t>
      </w:r>
      <w:r w:rsidRPr="00177203">
        <w:rPr>
          <w:b/>
          <w:sz w:val="24"/>
          <w:szCs w:val="24"/>
        </w:rPr>
        <w:t>7</w:t>
      </w:r>
      <w:r w:rsidRPr="00177203">
        <w:rPr>
          <w:sz w:val="24"/>
          <w:szCs w:val="24"/>
        </w:rPr>
        <w:t>, 259–261 (1935).</w:t>
      </w:r>
    </w:p>
    <w:p w14:paraId="365B3E3C" w14:textId="43325388" w:rsidR="002D0DCC" w:rsidRPr="00177203" w:rsidRDefault="002D0DCC" w:rsidP="002D0DCC">
      <w:pPr>
        <w:pStyle w:val="EndNoteBibliography"/>
        <w:ind w:left="720" w:hanging="720"/>
        <w:rPr>
          <w:sz w:val="24"/>
          <w:szCs w:val="24"/>
        </w:rPr>
      </w:pPr>
      <w:r w:rsidRPr="00177203">
        <w:rPr>
          <w:sz w:val="24"/>
          <w:szCs w:val="24"/>
        </w:rPr>
        <w:t>22.</w:t>
      </w:r>
      <w:r w:rsidRPr="00177203">
        <w:rPr>
          <w:sz w:val="24"/>
          <w:szCs w:val="24"/>
        </w:rPr>
        <w:tab/>
        <w:t xml:space="preserve">Chen, L. &amp; Hu, Y. in </w:t>
      </w:r>
      <w:r w:rsidRPr="00177203">
        <w:rPr>
          <w:i/>
          <w:sz w:val="24"/>
          <w:szCs w:val="24"/>
        </w:rPr>
        <w:t>2011 International Symposium on Water Resource and Environmental Protection.</w:t>
      </w:r>
      <w:r w:rsidRPr="00177203">
        <w:rPr>
          <w:sz w:val="24"/>
          <w:szCs w:val="24"/>
        </w:rPr>
        <w:t xml:space="preserve"> 1173–1176.</w:t>
      </w:r>
    </w:p>
    <w:p w14:paraId="788B4B60" w14:textId="77777777" w:rsidR="002D0DCC" w:rsidRPr="00177203" w:rsidRDefault="002D0DCC" w:rsidP="002D0DCC">
      <w:pPr>
        <w:pStyle w:val="EndNoteBibliography"/>
        <w:ind w:left="720" w:hanging="720"/>
        <w:rPr>
          <w:sz w:val="24"/>
          <w:szCs w:val="24"/>
        </w:rPr>
      </w:pPr>
      <w:r w:rsidRPr="00177203">
        <w:rPr>
          <w:sz w:val="24"/>
          <w:szCs w:val="24"/>
        </w:rPr>
        <w:t>23.</w:t>
      </w:r>
      <w:r w:rsidRPr="00177203">
        <w:rPr>
          <w:sz w:val="24"/>
          <w:szCs w:val="24"/>
        </w:rPr>
        <w:tab/>
        <w:t>Liu, S.</w:t>
      </w:r>
      <w:r w:rsidRPr="00177203">
        <w:rPr>
          <w:i/>
          <w:sz w:val="24"/>
          <w:szCs w:val="24"/>
        </w:rPr>
        <w:t xml:space="preserve"> et al.</w:t>
      </w:r>
      <w:r w:rsidRPr="00177203">
        <w:rPr>
          <w:sz w:val="24"/>
          <w:szCs w:val="24"/>
        </w:rPr>
        <w:t xml:space="preserve"> Selective electrosynthesis of urea from nitrate and carbon dioxide with low overpotential. </w:t>
      </w:r>
      <w:r w:rsidRPr="00177203">
        <w:rPr>
          <w:i/>
          <w:sz w:val="24"/>
          <w:szCs w:val="24"/>
        </w:rPr>
        <w:t>Nat. Commun.</w:t>
      </w:r>
      <w:r w:rsidRPr="00177203">
        <w:rPr>
          <w:sz w:val="24"/>
          <w:szCs w:val="24"/>
        </w:rPr>
        <w:t xml:space="preserve"> </w:t>
      </w:r>
      <w:r w:rsidRPr="00177203">
        <w:rPr>
          <w:b/>
          <w:sz w:val="24"/>
          <w:szCs w:val="24"/>
        </w:rPr>
        <w:t>17</w:t>
      </w:r>
      <w:r w:rsidRPr="00177203">
        <w:rPr>
          <w:sz w:val="24"/>
          <w:szCs w:val="24"/>
        </w:rPr>
        <w:t>, 1787 (2026).</w:t>
      </w:r>
    </w:p>
    <w:p w14:paraId="192F1D17" w14:textId="692B6337" w:rsidR="002D0DCC" w:rsidRPr="00177203" w:rsidRDefault="002D0DCC" w:rsidP="002D0DCC">
      <w:pPr>
        <w:pStyle w:val="EndNoteBibliography"/>
        <w:ind w:left="720" w:hanging="720"/>
        <w:rPr>
          <w:sz w:val="24"/>
          <w:szCs w:val="24"/>
        </w:rPr>
      </w:pPr>
      <w:r w:rsidRPr="00177203">
        <w:rPr>
          <w:sz w:val="24"/>
          <w:szCs w:val="24"/>
        </w:rPr>
        <w:t>24.</w:t>
      </w:r>
      <w:r w:rsidRPr="00177203">
        <w:rPr>
          <w:sz w:val="24"/>
          <w:szCs w:val="24"/>
        </w:rPr>
        <w:tab/>
        <w:t>Shibata, M., Yoshida, K. &amp; Furuya, N. Electrochemical synthesis of urea on reduction of carbon dioxide with nitrate and nitrite ions using Cu</w:t>
      </w:r>
      <w:r w:rsidR="006F3A1B" w:rsidRPr="00177203">
        <w:rPr>
          <w:sz w:val="24"/>
          <w:szCs w:val="24"/>
        </w:rPr>
        <w:t>-</w:t>
      </w:r>
      <w:r w:rsidRPr="00177203">
        <w:rPr>
          <w:sz w:val="24"/>
          <w:szCs w:val="24"/>
        </w:rPr>
        <w:t>loaded gas</w:t>
      </w:r>
      <w:r w:rsidR="006F3A1B" w:rsidRPr="00177203">
        <w:rPr>
          <w:sz w:val="24"/>
          <w:szCs w:val="24"/>
        </w:rPr>
        <w:t>-</w:t>
      </w:r>
      <w:r w:rsidRPr="00177203">
        <w:rPr>
          <w:sz w:val="24"/>
          <w:szCs w:val="24"/>
        </w:rPr>
        <w:t xml:space="preserve">diffusion electrode. </w:t>
      </w:r>
      <w:r w:rsidRPr="00177203">
        <w:rPr>
          <w:i/>
          <w:sz w:val="24"/>
          <w:szCs w:val="24"/>
        </w:rPr>
        <w:t>J. Electroanal. Chem.</w:t>
      </w:r>
      <w:r w:rsidRPr="00177203">
        <w:rPr>
          <w:sz w:val="24"/>
          <w:szCs w:val="24"/>
        </w:rPr>
        <w:t xml:space="preserve"> </w:t>
      </w:r>
      <w:r w:rsidRPr="00177203">
        <w:rPr>
          <w:b/>
          <w:sz w:val="24"/>
          <w:szCs w:val="24"/>
        </w:rPr>
        <w:t>387</w:t>
      </w:r>
      <w:r w:rsidRPr="00177203">
        <w:rPr>
          <w:sz w:val="24"/>
          <w:szCs w:val="24"/>
        </w:rPr>
        <w:t>, 143–145 (1995).</w:t>
      </w:r>
    </w:p>
    <w:p w14:paraId="0FD70E6F" w14:textId="1A021CF3" w:rsidR="002D0DCC" w:rsidRPr="00177203" w:rsidRDefault="002D0DCC" w:rsidP="002D0DCC">
      <w:pPr>
        <w:pStyle w:val="EndNoteBibliography"/>
        <w:ind w:left="720" w:hanging="720"/>
        <w:rPr>
          <w:sz w:val="24"/>
          <w:szCs w:val="24"/>
        </w:rPr>
      </w:pPr>
      <w:r w:rsidRPr="00177203">
        <w:rPr>
          <w:sz w:val="24"/>
          <w:szCs w:val="24"/>
        </w:rPr>
        <w:t>25.</w:t>
      </w:r>
      <w:r w:rsidRPr="00177203">
        <w:rPr>
          <w:sz w:val="24"/>
          <w:szCs w:val="24"/>
        </w:rPr>
        <w:tab/>
        <w:t>Shibata, M., Yoshida, K. &amp; Furuya, N. Electrochemical synthesis of urea at gas</w:t>
      </w:r>
      <w:r w:rsidR="006F3A1B" w:rsidRPr="00177203">
        <w:rPr>
          <w:sz w:val="24"/>
          <w:szCs w:val="24"/>
        </w:rPr>
        <w:t>-</w:t>
      </w:r>
      <w:r w:rsidRPr="00177203">
        <w:rPr>
          <w:sz w:val="24"/>
          <w:szCs w:val="24"/>
        </w:rPr>
        <w:t xml:space="preserve">diffusion electrodes: IV. Simultaneous reduction of carbon dioxide and nitrate ions with various metal catalysts. </w:t>
      </w:r>
      <w:r w:rsidRPr="00177203">
        <w:rPr>
          <w:i/>
          <w:sz w:val="24"/>
          <w:szCs w:val="24"/>
        </w:rPr>
        <w:t>J. Electrochem. Soc.</w:t>
      </w:r>
      <w:r w:rsidRPr="00177203">
        <w:rPr>
          <w:sz w:val="24"/>
          <w:szCs w:val="24"/>
        </w:rPr>
        <w:t xml:space="preserve"> </w:t>
      </w:r>
      <w:r w:rsidRPr="00177203">
        <w:rPr>
          <w:b/>
          <w:sz w:val="24"/>
          <w:szCs w:val="24"/>
        </w:rPr>
        <w:t>145</w:t>
      </w:r>
      <w:r w:rsidRPr="00177203">
        <w:rPr>
          <w:sz w:val="24"/>
          <w:szCs w:val="24"/>
        </w:rPr>
        <w:t>, 2348 (1998).</w:t>
      </w:r>
    </w:p>
    <w:p w14:paraId="2F5D8D58" w14:textId="1ACADBDC" w:rsidR="002D0DCC" w:rsidRPr="00177203" w:rsidRDefault="002D0DCC" w:rsidP="002D0DCC">
      <w:pPr>
        <w:pStyle w:val="EndNoteBibliography"/>
        <w:ind w:left="720" w:hanging="720"/>
        <w:rPr>
          <w:sz w:val="24"/>
          <w:szCs w:val="24"/>
        </w:rPr>
      </w:pPr>
      <w:r w:rsidRPr="00177203">
        <w:rPr>
          <w:sz w:val="24"/>
          <w:szCs w:val="24"/>
        </w:rPr>
        <w:t>26.</w:t>
      </w:r>
      <w:r w:rsidRPr="00177203">
        <w:rPr>
          <w:sz w:val="24"/>
          <w:szCs w:val="24"/>
        </w:rPr>
        <w:tab/>
        <w:t>Shibata, M. &amp; Furuya, N. Electrochemical synthesis of urea at gas</w:t>
      </w:r>
      <w:r w:rsidR="006F3A1B" w:rsidRPr="00177203">
        <w:rPr>
          <w:sz w:val="24"/>
          <w:szCs w:val="24"/>
        </w:rPr>
        <w:t>-</w:t>
      </w:r>
      <w:r w:rsidRPr="00177203">
        <w:rPr>
          <w:sz w:val="24"/>
          <w:szCs w:val="24"/>
        </w:rPr>
        <w:t xml:space="preserve">diffusion electrodes: Part VI. Simultaneous reduction of carbon dioxide and nitrite ions with various metallophthalocyanine catalysts. </w:t>
      </w:r>
      <w:r w:rsidRPr="00177203">
        <w:rPr>
          <w:i/>
          <w:sz w:val="24"/>
          <w:szCs w:val="24"/>
        </w:rPr>
        <w:t>J. Electroanal. Chem.</w:t>
      </w:r>
      <w:r w:rsidRPr="00177203">
        <w:rPr>
          <w:sz w:val="24"/>
          <w:szCs w:val="24"/>
        </w:rPr>
        <w:t xml:space="preserve"> </w:t>
      </w:r>
      <w:r w:rsidRPr="00177203">
        <w:rPr>
          <w:b/>
          <w:sz w:val="24"/>
          <w:szCs w:val="24"/>
        </w:rPr>
        <w:t>507</w:t>
      </w:r>
      <w:r w:rsidRPr="00177203">
        <w:rPr>
          <w:sz w:val="24"/>
          <w:szCs w:val="24"/>
        </w:rPr>
        <w:t>, 177–184 (2001).</w:t>
      </w:r>
    </w:p>
    <w:p w14:paraId="44A95AB3" w14:textId="0AE356D1" w:rsidR="002D0DCC" w:rsidRPr="00177203" w:rsidRDefault="002D0DCC" w:rsidP="002D0DCC">
      <w:pPr>
        <w:pStyle w:val="EndNoteBibliography"/>
        <w:ind w:left="720" w:hanging="720"/>
        <w:rPr>
          <w:sz w:val="24"/>
          <w:szCs w:val="24"/>
        </w:rPr>
      </w:pPr>
      <w:r w:rsidRPr="00177203">
        <w:rPr>
          <w:sz w:val="24"/>
          <w:szCs w:val="24"/>
        </w:rPr>
        <w:t>27.</w:t>
      </w:r>
      <w:r w:rsidRPr="00177203">
        <w:rPr>
          <w:sz w:val="24"/>
          <w:szCs w:val="24"/>
        </w:rPr>
        <w:tab/>
        <w:t>Lv, C.</w:t>
      </w:r>
      <w:r w:rsidRPr="00177203">
        <w:rPr>
          <w:i/>
          <w:sz w:val="24"/>
          <w:szCs w:val="24"/>
        </w:rPr>
        <w:t xml:space="preserve"> et al.</w:t>
      </w:r>
      <w:r w:rsidRPr="00177203">
        <w:rPr>
          <w:sz w:val="24"/>
          <w:szCs w:val="24"/>
        </w:rPr>
        <w:t xml:space="preserve"> Selective electrocatalytic synthesis of urea with nitrate and carbon dioxide. </w:t>
      </w:r>
      <w:r w:rsidRPr="00177203">
        <w:rPr>
          <w:i/>
          <w:sz w:val="24"/>
          <w:szCs w:val="24"/>
        </w:rPr>
        <w:t>Nat. Sustainability</w:t>
      </w:r>
      <w:r w:rsidRPr="00177203">
        <w:rPr>
          <w:sz w:val="24"/>
          <w:szCs w:val="24"/>
        </w:rPr>
        <w:t xml:space="preserve"> </w:t>
      </w:r>
      <w:r w:rsidRPr="00177203">
        <w:rPr>
          <w:b/>
          <w:sz w:val="24"/>
          <w:szCs w:val="24"/>
        </w:rPr>
        <w:t>4</w:t>
      </w:r>
      <w:r w:rsidRPr="00177203">
        <w:rPr>
          <w:sz w:val="24"/>
          <w:szCs w:val="24"/>
        </w:rPr>
        <w:t>, 868–876 (2021).</w:t>
      </w:r>
    </w:p>
    <w:p w14:paraId="2F5032A7" w14:textId="2282B3A8" w:rsidR="002D0DCC" w:rsidRPr="00177203" w:rsidRDefault="002D0DCC" w:rsidP="002D0DCC">
      <w:pPr>
        <w:pStyle w:val="EndNoteBibliography"/>
        <w:ind w:left="720" w:hanging="720"/>
        <w:rPr>
          <w:sz w:val="24"/>
          <w:szCs w:val="24"/>
        </w:rPr>
      </w:pPr>
      <w:r w:rsidRPr="00177203">
        <w:rPr>
          <w:sz w:val="24"/>
          <w:szCs w:val="24"/>
        </w:rPr>
        <w:t>28.</w:t>
      </w:r>
      <w:r w:rsidRPr="00177203">
        <w:rPr>
          <w:sz w:val="24"/>
          <w:szCs w:val="24"/>
        </w:rPr>
        <w:tab/>
        <w:t>Lv, C.</w:t>
      </w:r>
      <w:r w:rsidRPr="00177203">
        <w:rPr>
          <w:i/>
          <w:sz w:val="24"/>
          <w:szCs w:val="24"/>
        </w:rPr>
        <w:t xml:space="preserve"> et al.</w:t>
      </w:r>
      <w:r w:rsidRPr="00177203">
        <w:rPr>
          <w:sz w:val="24"/>
          <w:szCs w:val="24"/>
        </w:rPr>
        <w:t xml:space="preserve"> A defect engineered electrocatalyst that promotes high–efficiency urea synthesis under ambient conditions. </w:t>
      </w:r>
      <w:r w:rsidRPr="00177203">
        <w:rPr>
          <w:i/>
          <w:sz w:val="24"/>
          <w:szCs w:val="24"/>
        </w:rPr>
        <w:t>ACS Nano</w:t>
      </w:r>
      <w:r w:rsidRPr="00177203">
        <w:rPr>
          <w:sz w:val="24"/>
          <w:szCs w:val="24"/>
        </w:rPr>
        <w:t xml:space="preserve"> </w:t>
      </w:r>
      <w:r w:rsidRPr="00177203">
        <w:rPr>
          <w:b/>
          <w:sz w:val="24"/>
          <w:szCs w:val="24"/>
        </w:rPr>
        <w:t>16</w:t>
      </w:r>
      <w:r w:rsidRPr="00177203">
        <w:rPr>
          <w:sz w:val="24"/>
          <w:szCs w:val="24"/>
        </w:rPr>
        <w:t>, 8213–8222 (2022).</w:t>
      </w:r>
    </w:p>
    <w:p w14:paraId="0E069D20" w14:textId="408C5D4B" w:rsidR="002D0DCC" w:rsidRPr="00177203" w:rsidRDefault="002D0DCC" w:rsidP="002D0DCC">
      <w:pPr>
        <w:pStyle w:val="EndNoteBibliography"/>
        <w:ind w:left="720" w:hanging="720"/>
        <w:rPr>
          <w:sz w:val="24"/>
          <w:szCs w:val="24"/>
        </w:rPr>
      </w:pPr>
      <w:r w:rsidRPr="00177203">
        <w:rPr>
          <w:sz w:val="24"/>
          <w:szCs w:val="24"/>
        </w:rPr>
        <w:t>29.</w:t>
      </w:r>
      <w:r w:rsidRPr="00177203">
        <w:rPr>
          <w:sz w:val="24"/>
          <w:szCs w:val="24"/>
        </w:rPr>
        <w:tab/>
        <w:t>Leverett, J.</w:t>
      </w:r>
      <w:r w:rsidRPr="00177203">
        <w:rPr>
          <w:i/>
          <w:sz w:val="24"/>
          <w:szCs w:val="24"/>
        </w:rPr>
        <w:t xml:space="preserve"> et al.</w:t>
      </w:r>
      <w:r w:rsidRPr="00177203">
        <w:rPr>
          <w:sz w:val="24"/>
          <w:szCs w:val="24"/>
        </w:rPr>
        <w:t xml:space="preserve"> Tuning the coordination structure of Cu–N–C single atom catalysts for simultaneous electrochemical reduction of CO</w:t>
      </w:r>
      <w:r w:rsidRPr="00177203">
        <w:rPr>
          <w:sz w:val="24"/>
          <w:szCs w:val="24"/>
          <w:vertAlign w:val="subscript"/>
        </w:rPr>
        <w:t>2</w:t>
      </w:r>
      <w:r w:rsidRPr="00177203">
        <w:rPr>
          <w:sz w:val="24"/>
          <w:szCs w:val="24"/>
        </w:rPr>
        <w:t xml:space="preserve"> and NO</w:t>
      </w:r>
      <w:r w:rsidRPr="00177203">
        <w:rPr>
          <w:sz w:val="24"/>
          <w:szCs w:val="24"/>
          <w:vertAlign w:val="subscript"/>
        </w:rPr>
        <w:t>3</w:t>
      </w:r>
      <w:r w:rsidRPr="00177203">
        <w:rPr>
          <w:sz w:val="24"/>
          <w:szCs w:val="24"/>
          <w:vertAlign w:val="superscript"/>
        </w:rPr>
        <w:t xml:space="preserve">– </w:t>
      </w:r>
      <w:r w:rsidRPr="00177203">
        <w:rPr>
          <w:sz w:val="24"/>
          <w:szCs w:val="24"/>
        </w:rPr>
        <w:t xml:space="preserve">to urea. </w:t>
      </w:r>
      <w:r w:rsidRPr="00177203">
        <w:rPr>
          <w:i/>
          <w:sz w:val="24"/>
          <w:szCs w:val="24"/>
        </w:rPr>
        <w:t>Adv. Energy Mater.</w:t>
      </w:r>
      <w:r w:rsidRPr="00177203">
        <w:rPr>
          <w:sz w:val="24"/>
          <w:szCs w:val="24"/>
        </w:rPr>
        <w:t xml:space="preserve"> </w:t>
      </w:r>
      <w:r w:rsidRPr="00177203">
        <w:rPr>
          <w:b/>
          <w:sz w:val="24"/>
          <w:szCs w:val="24"/>
        </w:rPr>
        <w:t>12</w:t>
      </w:r>
      <w:r w:rsidRPr="00177203">
        <w:rPr>
          <w:sz w:val="24"/>
          <w:szCs w:val="24"/>
        </w:rPr>
        <w:t>, 2201500 (2022).</w:t>
      </w:r>
    </w:p>
    <w:p w14:paraId="1DDD052E" w14:textId="1E90B457" w:rsidR="002D0DCC" w:rsidRPr="00177203" w:rsidRDefault="002D0DCC" w:rsidP="002D0DCC">
      <w:pPr>
        <w:pStyle w:val="EndNoteBibliography"/>
        <w:ind w:left="720" w:hanging="720"/>
        <w:rPr>
          <w:sz w:val="24"/>
          <w:szCs w:val="24"/>
        </w:rPr>
      </w:pPr>
      <w:r w:rsidRPr="00177203">
        <w:rPr>
          <w:sz w:val="24"/>
          <w:szCs w:val="24"/>
        </w:rPr>
        <w:t>30.</w:t>
      </w:r>
      <w:r w:rsidRPr="00177203">
        <w:rPr>
          <w:sz w:val="24"/>
          <w:szCs w:val="24"/>
        </w:rPr>
        <w:tab/>
        <w:t>Gerke, C. S.</w:t>
      </w:r>
      <w:r w:rsidRPr="00177203">
        <w:rPr>
          <w:i/>
          <w:sz w:val="24"/>
          <w:szCs w:val="24"/>
        </w:rPr>
        <w:t xml:space="preserve"> et al.</w:t>
      </w:r>
      <w:r w:rsidRPr="00177203">
        <w:rPr>
          <w:sz w:val="24"/>
          <w:szCs w:val="24"/>
        </w:rPr>
        <w:t xml:space="preserve"> Electrochemical C–N bond formation within boron imidazolate cages featuring single copper sites. </w:t>
      </w:r>
      <w:r w:rsidRPr="00177203">
        <w:rPr>
          <w:i/>
          <w:sz w:val="24"/>
          <w:szCs w:val="24"/>
        </w:rPr>
        <w:t xml:space="preserve">J. Am. Chem. Soc. </w:t>
      </w:r>
      <w:r w:rsidRPr="00177203">
        <w:rPr>
          <w:b/>
          <w:sz w:val="24"/>
          <w:szCs w:val="24"/>
        </w:rPr>
        <w:t>145</w:t>
      </w:r>
      <w:r w:rsidRPr="00177203">
        <w:rPr>
          <w:sz w:val="24"/>
          <w:szCs w:val="24"/>
        </w:rPr>
        <w:t>, 26144–26151 (2023).</w:t>
      </w:r>
    </w:p>
    <w:p w14:paraId="380CB94B" w14:textId="77777777" w:rsidR="002D0DCC" w:rsidRPr="00177203" w:rsidRDefault="002D0DCC" w:rsidP="002D0DCC">
      <w:pPr>
        <w:pStyle w:val="EndNoteBibliography"/>
        <w:ind w:left="720" w:hanging="720"/>
        <w:rPr>
          <w:sz w:val="24"/>
          <w:szCs w:val="24"/>
        </w:rPr>
      </w:pPr>
      <w:r w:rsidRPr="00177203">
        <w:rPr>
          <w:sz w:val="24"/>
          <w:szCs w:val="24"/>
        </w:rPr>
        <w:t>31.</w:t>
      </w:r>
      <w:r w:rsidRPr="00177203">
        <w:rPr>
          <w:sz w:val="24"/>
          <w:szCs w:val="24"/>
        </w:rPr>
        <w:tab/>
        <w:t>Zhao, Y.</w:t>
      </w:r>
      <w:r w:rsidRPr="00177203">
        <w:rPr>
          <w:i/>
          <w:sz w:val="24"/>
          <w:szCs w:val="24"/>
        </w:rPr>
        <w:t xml:space="preserve"> et al.</w:t>
      </w:r>
      <w:r w:rsidRPr="00177203">
        <w:rPr>
          <w:sz w:val="24"/>
          <w:szCs w:val="24"/>
        </w:rPr>
        <w:t xml:space="preserve"> Efficient urea electrosynthesis from carbon dioxide and nitrate via alternating Cu–W bimetallic C–N coupling sites. </w:t>
      </w:r>
      <w:r w:rsidRPr="00177203">
        <w:rPr>
          <w:i/>
          <w:sz w:val="24"/>
          <w:szCs w:val="24"/>
        </w:rPr>
        <w:t>Nat. Commun.</w:t>
      </w:r>
      <w:r w:rsidRPr="00177203">
        <w:rPr>
          <w:sz w:val="24"/>
          <w:szCs w:val="24"/>
        </w:rPr>
        <w:t xml:space="preserve"> </w:t>
      </w:r>
      <w:r w:rsidRPr="00177203">
        <w:rPr>
          <w:b/>
          <w:sz w:val="24"/>
          <w:szCs w:val="24"/>
        </w:rPr>
        <w:t>14</w:t>
      </w:r>
      <w:r w:rsidRPr="00177203">
        <w:rPr>
          <w:sz w:val="24"/>
          <w:szCs w:val="24"/>
        </w:rPr>
        <w:t>, 4491 (2023).</w:t>
      </w:r>
    </w:p>
    <w:p w14:paraId="76490A75" w14:textId="77777777" w:rsidR="002D0DCC" w:rsidRPr="00177203" w:rsidRDefault="002D0DCC" w:rsidP="002D0DCC">
      <w:pPr>
        <w:pStyle w:val="EndNoteBibliography"/>
        <w:ind w:left="720" w:hanging="720"/>
        <w:rPr>
          <w:sz w:val="24"/>
          <w:szCs w:val="24"/>
        </w:rPr>
      </w:pPr>
      <w:r w:rsidRPr="00177203">
        <w:rPr>
          <w:sz w:val="24"/>
          <w:szCs w:val="24"/>
        </w:rPr>
        <w:t>32.</w:t>
      </w:r>
      <w:r w:rsidRPr="00177203">
        <w:rPr>
          <w:sz w:val="24"/>
          <w:szCs w:val="24"/>
        </w:rPr>
        <w:tab/>
        <w:t>Tu, X.</w:t>
      </w:r>
      <w:r w:rsidRPr="00177203">
        <w:rPr>
          <w:i/>
          <w:sz w:val="24"/>
          <w:szCs w:val="24"/>
        </w:rPr>
        <w:t xml:space="preserve"> et al.</w:t>
      </w:r>
      <w:r w:rsidRPr="00177203">
        <w:rPr>
          <w:sz w:val="24"/>
          <w:szCs w:val="24"/>
        </w:rPr>
        <w:t xml:space="preserve"> A universal approach for sustainable urea synthesis via intermediate assembly at the electrode/electrolyte interface. </w:t>
      </w:r>
      <w:r w:rsidRPr="00177203">
        <w:rPr>
          <w:i/>
          <w:sz w:val="24"/>
          <w:szCs w:val="24"/>
        </w:rPr>
        <w:t>Angew. Chem. Int. Ed.</w:t>
      </w:r>
      <w:r w:rsidRPr="00177203">
        <w:rPr>
          <w:sz w:val="24"/>
          <w:szCs w:val="24"/>
        </w:rPr>
        <w:t xml:space="preserve"> </w:t>
      </w:r>
      <w:r w:rsidRPr="00177203">
        <w:rPr>
          <w:b/>
          <w:sz w:val="24"/>
          <w:szCs w:val="24"/>
        </w:rPr>
        <w:t>136</w:t>
      </w:r>
      <w:r w:rsidRPr="00177203">
        <w:rPr>
          <w:sz w:val="24"/>
          <w:szCs w:val="24"/>
        </w:rPr>
        <w:t>, e202317087 (2024).</w:t>
      </w:r>
    </w:p>
    <w:p w14:paraId="7A2E6E57" w14:textId="5314F5DE" w:rsidR="002D0DCC" w:rsidRPr="00177203" w:rsidRDefault="002D0DCC" w:rsidP="002D0DCC">
      <w:pPr>
        <w:pStyle w:val="EndNoteBibliography"/>
        <w:ind w:left="720" w:hanging="720"/>
        <w:rPr>
          <w:sz w:val="24"/>
          <w:szCs w:val="24"/>
        </w:rPr>
      </w:pPr>
      <w:r w:rsidRPr="00177203">
        <w:rPr>
          <w:sz w:val="24"/>
          <w:szCs w:val="24"/>
        </w:rPr>
        <w:t>33.</w:t>
      </w:r>
      <w:r w:rsidRPr="00177203">
        <w:rPr>
          <w:sz w:val="24"/>
          <w:szCs w:val="24"/>
        </w:rPr>
        <w:tab/>
        <w:t>Zhang, M.</w:t>
      </w:r>
      <w:r w:rsidR="006F3A1B" w:rsidRPr="00177203">
        <w:rPr>
          <w:sz w:val="24"/>
          <w:szCs w:val="24"/>
        </w:rPr>
        <w:t xml:space="preserve"> </w:t>
      </w:r>
      <w:r w:rsidRPr="00177203">
        <w:rPr>
          <w:sz w:val="24"/>
          <w:szCs w:val="24"/>
        </w:rPr>
        <w:t>D., Huang, J.</w:t>
      </w:r>
      <w:r w:rsidR="006F3A1B" w:rsidRPr="00177203">
        <w:rPr>
          <w:sz w:val="24"/>
          <w:szCs w:val="24"/>
        </w:rPr>
        <w:t xml:space="preserve"> </w:t>
      </w:r>
      <w:r w:rsidRPr="00177203">
        <w:rPr>
          <w:sz w:val="24"/>
          <w:szCs w:val="24"/>
        </w:rPr>
        <w:t>R., Liao, P.</w:t>
      </w:r>
      <w:r w:rsidR="006F3A1B" w:rsidRPr="00177203">
        <w:rPr>
          <w:sz w:val="24"/>
          <w:szCs w:val="24"/>
        </w:rPr>
        <w:t xml:space="preserve"> </w:t>
      </w:r>
      <w:r w:rsidRPr="00177203">
        <w:rPr>
          <w:sz w:val="24"/>
          <w:szCs w:val="24"/>
        </w:rPr>
        <w:t>Q. &amp; Chen, X.</w:t>
      </w:r>
      <w:r w:rsidR="006F3A1B" w:rsidRPr="00177203">
        <w:rPr>
          <w:sz w:val="24"/>
          <w:szCs w:val="24"/>
        </w:rPr>
        <w:t xml:space="preserve"> </w:t>
      </w:r>
      <w:r w:rsidRPr="00177203">
        <w:rPr>
          <w:sz w:val="24"/>
          <w:szCs w:val="24"/>
        </w:rPr>
        <w:t>M. Utilisation of carbon dioxide and nitrate for urea electrosynthesis with a Cu</w:t>
      </w:r>
      <w:r w:rsidR="006F3A1B" w:rsidRPr="00177203">
        <w:rPr>
          <w:sz w:val="24"/>
          <w:szCs w:val="24"/>
        </w:rPr>
        <w:t>-</w:t>
      </w:r>
      <w:r w:rsidRPr="00177203">
        <w:rPr>
          <w:sz w:val="24"/>
          <w:szCs w:val="24"/>
        </w:rPr>
        <w:t>based metal</w:t>
      </w:r>
      <w:r w:rsidR="006F3A1B" w:rsidRPr="00177203">
        <w:rPr>
          <w:sz w:val="24"/>
          <w:szCs w:val="24"/>
        </w:rPr>
        <w:t>-</w:t>
      </w:r>
      <w:r w:rsidRPr="00177203">
        <w:rPr>
          <w:sz w:val="24"/>
          <w:szCs w:val="24"/>
        </w:rPr>
        <w:t xml:space="preserve">organic framework. </w:t>
      </w:r>
      <w:r w:rsidRPr="00177203">
        <w:rPr>
          <w:i/>
          <w:sz w:val="24"/>
          <w:szCs w:val="24"/>
        </w:rPr>
        <w:t>Chem. Commun.</w:t>
      </w:r>
      <w:r w:rsidRPr="00177203">
        <w:rPr>
          <w:sz w:val="24"/>
          <w:szCs w:val="24"/>
        </w:rPr>
        <w:t xml:space="preserve"> </w:t>
      </w:r>
      <w:r w:rsidRPr="00177203">
        <w:rPr>
          <w:b/>
          <w:sz w:val="24"/>
          <w:szCs w:val="24"/>
        </w:rPr>
        <w:t>60</w:t>
      </w:r>
      <w:r w:rsidRPr="00177203">
        <w:rPr>
          <w:sz w:val="24"/>
          <w:szCs w:val="24"/>
        </w:rPr>
        <w:t>, 3669–3672 (2024).</w:t>
      </w:r>
    </w:p>
    <w:p w14:paraId="1784E6AD" w14:textId="3C6525ED" w:rsidR="002D0DCC" w:rsidRPr="00177203" w:rsidRDefault="002D0DCC" w:rsidP="002D0DCC">
      <w:pPr>
        <w:pStyle w:val="EndNoteBibliography"/>
        <w:ind w:left="720" w:hanging="720"/>
        <w:rPr>
          <w:sz w:val="24"/>
          <w:szCs w:val="24"/>
        </w:rPr>
      </w:pPr>
      <w:r w:rsidRPr="00177203">
        <w:rPr>
          <w:sz w:val="24"/>
          <w:szCs w:val="24"/>
        </w:rPr>
        <w:t>34.</w:t>
      </w:r>
      <w:r w:rsidRPr="00177203">
        <w:rPr>
          <w:sz w:val="24"/>
          <w:szCs w:val="24"/>
        </w:rPr>
        <w:tab/>
        <w:t>Luo, Y.</w:t>
      </w:r>
      <w:r w:rsidRPr="00177203">
        <w:rPr>
          <w:i/>
          <w:sz w:val="24"/>
          <w:szCs w:val="24"/>
        </w:rPr>
        <w:t xml:space="preserve"> et al.</w:t>
      </w:r>
      <w:r w:rsidRPr="00177203">
        <w:rPr>
          <w:sz w:val="24"/>
          <w:szCs w:val="24"/>
        </w:rPr>
        <w:t xml:space="preserve"> Selective electrochemical synthesis of urea from nitrate and CO</w:t>
      </w:r>
      <w:r w:rsidRPr="00177203">
        <w:rPr>
          <w:sz w:val="24"/>
          <w:szCs w:val="24"/>
          <w:vertAlign w:val="subscript"/>
        </w:rPr>
        <w:t>2</w:t>
      </w:r>
      <w:r w:rsidRPr="00177203">
        <w:rPr>
          <w:sz w:val="24"/>
          <w:szCs w:val="24"/>
        </w:rPr>
        <w:t xml:space="preserve"> via relay catalysis on hybrid catalysts. </w:t>
      </w:r>
      <w:r w:rsidRPr="00177203">
        <w:rPr>
          <w:i/>
          <w:sz w:val="24"/>
          <w:szCs w:val="24"/>
        </w:rPr>
        <w:t>Nat. Catal.</w:t>
      </w:r>
      <w:r w:rsidRPr="00177203">
        <w:rPr>
          <w:sz w:val="24"/>
          <w:szCs w:val="24"/>
        </w:rPr>
        <w:t xml:space="preserve"> </w:t>
      </w:r>
      <w:r w:rsidRPr="00177203">
        <w:rPr>
          <w:b/>
          <w:sz w:val="24"/>
          <w:szCs w:val="24"/>
        </w:rPr>
        <w:t>6</w:t>
      </w:r>
      <w:r w:rsidRPr="00177203">
        <w:rPr>
          <w:sz w:val="24"/>
          <w:szCs w:val="24"/>
        </w:rPr>
        <w:t>, 939–948 (2023).</w:t>
      </w:r>
    </w:p>
    <w:p w14:paraId="2D79262A" w14:textId="7D03B9B6" w:rsidR="002D0DCC" w:rsidRPr="00177203" w:rsidRDefault="002D0DCC" w:rsidP="002D0DCC">
      <w:pPr>
        <w:pStyle w:val="EndNoteBibliography"/>
        <w:ind w:left="720" w:hanging="720"/>
        <w:rPr>
          <w:sz w:val="24"/>
          <w:szCs w:val="24"/>
        </w:rPr>
      </w:pPr>
      <w:r w:rsidRPr="00177203">
        <w:rPr>
          <w:sz w:val="24"/>
          <w:szCs w:val="24"/>
        </w:rPr>
        <w:t>35.</w:t>
      </w:r>
      <w:r w:rsidRPr="00177203">
        <w:rPr>
          <w:sz w:val="24"/>
          <w:szCs w:val="24"/>
        </w:rPr>
        <w:tab/>
        <w:t>Zhao, Q.</w:t>
      </w:r>
      <w:r w:rsidRPr="00177203">
        <w:rPr>
          <w:i/>
          <w:sz w:val="24"/>
          <w:szCs w:val="24"/>
        </w:rPr>
        <w:t xml:space="preserve"> et al.</w:t>
      </w:r>
      <w:r w:rsidRPr="00177203">
        <w:rPr>
          <w:sz w:val="24"/>
          <w:szCs w:val="24"/>
        </w:rPr>
        <w:t xml:space="preserve"> Sustainable and high</w:t>
      </w:r>
      <w:r w:rsidR="006F3A1B" w:rsidRPr="00177203">
        <w:rPr>
          <w:sz w:val="24"/>
          <w:szCs w:val="24"/>
        </w:rPr>
        <w:t>-</w:t>
      </w:r>
      <w:r w:rsidRPr="00177203">
        <w:rPr>
          <w:sz w:val="24"/>
          <w:szCs w:val="24"/>
        </w:rPr>
        <w:t xml:space="preserve">rate electrosynthesis of nitrogen fertilizer. </w:t>
      </w:r>
      <w:r w:rsidRPr="00177203">
        <w:rPr>
          <w:i/>
          <w:sz w:val="24"/>
          <w:szCs w:val="24"/>
        </w:rPr>
        <w:t>Angew. Chem. Int. Ed.</w:t>
      </w:r>
      <w:r w:rsidRPr="00177203">
        <w:rPr>
          <w:sz w:val="24"/>
          <w:szCs w:val="24"/>
        </w:rPr>
        <w:t xml:space="preserve"> </w:t>
      </w:r>
      <w:r w:rsidRPr="00177203">
        <w:rPr>
          <w:b/>
          <w:sz w:val="24"/>
          <w:szCs w:val="24"/>
        </w:rPr>
        <w:t>62</w:t>
      </w:r>
      <w:r w:rsidRPr="00177203">
        <w:rPr>
          <w:sz w:val="24"/>
          <w:szCs w:val="24"/>
        </w:rPr>
        <w:t>, e202307123 (2023).</w:t>
      </w:r>
    </w:p>
    <w:p w14:paraId="469BE42B" w14:textId="77777777" w:rsidR="002D0DCC" w:rsidRPr="00177203" w:rsidRDefault="002D0DCC" w:rsidP="002D0DCC">
      <w:pPr>
        <w:pStyle w:val="EndNoteBibliography"/>
        <w:ind w:left="720" w:hanging="720"/>
        <w:rPr>
          <w:sz w:val="24"/>
          <w:szCs w:val="24"/>
        </w:rPr>
      </w:pPr>
      <w:r w:rsidRPr="00177203">
        <w:rPr>
          <w:sz w:val="24"/>
          <w:szCs w:val="24"/>
        </w:rPr>
        <w:t>36.</w:t>
      </w:r>
      <w:r w:rsidRPr="00177203">
        <w:rPr>
          <w:sz w:val="24"/>
          <w:szCs w:val="24"/>
        </w:rPr>
        <w:tab/>
        <w:t>Gao, Y.</w:t>
      </w:r>
      <w:r w:rsidRPr="00177203">
        <w:rPr>
          <w:i/>
          <w:sz w:val="24"/>
          <w:szCs w:val="24"/>
        </w:rPr>
        <w:t xml:space="preserve"> et al.</w:t>
      </w:r>
      <w:r w:rsidRPr="00177203">
        <w:rPr>
          <w:sz w:val="24"/>
          <w:szCs w:val="24"/>
        </w:rPr>
        <w:t xml:space="preserve"> Tandem catalysts enabling efficient C−N coupling toward the electrosynthesis of urea. </w:t>
      </w:r>
      <w:r w:rsidRPr="00177203">
        <w:rPr>
          <w:i/>
          <w:sz w:val="24"/>
          <w:szCs w:val="24"/>
        </w:rPr>
        <w:t>Angew. Chem. Int. Ed.</w:t>
      </w:r>
      <w:r w:rsidRPr="00177203">
        <w:rPr>
          <w:sz w:val="24"/>
          <w:szCs w:val="24"/>
        </w:rPr>
        <w:t xml:space="preserve"> </w:t>
      </w:r>
      <w:r w:rsidRPr="00177203">
        <w:rPr>
          <w:b/>
          <w:sz w:val="24"/>
          <w:szCs w:val="24"/>
        </w:rPr>
        <w:t>136</w:t>
      </w:r>
      <w:r w:rsidRPr="00177203">
        <w:rPr>
          <w:sz w:val="24"/>
          <w:szCs w:val="24"/>
        </w:rPr>
        <w:t>, e202402215 (2024).</w:t>
      </w:r>
    </w:p>
    <w:p w14:paraId="5F4211AF" w14:textId="77777777" w:rsidR="002D0DCC" w:rsidRPr="00177203" w:rsidRDefault="002D0DCC" w:rsidP="002D0DCC">
      <w:pPr>
        <w:pStyle w:val="EndNoteBibliography"/>
        <w:ind w:left="720" w:hanging="720"/>
        <w:rPr>
          <w:sz w:val="24"/>
          <w:szCs w:val="24"/>
        </w:rPr>
      </w:pPr>
      <w:r w:rsidRPr="00177203">
        <w:rPr>
          <w:sz w:val="24"/>
          <w:szCs w:val="24"/>
        </w:rPr>
        <w:t>37.</w:t>
      </w:r>
      <w:r w:rsidRPr="00177203">
        <w:rPr>
          <w:sz w:val="24"/>
          <w:szCs w:val="24"/>
        </w:rPr>
        <w:tab/>
        <w:t>Chen, Y.</w:t>
      </w:r>
      <w:r w:rsidRPr="00177203">
        <w:rPr>
          <w:i/>
          <w:sz w:val="24"/>
          <w:szCs w:val="24"/>
        </w:rPr>
        <w:t xml:space="preserve"> et al.</w:t>
      </w:r>
      <w:r w:rsidRPr="00177203">
        <w:rPr>
          <w:sz w:val="24"/>
          <w:szCs w:val="24"/>
        </w:rPr>
        <w:t xml:space="preserve"> Exploration of a novel electrochemical CN coupling process: Urea synthesis from direct air carbon capture with nitrate wastewater. </w:t>
      </w:r>
      <w:r w:rsidRPr="00177203">
        <w:rPr>
          <w:i/>
          <w:sz w:val="24"/>
          <w:szCs w:val="24"/>
        </w:rPr>
        <w:t>Sci. Total Environ.</w:t>
      </w:r>
      <w:r w:rsidRPr="00177203">
        <w:rPr>
          <w:sz w:val="24"/>
          <w:szCs w:val="24"/>
        </w:rPr>
        <w:t xml:space="preserve"> </w:t>
      </w:r>
      <w:r w:rsidRPr="00177203">
        <w:rPr>
          <w:b/>
          <w:sz w:val="24"/>
          <w:szCs w:val="24"/>
        </w:rPr>
        <w:t>913</w:t>
      </w:r>
      <w:r w:rsidRPr="00177203">
        <w:rPr>
          <w:sz w:val="24"/>
          <w:szCs w:val="24"/>
        </w:rPr>
        <w:t>, 169722 (2024).</w:t>
      </w:r>
    </w:p>
    <w:p w14:paraId="581B66BA" w14:textId="3B868611" w:rsidR="002D0DCC" w:rsidRPr="00177203" w:rsidRDefault="002D0DCC" w:rsidP="002D0DCC">
      <w:pPr>
        <w:pStyle w:val="EndNoteBibliography"/>
        <w:ind w:left="720" w:hanging="720"/>
        <w:rPr>
          <w:sz w:val="24"/>
          <w:szCs w:val="24"/>
        </w:rPr>
      </w:pPr>
      <w:r w:rsidRPr="00177203">
        <w:rPr>
          <w:sz w:val="24"/>
          <w:szCs w:val="24"/>
        </w:rPr>
        <w:t>38.</w:t>
      </w:r>
      <w:r w:rsidRPr="00177203">
        <w:rPr>
          <w:sz w:val="24"/>
          <w:szCs w:val="24"/>
        </w:rPr>
        <w:tab/>
        <w:t>Cong, M.</w:t>
      </w:r>
      <w:r w:rsidRPr="00177203">
        <w:rPr>
          <w:i/>
          <w:sz w:val="24"/>
          <w:szCs w:val="24"/>
        </w:rPr>
        <w:t xml:space="preserve"> et al.</w:t>
      </w:r>
      <w:r w:rsidRPr="00177203">
        <w:rPr>
          <w:sz w:val="24"/>
          <w:szCs w:val="24"/>
        </w:rPr>
        <w:t xml:space="preserve"> Electrocatalytic urea synthesis from CO</w:t>
      </w:r>
      <w:r w:rsidRPr="00177203">
        <w:rPr>
          <w:sz w:val="24"/>
          <w:szCs w:val="24"/>
          <w:vertAlign w:val="subscript"/>
        </w:rPr>
        <w:t>2</w:t>
      </w:r>
      <w:r w:rsidRPr="00177203">
        <w:rPr>
          <w:sz w:val="24"/>
          <w:szCs w:val="24"/>
        </w:rPr>
        <w:t xml:space="preserve"> and nitrate co–reduction on natural vitamin B12 coupled carbon nanotubes. </w:t>
      </w:r>
      <w:r w:rsidRPr="00177203">
        <w:rPr>
          <w:i/>
          <w:sz w:val="24"/>
          <w:szCs w:val="24"/>
        </w:rPr>
        <w:t>Appl</w:t>
      </w:r>
      <w:r w:rsidR="006F3A1B" w:rsidRPr="00177203">
        <w:rPr>
          <w:i/>
          <w:sz w:val="24"/>
          <w:szCs w:val="24"/>
        </w:rPr>
        <w:t>.</w:t>
      </w:r>
      <w:r w:rsidRPr="00177203">
        <w:rPr>
          <w:i/>
          <w:sz w:val="24"/>
          <w:szCs w:val="24"/>
        </w:rPr>
        <w:t xml:space="preserve"> Catal</w:t>
      </w:r>
      <w:r w:rsidR="006F3A1B" w:rsidRPr="00177203">
        <w:rPr>
          <w:i/>
          <w:sz w:val="24"/>
          <w:szCs w:val="24"/>
        </w:rPr>
        <w:t>.</w:t>
      </w:r>
      <w:r w:rsidRPr="00177203">
        <w:rPr>
          <w:i/>
          <w:sz w:val="24"/>
          <w:szCs w:val="24"/>
        </w:rPr>
        <w:t xml:space="preserve"> B: Environ</w:t>
      </w:r>
      <w:r w:rsidR="006F3A1B" w:rsidRPr="00177203">
        <w:rPr>
          <w:i/>
          <w:sz w:val="24"/>
          <w:szCs w:val="24"/>
        </w:rPr>
        <w:t>.</w:t>
      </w:r>
      <w:r w:rsidRPr="00177203">
        <w:rPr>
          <w:sz w:val="24"/>
          <w:szCs w:val="24"/>
        </w:rPr>
        <w:t xml:space="preserve"> </w:t>
      </w:r>
      <w:r w:rsidRPr="00177203">
        <w:rPr>
          <w:b/>
          <w:sz w:val="24"/>
          <w:szCs w:val="24"/>
        </w:rPr>
        <w:t>351</w:t>
      </w:r>
      <w:r w:rsidRPr="00177203">
        <w:rPr>
          <w:sz w:val="24"/>
          <w:szCs w:val="24"/>
        </w:rPr>
        <w:t>, 123941 (2024).</w:t>
      </w:r>
    </w:p>
    <w:p w14:paraId="08A59D69" w14:textId="099CA4A3" w:rsidR="002D0DCC" w:rsidRPr="00177203" w:rsidRDefault="002D0DCC" w:rsidP="002D0DCC">
      <w:pPr>
        <w:pStyle w:val="EndNoteBibliography"/>
        <w:ind w:left="720" w:hanging="720"/>
        <w:rPr>
          <w:sz w:val="24"/>
          <w:szCs w:val="24"/>
        </w:rPr>
      </w:pPr>
      <w:r w:rsidRPr="00177203">
        <w:rPr>
          <w:sz w:val="24"/>
          <w:szCs w:val="24"/>
        </w:rPr>
        <w:t>39.</w:t>
      </w:r>
      <w:r w:rsidRPr="00177203">
        <w:rPr>
          <w:sz w:val="24"/>
          <w:szCs w:val="24"/>
        </w:rPr>
        <w:tab/>
        <w:t>Zhang, X.</w:t>
      </w:r>
      <w:r w:rsidRPr="00177203">
        <w:rPr>
          <w:i/>
          <w:sz w:val="24"/>
          <w:szCs w:val="24"/>
        </w:rPr>
        <w:t xml:space="preserve"> et al.</w:t>
      </w:r>
      <w:r w:rsidRPr="00177203">
        <w:rPr>
          <w:sz w:val="24"/>
          <w:szCs w:val="24"/>
        </w:rPr>
        <w:t xml:space="preserve"> Identifying and tailoring C–N coupling site for efficient urea synthesis over diatomic Fe–Ni catalyst. </w:t>
      </w:r>
      <w:r w:rsidRPr="00177203">
        <w:rPr>
          <w:i/>
          <w:sz w:val="24"/>
          <w:szCs w:val="24"/>
        </w:rPr>
        <w:t>Nat</w:t>
      </w:r>
      <w:r w:rsidR="006F3A1B" w:rsidRPr="00177203">
        <w:rPr>
          <w:i/>
          <w:sz w:val="24"/>
          <w:szCs w:val="24"/>
        </w:rPr>
        <w:t>.</w:t>
      </w:r>
      <w:r w:rsidRPr="00177203">
        <w:rPr>
          <w:i/>
          <w:sz w:val="24"/>
          <w:szCs w:val="24"/>
        </w:rPr>
        <w:t xml:space="preserve"> Commun</w:t>
      </w:r>
      <w:r w:rsidR="006F3A1B" w:rsidRPr="00177203">
        <w:rPr>
          <w:i/>
          <w:sz w:val="24"/>
          <w:szCs w:val="24"/>
        </w:rPr>
        <w:t>.</w:t>
      </w:r>
      <w:r w:rsidRPr="00177203">
        <w:rPr>
          <w:sz w:val="24"/>
          <w:szCs w:val="24"/>
        </w:rPr>
        <w:t xml:space="preserve"> </w:t>
      </w:r>
      <w:r w:rsidRPr="00177203">
        <w:rPr>
          <w:b/>
          <w:sz w:val="24"/>
          <w:szCs w:val="24"/>
        </w:rPr>
        <w:t>13</w:t>
      </w:r>
      <w:r w:rsidRPr="00177203">
        <w:rPr>
          <w:sz w:val="24"/>
          <w:szCs w:val="24"/>
        </w:rPr>
        <w:t>, 5337 (2022).</w:t>
      </w:r>
    </w:p>
    <w:p w14:paraId="60656C1A" w14:textId="160D2182" w:rsidR="002D0DCC" w:rsidRPr="00177203" w:rsidRDefault="002D0DCC" w:rsidP="002D0DCC">
      <w:pPr>
        <w:pStyle w:val="EndNoteBibliography"/>
        <w:ind w:left="720" w:hanging="720"/>
        <w:rPr>
          <w:sz w:val="24"/>
          <w:szCs w:val="24"/>
        </w:rPr>
      </w:pPr>
      <w:r w:rsidRPr="00177203">
        <w:rPr>
          <w:sz w:val="24"/>
          <w:szCs w:val="24"/>
        </w:rPr>
        <w:t>40.</w:t>
      </w:r>
      <w:r w:rsidRPr="00177203">
        <w:rPr>
          <w:sz w:val="24"/>
          <w:szCs w:val="24"/>
        </w:rPr>
        <w:tab/>
        <w:t>Li, Z.</w:t>
      </w:r>
      <w:r w:rsidRPr="00177203">
        <w:rPr>
          <w:i/>
          <w:sz w:val="24"/>
          <w:szCs w:val="24"/>
        </w:rPr>
        <w:t xml:space="preserve"> et al.</w:t>
      </w:r>
      <w:r w:rsidRPr="00177203">
        <w:rPr>
          <w:sz w:val="24"/>
          <w:szCs w:val="24"/>
        </w:rPr>
        <w:t xml:space="preserve"> Synergistic electrocatalysis of crystal facet and O</w:t>
      </w:r>
      <w:r w:rsidR="00EE7C83" w:rsidRPr="00177203">
        <w:rPr>
          <w:sz w:val="24"/>
          <w:szCs w:val="24"/>
        </w:rPr>
        <w:t>-</w:t>
      </w:r>
      <w:r w:rsidRPr="00177203">
        <w:rPr>
          <w:sz w:val="24"/>
          <w:szCs w:val="24"/>
        </w:rPr>
        <w:t>vacancy for enhancive urea synthesis from nitrate and CO</w:t>
      </w:r>
      <w:r w:rsidRPr="00177203">
        <w:rPr>
          <w:sz w:val="24"/>
          <w:szCs w:val="24"/>
          <w:vertAlign w:val="subscript"/>
        </w:rPr>
        <w:t>2</w:t>
      </w:r>
      <w:r w:rsidRPr="00177203">
        <w:rPr>
          <w:sz w:val="24"/>
          <w:szCs w:val="24"/>
        </w:rPr>
        <w:t xml:space="preserve">. </w:t>
      </w:r>
      <w:r w:rsidRPr="00177203">
        <w:rPr>
          <w:i/>
          <w:sz w:val="24"/>
          <w:szCs w:val="24"/>
        </w:rPr>
        <w:t>Appl. Catal. B: Environ.</w:t>
      </w:r>
      <w:r w:rsidRPr="00177203">
        <w:rPr>
          <w:b/>
          <w:sz w:val="24"/>
          <w:szCs w:val="24"/>
        </w:rPr>
        <w:t>338</w:t>
      </w:r>
      <w:r w:rsidRPr="00177203">
        <w:rPr>
          <w:sz w:val="24"/>
          <w:szCs w:val="24"/>
        </w:rPr>
        <w:t>, 122962 (2023).</w:t>
      </w:r>
    </w:p>
    <w:p w14:paraId="2DA37CF4" w14:textId="6FD4AF96" w:rsidR="002D0DCC" w:rsidRPr="00177203" w:rsidRDefault="002D0DCC" w:rsidP="002D0DCC">
      <w:pPr>
        <w:pStyle w:val="EndNoteBibliography"/>
        <w:ind w:left="720" w:hanging="720"/>
        <w:rPr>
          <w:sz w:val="24"/>
          <w:szCs w:val="24"/>
        </w:rPr>
      </w:pPr>
      <w:r w:rsidRPr="00177203">
        <w:rPr>
          <w:sz w:val="24"/>
          <w:szCs w:val="24"/>
        </w:rPr>
        <w:t>41.</w:t>
      </w:r>
      <w:r w:rsidRPr="00177203">
        <w:rPr>
          <w:sz w:val="24"/>
          <w:szCs w:val="24"/>
        </w:rPr>
        <w:tab/>
        <w:t>Mao, Y.</w:t>
      </w:r>
      <w:r w:rsidRPr="00177203">
        <w:rPr>
          <w:i/>
          <w:sz w:val="24"/>
          <w:szCs w:val="24"/>
        </w:rPr>
        <w:t xml:space="preserve"> et al.</w:t>
      </w:r>
      <w:r w:rsidRPr="00177203">
        <w:rPr>
          <w:sz w:val="24"/>
          <w:szCs w:val="24"/>
        </w:rPr>
        <w:t xml:space="preserve"> Enhanced performance of oxygen vacancy</w:t>
      </w:r>
      <w:r w:rsidR="00EE7C83" w:rsidRPr="00177203">
        <w:rPr>
          <w:sz w:val="24"/>
          <w:szCs w:val="24"/>
        </w:rPr>
        <w:t>-</w:t>
      </w:r>
      <w:r w:rsidRPr="00177203">
        <w:rPr>
          <w:sz w:val="24"/>
          <w:szCs w:val="24"/>
        </w:rPr>
        <w:t>rich In</w:t>
      </w:r>
      <w:r w:rsidR="00EE7C83" w:rsidRPr="00177203">
        <w:rPr>
          <w:sz w:val="24"/>
          <w:szCs w:val="24"/>
        </w:rPr>
        <w:t>-</w:t>
      </w:r>
      <w:r w:rsidRPr="00177203">
        <w:rPr>
          <w:sz w:val="24"/>
          <w:szCs w:val="24"/>
        </w:rPr>
        <w:t>TiO</w:t>
      </w:r>
      <w:r w:rsidRPr="00177203">
        <w:rPr>
          <w:sz w:val="24"/>
          <w:szCs w:val="24"/>
          <w:vertAlign w:val="subscript"/>
        </w:rPr>
        <w:t>2</w:t>
      </w:r>
      <w:r w:rsidRPr="00177203">
        <w:rPr>
          <w:sz w:val="24"/>
          <w:szCs w:val="24"/>
        </w:rPr>
        <w:t xml:space="preserve"> materials for electrocatalytic urea synthesis via a relay catalysis strategy. </w:t>
      </w:r>
      <w:r w:rsidRPr="00177203">
        <w:rPr>
          <w:i/>
          <w:sz w:val="24"/>
          <w:szCs w:val="24"/>
        </w:rPr>
        <w:t>Chem</w:t>
      </w:r>
      <w:r w:rsidR="00EE7C83" w:rsidRPr="00177203">
        <w:rPr>
          <w:i/>
          <w:sz w:val="24"/>
          <w:szCs w:val="24"/>
        </w:rPr>
        <w:t>.</w:t>
      </w:r>
      <w:r w:rsidRPr="00177203">
        <w:rPr>
          <w:i/>
          <w:sz w:val="24"/>
          <w:szCs w:val="24"/>
        </w:rPr>
        <w:t xml:space="preserve"> Eng</w:t>
      </w:r>
      <w:r w:rsidR="00EE7C83" w:rsidRPr="00177203">
        <w:rPr>
          <w:i/>
          <w:sz w:val="24"/>
          <w:szCs w:val="24"/>
        </w:rPr>
        <w:t>.</w:t>
      </w:r>
      <w:r w:rsidRPr="00177203">
        <w:rPr>
          <w:i/>
          <w:sz w:val="24"/>
          <w:szCs w:val="24"/>
        </w:rPr>
        <w:t xml:space="preserve"> J</w:t>
      </w:r>
      <w:r w:rsidR="00EE7C83" w:rsidRPr="00177203">
        <w:rPr>
          <w:i/>
          <w:sz w:val="24"/>
          <w:szCs w:val="24"/>
        </w:rPr>
        <w:t>.</w:t>
      </w:r>
      <w:r w:rsidRPr="00177203">
        <w:rPr>
          <w:sz w:val="24"/>
          <w:szCs w:val="24"/>
        </w:rPr>
        <w:t xml:space="preserve"> </w:t>
      </w:r>
      <w:r w:rsidRPr="00177203">
        <w:rPr>
          <w:b/>
          <w:sz w:val="24"/>
          <w:szCs w:val="24"/>
        </w:rPr>
        <w:t>485</w:t>
      </w:r>
      <w:r w:rsidRPr="00177203">
        <w:rPr>
          <w:sz w:val="24"/>
          <w:szCs w:val="24"/>
        </w:rPr>
        <w:t>, 150052 (2024).</w:t>
      </w:r>
    </w:p>
    <w:p w14:paraId="2C0BA739" w14:textId="3A4A0CB0" w:rsidR="002D0DCC" w:rsidRPr="00177203" w:rsidRDefault="002D0DCC" w:rsidP="002D0DCC">
      <w:pPr>
        <w:pStyle w:val="EndNoteBibliography"/>
        <w:ind w:left="720" w:hanging="720"/>
        <w:rPr>
          <w:sz w:val="24"/>
          <w:szCs w:val="24"/>
        </w:rPr>
      </w:pPr>
      <w:r w:rsidRPr="00177203">
        <w:rPr>
          <w:sz w:val="24"/>
          <w:szCs w:val="24"/>
        </w:rPr>
        <w:t>42.</w:t>
      </w:r>
      <w:r w:rsidRPr="00177203">
        <w:rPr>
          <w:sz w:val="24"/>
          <w:szCs w:val="24"/>
        </w:rPr>
        <w:tab/>
        <w:t>Wei, X.</w:t>
      </w:r>
      <w:r w:rsidRPr="00177203">
        <w:rPr>
          <w:i/>
          <w:sz w:val="24"/>
          <w:szCs w:val="24"/>
        </w:rPr>
        <w:t xml:space="preserve"> et al.</w:t>
      </w:r>
      <w:r w:rsidRPr="00177203">
        <w:rPr>
          <w:sz w:val="24"/>
          <w:szCs w:val="24"/>
        </w:rPr>
        <w:t xml:space="preserve"> Dynamic </w:t>
      </w:r>
      <w:r w:rsidR="00EE7C83" w:rsidRPr="00177203">
        <w:rPr>
          <w:sz w:val="24"/>
          <w:szCs w:val="24"/>
        </w:rPr>
        <w:t>reconstitution between copper single atoms and clusters for electrocatalytic urea synt</w:t>
      </w:r>
      <w:r w:rsidRPr="00177203">
        <w:rPr>
          <w:sz w:val="24"/>
          <w:szCs w:val="24"/>
        </w:rPr>
        <w:t xml:space="preserve">hesis. </w:t>
      </w:r>
      <w:r w:rsidRPr="00177203">
        <w:rPr>
          <w:i/>
          <w:sz w:val="24"/>
          <w:szCs w:val="24"/>
        </w:rPr>
        <w:t>Adv</w:t>
      </w:r>
      <w:r w:rsidR="00EE7C83" w:rsidRPr="00177203">
        <w:rPr>
          <w:i/>
          <w:sz w:val="24"/>
          <w:szCs w:val="24"/>
        </w:rPr>
        <w:t>.</w:t>
      </w:r>
      <w:r w:rsidRPr="00177203">
        <w:rPr>
          <w:i/>
          <w:sz w:val="24"/>
          <w:szCs w:val="24"/>
        </w:rPr>
        <w:t xml:space="preserve"> Mater</w:t>
      </w:r>
      <w:r w:rsidR="00EE7C83" w:rsidRPr="00177203">
        <w:rPr>
          <w:i/>
          <w:sz w:val="24"/>
          <w:szCs w:val="24"/>
        </w:rPr>
        <w:t>.</w:t>
      </w:r>
      <w:r w:rsidRPr="00177203">
        <w:rPr>
          <w:sz w:val="24"/>
          <w:szCs w:val="24"/>
        </w:rPr>
        <w:t xml:space="preserve"> </w:t>
      </w:r>
      <w:r w:rsidRPr="00177203">
        <w:rPr>
          <w:b/>
          <w:sz w:val="24"/>
          <w:szCs w:val="24"/>
        </w:rPr>
        <w:t>35</w:t>
      </w:r>
      <w:r w:rsidRPr="00177203">
        <w:rPr>
          <w:sz w:val="24"/>
          <w:szCs w:val="24"/>
        </w:rPr>
        <w:t>, 2300020 (2023).</w:t>
      </w:r>
    </w:p>
    <w:p w14:paraId="62A413E8" w14:textId="0458E54F" w:rsidR="002D0DCC" w:rsidRPr="00177203" w:rsidRDefault="002D0DCC" w:rsidP="002D0DCC">
      <w:pPr>
        <w:pStyle w:val="EndNoteBibliography"/>
        <w:ind w:left="720" w:hanging="720"/>
        <w:rPr>
          <w:sz w:val="24"/>
          <w:szCs w:val="24"/>
        </w:rPr>
      </w:pPr>
      <w:r w:rsidRPr="00177203">
        <w:rPr>
          <w:sz w:val="24"/>
          <w:szCs w:val="24"/>
        </w:rPr>
        <w:t>43.</w:t>
      </w:r>
      <w:r w:rsidRPr="00177203">
        <w:rPr>
          <w:sz w:val="24"/>
          <w:szCs w:val="24"/>
        </w:rPr>
        <w:tab/>
        <w:t>Geng, J.</w:t>
      </w:r>
      <w:r w:rsidRPr="00177203">
        <w:rPr>
          <w:i/>
          <w:sz w:val="24"/>
          <w:szCs w:val="24"/>
        </w:rPr>
        <w:t xml:space="preserve"> et al.</w:t>
      </w:r>
      <w:r w:rsidRPr="00177203">
        <w:rPr>
          <w:sz w:val="24"/>
          <w:szCs w:val="24"/>
        </w:rPr>
        <w:t xml:space="preserve"> Ambient </w:t>
      </w:r>
      <w:r w:rsidR="00EE7C83" w:rsidRPr="00177203">
        <w:rPr>
          <w:sz w:val="24"/>
          <w:szCs w:val="24"/>
        </w:rPr>
        <w:t>electrosynthesis of urea with nitrate and carbon dioxide over iron-based dual-site</w:t>
      </w:r>
      <w:r w:rsidRPr="00177203">
        <w:rPr>
          <w:sz w:val="24"/>
          <w:szCs w:val="24"/>
        </w:rPr>
        <w:t xml:space="preserve">s. </w:t>
      </w:r>
      <w:r w:rsidR="00EE7C83" w:rsidRPr="00177203">
        <w:rPr>
          <w:i/>
          <w:sz w:val="24"/>
          <w:szCs w:val="24"/>
        </w:rPr>
        <w:t>Angew. Chem. Int. Ed.</w:t>
      </w:r>
      <w:r w:rsidRPr="00177203">
        <w:rPr>
          <w:sz w:val="24"/>
          <w:szCs w:val="24"/>
        </w:rPr>
        <w:t xml:space="preserve"> </w:t>
      </w:r>
      <w:r w:rsidRPr="00177203">
        <w:rPr>
          <w:b/>
          <w:sz w:val="24"/>
          <w:szCs w:val="24"/>
        </w:rPr>
        <w:t>62</w:t>
      </w:r>
      <w:r w:rsidRPr="00177203">
        <w:rPr>
          <w:sz w:val="24"/>
          <w:szCs w:val="24"/>
        </w:rPr>
        <w:t>, e202210958 (2023).</w:t>
      </w:r>
    </w:p>
    <w:p w14:paraId="2AB89B8E" w14:textId="605AB500" w:rsidR="002D0DCC" w:rsidRPr="00177203" w:rsidRDefault="002D0DCC" w:rsidP="002D0DCC">
      <w:pPr>
        <w:pStyle w:val="EndNoteBibliography"/>
        <w:ind w:left="720" w:hanging="720"/>
        <w:rPr>
          <w:sz w:val="24"/>
          <w:szCs w:val="24"/>
        </w:rPr>
      </w:pPr>
      <w:r w:rsidRPr="00177203">
        <w:rPr>
          <w:sz w:val="24"/>
          <w:szCs w:val="24"/>
        </w:rPr>
        <w:t>44.</w:t>
      </w:r>
      <w:r w:rsidRPr="00177203">
        <w:rPr>
          <w:sz w:val="24"/>
          <w:szCs w:val="24"/>
        </w:rPr>
        <w:tab/>
        <w:t>Zhao, J.</w:t>
      </w:r>
      <w:r w:rsidRPr="00177203">
        <w:rPr>
          <w:i/>
          <w:sz w:val="24"/>
          <w:szCs w:val="24"/>
        </w:rPr>
        <w:t xml:space="preserve"> et al.</w:t>
      </w:r>
      <w:r w:rsidRPr="00177203">
        <w:rPr>
          <w:sz w:val="24"/>
          <w:szCs w:val="24"/>
        </w:rPr>
        <w:t xml:space="preserve"> Identifying the facet</w:t>
      </w:r>
      <w:r w:rsidR="00EE7C83" w:rsidRPr="00177203">
        <w:rPr>
          <w:sz w:val="24"/>
          <w:szCs w:val="24"/>
        </w:rPr>
        <w:t>-</w:t>
      </w:r>
      <w:r w:rsidRPr="00177203">
        <w:rPr>
          <w:sz w:val="24"/>
          <w:szCs w:val="24"/>
        </w:rPr>
        <w:t>dependent active sites of Cu</w:t>
      </w:r>
      <w:r w:rsidRPr="00177203">
        <w:rPr>
          <w:sz w:val="24"/>
          <w:szCs w:val="24"/>
          <w:vertAlign w:val="subscript"/>
        </w:rPr>
        <w:t>2</w:t>
      </w:r>
      <w:r w:rsidRPr="00177203">
        <w:rPr>
          <w:sz w:val="24"/>
          <w:szCs w:val="24"/>
        </w:rPr>
        <w:t xml:space="preserve">O for selective C–N coupling toward electrocatalytic urea synthesis. </w:t>
      </w:r>
      <w:r w:rsidRPr="00177203">
        <w:rPr>
          <w:i/>
          <w:sz w:val="24"/>
          <w:szCs w:val="24"/>
        </w:rPr>
        <w:t>Appl. Catal. B: Environ.</w:t>
      </w:r>
      <w:r w:rsidR="00EE7C83" w:rsidRPr="00177203">
        <w:rPr>
          <w:i/>
          <w:sz w:val="24"/>
          <w:szCs w:val="24"/>
        </w:rPr>
        <w:t xml:space="preserve"> </w:t>
      </w:r>
      <w:r w:rsidRPr="00177203">
        <w:rPr>
          <w:b/>
          <w:sz w:val="24"/>
          <w:szCs w:val="24"/>
        </w:rPr>
        <w:t>340</w:t>
      </w:r>
      <w:r w:rsidRPr="00177203">
        <w:rPr>
          <w:sz w:val="24"/>
          <w:szCs w:val="24"/>
        </w:rPr>
        <w:t>, 123265 (2024).</w:t>
      </w:r>
    </w:p>
    <w:p w14:paraId="36281609" w14:textId="227DD4B9" w:rsidR="002D0DCC" w:rsidRPr="00177203" w:rsidRDefault="002D0DCC" w:rsidP="002D0DCC">
      <w:pPr>
        <w:pStyle w:val="EndNoteBibliography"/>
        <w:ind w:left="720" w:hanging="720"/>
        <w:rPr>
          <w:sz w:val="24"/>
          <w:szCs w:val="24"/>
        </w:rPr>
      </w:pPr>
      <w:r w:rsidRPr="00177203">
        <w:rPr>
          <w:sz w:val="24"/>
          <w:szCs w:val="24"/>
        </w:rPr>
        <w:t>45.</w:t>
      </w:r>
      <w:r w:rsidRPr="00177203">
        <w:rPr>
          <w:sz w:val="24"/>
          <w:szCs w:val="24"/>
        </w:rPr>
        <w:tab/>
        <w:t>Yin, Y.</w:t>
      </w:r>
      <w:r w:rsidRPr="00177203">
        <w:rPr>
          <w:i/>
          <w:sz w:val="24"/>
          <w:szCs w:val="24"/>
        </w:rPr>
        <w:t xml:space="preserve"> et al.</w:t>
      </w:r>
      <w:r w:rsidRPr="00177203">
        <w:rPr>
          <w:sz w:val="24"/>
          <w:szCs w:val="24"/>
        </w:rPr>
        <w:t xml:space="preserve"> Efficient urea electrosynthesis from CO</w:t>
      </w:r>
      <w:r w:rsidRPr="00177203">
        <w:rPr>
          <w:sz w:val="24"/>
          <w:szCs w:val="24"/>
          <w:vertAlign w:val="subscript"/>
        </w:rPr>
        <w:t>2</w:t>
      </w:r>
      <w:r w:rsidRPr="00177203">
        <w:rPr>
          <w:sz w:val="24"/>
          <w:szCs w:val="24"/>
        </w:rPr>
        <w:t xml:space="preserve"> and nitrate mediated by an ionic liquid bridge. </w:t>
      </w:r>
      <w:r w:rsidRPr="00177203">
        <w:rPr>
          <w:i/>
          <w:sz w:val="24"/>
          <w:szCs w:val="24"/>
        </w:rPr>
        <w:t>Nat. Sustainability</w:t>
      </w:r>
      <w:r w:rsidRPr="00177203">
        <w:rPr>
          <w:sz w:val="24"/>
          <w:szCs w:val="24"/>
        </w:rPr>
        <w:t xml:space="preserve"> </w:t>
      </w:r>
      <w:r w:rsidRPr="00177203">
        <w:rPr>
          <w:b/>
          <w:sz w:val="24"/>
          <w:szCs w:val="24"/>
        </w:rPr>
        <w:t>9</w:t>
      </w:r>
      <w:r w:rsidRPr="00177203">
        <w:rPr>
          <w:sz w:val="24"/>
          <w:szCs w:val="24"/>
        </w:rPr>
        <w:t>, 108–116 (2026).</w:t>
      </w:r>
    </w:p>
    <w:p w14:paraId="0FDC6F5E" w14:textId="462382B1" w:rsidR="002D0DCC" w:rsidRPr="00177203" w:rsidRDefault="002D0DCC" w:rsidP="002D0DCC">
      <w:pPr>
        <w:pStyle w:val="EndNoteBibliography"/>
        <w:ind w:left="720" w:hanging="720"/>
        <w:rPr>
          <w:sz w:val="24"/>
          <w:szCs w:val="24"/>
        </w:rPr>
      </w:pPr>
      <w:r w:rsidRPr="00177203">
        <w:rPr>
          <w:sz w:val="24"/>
          <w:szCs w:val="24"/>
        </w:rPr>
        <w:t>46.</w:t>
      </w:r>
      <w:r w:rsidRPr="00177203">
        <w:rPr>
          <w:sz w:val="24"/>
          <w:szCs w:val="24"/>
        </w:rPr>
        <w:tab/>
        <w:t>Li, J.</w:t>
      </w:r>
      <w:r w:rsidR="00EE7C83" w:rsidRPr="00177203">
        <w:rPr>
          <w:sz w:val="24"/>
          <w:szCs w:val="24"/>
        </w:rPr>
        <w:t xml:space="preserve"> </w:t>
      </w:r>
      <w:r w:rsidRPr="00177203">
        <w:rPr>
          <w:sz w:val="24"/>
          <w:szCs w:val="24"/>
        </w:rPr>
        <w:t>Y.</w:t>
      </w:r>
      <w:r w:rsidRPr="00177203">
        <w:rPr>
          <w:i/>
          <w:sz w:val="24"/>
          <w:szCs w:val="24"/>
        </w:rPr>
        <w:t xml:space="preserve"> et al.</w:t>
      </w:r>
      <w:r w:rsidRPr="00177203">
        <w:rPr>
          <w:sz w:val="24"/>
          <w:szCs w:val="24"/>
        </w:rPr>
        <w:t xml:space="preserve"> Remote carbon monoxide spillover improves tandem urea electrosynthesis. </w:t>
      </w:r>
      <w:r w:rsidRPr="00177203">
        <w:rPr>
          <w:i/>
          <w:sz w:val="24"/>
          <w:szCs w:val="24"/>
        </w:rPr>
        <w:t>Angew. Chem. Int. Ed.</w:t>
      </w:r>
      <w:r w:rsidRPr="00177203">
        <w:rPr>
          <w:sz w:val="24"/>
          <w:szCs w:val="24"/>
        </w:rPr>
        <w:t xml:space="preserve"> </w:t>
      </w:r>
      <w:r w:rsidRPr="00177203">
        <w:rPr>
          <w:b/>
          <w:sz w:val="24"/>
          <w:szCs w:val="24"/>
        </w:rPr>
        <w:t>64</w:t>
      </w:r>
      <w:r w:rsidRPr="00177203">
        <w:rPr>
          <w:sz w:val="24"/>
          <w:szCs w:val="24"/>
        </w:rPr>
        <w:t>, e202421266 (2025).</w:t>
      </w:r>
    </w:p>
    <w:p w14:paraId="69FA1F79" w14:textId="28B0AEBF" w:rsidR="002D0DCC" w:rsidRPr="00177203" w:rsidRDefault="002D0DCC" w:rsidP="002D0DCC">
      <w:pPr>
        <w:pStyle w:val="EndNoteBibliography"/>
        <w:ind w:left="720" w:hanging="720"/>
        <w:rPr>
          <w:sz w:val="24"/>
          <w:szCs w:val="24"/>
        </w:rPr>
      </w:pPr>
      <w:r w:rsidRPr="00177203">
        <w:rPr>
          <w:sz w:val="24"/>
          <w:szCs w:val="24"/>
        </w:rPr>
        <w:t>47.</w:t>
      </w:r>
      <w:r w:rsidRPr="00177203">
        <w:rPr>
          <w:sz w:val="24"/>
          <w:szCs w:val="24"/>
        </w:rPr>
        <w:tab/>
        <w:t>Xu, M.</w:t>
      </w:r>
      <w:r w:rsidRPr="00177203">
        <w:rPr>
          <w:i/>
          <w:sz w:val="24"/>
          <w:szCs w:val="24"/>
        </w:rPr>
        <w:t xml:space="preserve"> et al.</w:t>
      </w:r>
      <w:r w:rsidRPr="00177203">
        <w:rPr>
          <w:sz w:val="24"/>
          <w:szCs w:val="24"/>
        </w:rPr>
        <w:t xml:space="preserve"> Kinetically matched C–N coupling toward efficient urea electrosynthesis enabled on copper single</w:t>
      </w:r>
      <w:r w:rsidR="00EE7C83" w:rsidRPr="00177203">
        <w:rPr>
          <w:sz w:val="24"/>
          <w:szCs w:val="24"/>
        </w:rPr>
        <w:t>-</w:t>
      </w:r>
      <w:r w:rsidRPr="00177203">
        <w:rPr>
          <w:sz w:val="24"/>
          <w:szCs w:val="24"/>
        </w:rPr>
        <w:t xml:space="preserve">atom alloy. </w:t>
      </w:r>
      <w:r w:rsidRPr="00177203">
        <w:rPr>
          <w:i/>
          <w:sz w:val="24"/>
          <w:szCs w:val="24"/>
        </w:rPr>
        <w:t>Nat. Commun.</w:t>
      </w:r>
      <w:r w:rsidRPr="00177203">
        <w:rPr>
          <w:sz w:val="24"/>
          <w:szCs w:val="24"/>
        </w:rPr>
        <w:t xml:space="preserve"> </w:t>
      </w:r>
      <w:r w:rsidRPr="00177203">
        <w:rPr>
          <w:b/>
          <w:sz w:val="24"/>
          <w:szCs w:val="24"/>
        </w:rPr>
        <w:t>14</w:t>
      </w:r>
      <w:r w:rsidRPr="00177203">
        <w:rPr>
          <w:sz w:val="24"/>
          <w:szCs w:val="24"/>
        </w:rPr>
        <w:t>, 6994 (2023).</w:t>
      </w:r>
    </w:p>
    <w:p w14:paraId="103E4F67" w14:textId="77777777" w:rsidR="002D0DCC" w:rsidRPr="00177203" w:rsidRDefault="002D0DCC" w:rsidP="002D0DCC">
      <w:pPr>
        <w:pStyle w:val="EndNoteBibliography"/>
        <w:ind w:left="720" w:hanging="720"/>
        <w:rPr>
          <w:sz w:val="24"/>
          <w:szCs w:val="24"/>
        </w:rPr>
      </w:pPr>
      <w:r w:rsidRPr="00177203">
        <w:rPr>
          <w:sz w:val="24"/>
          <w:szCs w:val="24"/>
        </w:rPr>
        <w:t>48.</w:t>
      </w:r>
      <w:r w:rsidRPr="00177203">
        <w:rPr>
          <w:sz w:val="24"/>
          <w:szCs w:val="24"/>
        </w:rPr>
        <w:tab/>
        <w:t>Chen, K.</w:t>
      </w:r>
      <w:r w:rsidRPr="00177203">
        <w:rPr>
          <w:i/>
          <w:sz w:val="24"/>
          <w:szCs w:val="24"/>
        </w:rPr>
        <w:t xml:space="preserve"> et al.</w:t>
      </w:r>
      <w:r w:rsidRPr="00177203">
        <w:rPr>
          <w:sz w:val="24"/>
          <w:szCs w:val="24"/>
        </w:rPr>
        <w:t xml:space="preserve"> Urea electrosynthesis from nitrate and CO</w:t>
      </w:r>
      <w:r w:rsidRPr="00177203">
        <w:rPr>
          <w:sz w:val="24"/>
          <w:szCs w:val="24"/>
          <w:vertAlign w:val="subscript"/>
        </w:rPr>
        <w:t>2</w:t>
      </w:r>
      <w:r w:rsidRPr="00177203">
        <w:rPr>
          <w:sz w:val="24"/>
          <w:szCs w:val="24"/>
        </w:rPr>
        <w:t xml:space="preserve"> on diatomic alloys. </w:t>
      </w:r>
      <w:r w:rsidRPr="00177203">
        <w:rPr>
          <w:i/>
          <w:sz w:val="24"/>
          <w:szCs w:val="24"/>
        </w:rPr>
        <w:t>Adv. Mater.</w:t>
      </w:r>
      <w:r w:rsidRPr="00177203">
        <w:rPr>
          <w:sz w:val="24"/>
          <w:szCs w:val="24"/>
        </w:rPr>
        <w:t xml:space="preserve"> </w:t>
      </w:r>
      <w:r w:rsidRPr="00177203">
        <w:rPr>
          <w:b/>
          <w:sz w:val="24"/>
          <w:szCs w:val="24"/>
        </w:rPr>
        <w:t>36</w:t>
      </w:r>
      <w:r w:rsidRPr="00177203">
        <w:rPr>
          <w:sz w:val="24"/>
          <w:szCs w:val="24"/>
        </w:rPr>
        <w:t>, 2402160 (2024).</w:t>
      </w:r>
    </w:p>
    <w:p w14:paraId="60ED4685" w14:textId="34992941" w:rsidR="002D0DCC" w:rsidRPr="00177203" w:rsidRDefault="002D0DCC" w:rsidP="002D0DCC">
      <w:pPr>
        <w:pStyle w:val="EndNoteBibliography"/>
        <w:ind w:left="720" w:hanging="720"/>
        <w:rPr>
          <w:sz w:val="24"/>
          <w:szCs w:val="24"/>
        </w:rPr>
      </w:pPr>
      <w:r w:rsidRPr="00177203">
        <w:rPr>
          <w:sz w:val="24"/>
          <w:szCs w:val="24"/>
        </w:rPr>
        <w:t>49.</w:t>
      </w:r>
      <w:r w:rsidRPr="00177203">
        <w:rPr>
          <w:sz w:val="24"/>
          <w:szCs w:val="24"/>
        </w:rPr>
        <w:tab/>
        <w:t>Thompson, A. P.</w:t>
      </w:r>
      <w:r w:rsidRPr="00177203">
        <w:rPr>
          <w:i/>
          <w:sz w:val="24"/>
          <w:szCs w:val="24"/>
        </w:rPr>
        <w:t xml:space="preserve"> et al.</w:t>
      </w:r>
      <w:r w:rsidRPr="00177203">
        <w:rPr>
          <w:sz w:val="24"/>
          <w:szCs w:val="24"/>
        </w:rPr>
        <w:t xml:space="preserve"> LAMMPS – a flexible simulation tool for particle</w:t>
      </w:r>
      <w:r w:rsidR="00EE7C83" w:rsidRPr="00177203">
        <w:rPr>
          <w:sz w:val="24"/>
          <w:szCs w:val="24"/>
        </w:rPr>
        <w:t>-</w:t>
      </w:r>
      <w:r w:rsidRPr="00177203">
        <w:rPr>
          <w:sz w:val="24"/>
          <w:szCs w:val="24"/>
        </w:rPr>
        <w:t xml:space="preserve">based materials modeling at the atomic, meso, and continuum scales. </w:t>
      </w:r>
      <w:r w:rsidRPr="00177203">
        <w:rPr>
          <w:i/>
          <w:sz w:val="24"/>
          <w:szCs w:val="24"/>
        </w:rPr>
        <w:t>Comput. Phys. Commun.</w:t>
      </w:r>
      <w:r w:rsidRPr="00177203">
        <w:rPr>
          <w:sz w:val="24"/>
          <w:szCs w:val="24"/>
        </w:rPr>
        <w:t xml:space="preserve"> </w:t>
      </w:r>
      <w:r w:rsidRPr="00177203">
        <w:rPr>
          <w:b/>
          <w:sz w:val="24"/>
          <w:szCs w:val="24"/>
        </w:rPr>
        <w:t>271</w:t>
      </w:r>
      <w:r w:rsidRPr="00177203">
        <w:rPr>
          <w:sz w:val="24"/>
          <w:szCs w:val="24"/>
        </w:rPr>
        <w:t>, 108171 (2022).</w:t>
      </w:r>
    </w:p>
    <w:p w14:paraId="7D221473" w14:textId="0ACA9F43" w:rsidR="002D0DCC" w:rsidRPr="00177203" w:rsidRDefault="002D0DCC" w:rsidP="002D0DCC">
      <w:pPr>
        <w:pStyle w:val="EndNoteBibliography"/>
        <w:ind w:left="720" w:hanging="720"/>
        <w:rPr>
          <w:sz w:val="24"/>
          <w:szCs w:val="24"/>
        </w:rPr>
      </w:pPr>
      <w:r w:rsidRPr="00177203">
        <w:rPr>
          <w:sz w:val="24"/>
          <w:szCs w:val="24"/>
        </w:rPr>
        <w:t>50.</w:t>
      </w:r>
      <w:r w:rsidRPr="00177203">
        <w:rPr>
          <w:sz w:val="24"/>
          <w:szCs w:val="24"/>
        </w:rPr>
        <w:tab/>
        <w:t>Kresse, G. &amp; Furthmüller, J. Efficient iterative schemes for ab initio total</w:t>
      </w:r>
      <w:r w:rsidR="00EE7C83" w:rsidRPr="00177203">
        <w:rPr>
          <w:sz w:val="24"/>
          <w:szCs w:val="24"/>
        </w:rPr>
        <w:t>-</w:t>
      </w:r>
      <w:r w:rsidRPr="00177203">
        <w:rPr>
          <w:sz w:val="24"/>
          <w:szCs w:val="24"/>
        </w:rPr>
        <w:t>energy calculations using a plane</w:t>
      </w:r>
      <w:r w:rsidR="00EE7C83" w:rsidRPr="00177203">
        <w:rPr>
          <w:sz w:val="24"/>
          <w:szCs w:val="24"/>
        </w:rPr>
        <w:t>-</w:t>
      </w:r>
      <w:r w:rsidRPr="00177203">
        <w:rPr>
          <w:sz w:val="24"/>
          <w:szCs w:val="24"/>
        </w:rPr>
        <w:t xml:space="preserve">wave basis set. </w:t>
      </w:r>
      <w:r w:rsidRPr="00177203">
        <w:rPr>
          <w:i/>
          <w:sz w:val="24"/>
          <w:szCs w:val="24"/>
        </w:rPr>
        <w:t>Phys</w:t>
      </w:r>
      <w:r w:rsidR="00EE7C83" w:rsidRPr="00177203">
        <w:rPr>
          <w:i/>
          <w:sz w:val="24"/>
          <w:szCs w:val="24"/>
        </w:rPr>
        <w:t>.</w:t>
      </w:r>
      <w:r w:rsidRPr="00177203">
        <w:rPr>
          <w:i/>
          <w:sz w:val="24"/>
          <w:szCs w:val="24"/>
        </w:rPr>
        <w:t xml:space="preserve"> Rev</w:t>
      </w:r>
      <w:r w:rsidR="00EE7C83" w:rsidRPr="00177203">
        <w:rPr>
          <w:i/>
          <w:sz w:val="24"/>
          <w:szCs w:val="24"/>
        </w:rPr>
        <w:t>.</w:t>
      </w:r>
      <w:r w:rsidRPr="00177203">
        <w:rPr>
          <w:i/>
          <w:sz w:val="24"/>
          <w:szCs w:val="24"/>
        </w:rPr>
        <w:t xml:space="preserve"> B</w:t>
      </w:r>
      <w:r w:rsidRPr="00177203">
        <w:rPr>
          <w:sz w:val="24"/>
          <w:szCs w:val="24"/>
        </w:rPr>
        <w:t xml:space="preserve"> </w:t>
      </w:r>
      <w:r w:rsidRPr="00177203">
        <w:rPr>
          <w:b/>
          <w:sz w:val="24"/>
          <w:szCs w:val="24"/>
        </w:rPr>
        <w:t>54</w:t>
      </w:r>
      <w:r w:rsidRPr="00177203">
        <w:rPr>
          <w:sz w:val="24"/>
          <w:szCs w:val="24"/>
        </w:rPr>
        <w:t>, 11169–11186 (1996).</w:t>
      </w:r>
    </w:p>
    <w:p w14:paraId="44EC7DA2" w14:textId="2B9AEBB2" w:rsidR="002D0DCC" w:rsidRPr="00177203" w:rsidRDefault="002D0DCC" w:rsidP="002D0DCC">
      <w:pPr>
        <w:pStyle w:val="EndNoteBibliography"/>
        <w:ind w:left="720" w:hanging="720"/>
        <w:rPr>
          <w:sz w:val="24"/>
          <w:szCs w:val="24"/>
        </w:rPr>
      </w:pPr>
      <w:r w:rsidRPr="00177203">
        <w:rPr>
          <w:sz w:val="24"/>
          <w:szCs w:val="24"/>
        </w:rPr>
        <w:t>51.</w:t>
      </w:r>
      <w:r w:rsidRPr="00177203">
        <w:rPr>
          <w:sz w:val="24"/>
          <w:szCs w:val="24"/>
        </w:rPr>
        <w:tab/>
        <w:t>Kresse, G. &amp; Furthmüller, J. Efficiency of ab</w:t>
      </w:r>
      <w:r w:rsidR="00EE7C83" w:rsidRPr="00177203">
        <w:rPr>
          <w:sz w:val="24"/>
          <w:szCs w:val="24"/>
        </w:rPr>
        <w:t>-</w:t>
      </w:r>
      <w:r w:rsidRPr="00177203">
        <w:rPr>
          <w:sz w:val="24"/>
          <w:szCs w:val="24"/>
        </w:rPr>
        <w:t>initio total energy calculations for metals and semiconductors using a plane</w:t>
      </w:r>
      <w:r w:rsidR="00EE7C83" w:rsidRPr="00177203">
        <w:rPr>
          <w:sz w:val="24"/>
          <w:szCs w:val="24"/>
        </w:rPr>
        <w:t>-</w:t>
      </w:r>
      <w:r w:rsidRPr="00177203">
        <w:rPr>
          <w:sz w:val="24"/>
          <w:szCs w:val="24"/>
        </w:rPr>
        <w:t xml:space="preserve">wave basis set. </w:t>
      </w:r>
      <w:r w:rsidR="00EE7C83" w:rsidRPr="00177203">
        <w:rPr>
          <w:i/>
          <w:sz w:val="24"/>
          <w:szCs w:val="24"/>
        </w:rPr>
        <w:t>Comput. Mater. Sci.</w:t>
      </w:r>
      <w:r w:rsidRPr="00177203">
        <w:rPr>
          <w:sz w:val="24"/>
          <w:szCs w:val="24"/>
        </w:rPr>
        <w:t xml:space="preserve"> </w:t>
      </w:r>
      <w:r w:rsidRPr="00177203">
        <w:rPr>
          <w:b/>
          <w:sz w:val="24"/>
          <w:szCs w:val="24"/>
        </w:rPr>
        <w:t>6</w:t>
      </w:r>
      <w:r w:rsidRPr="00177203">
        <w:rPr>
          <w:sz w:val="24"/>
          <w:szCs w:val="24"/>
        </w:rPr>
        <w:t>, 15–50 (1996).</w:t>
      </w:r>
    </w:p>
    <w:p w14:paraId="721EEB32" w14:textId="46990E04" w:rsidR="002D0DCC" w:rsidRPr="00177203" w:rsidRDefault="002D0DCC" w:rsidP="002D0DCC">
      <w:pPr>
        <w:pStyle w:val="EndNoteBibliography"/>
        <w:ind w:left="720" w:hanging="720"/>
        <w:rPr>
          <w:sz w:val="24"/>
          <w:szCs w:val="24"/>
        </w:rPr>
      </w:pPr>
      <w:r w:rsidRPr="00177203">
        <w:rPr>
          <w:sz w:val="24"/>
          <w:szCs w:val="24"/>
        </w:rPr>
        <w:t>52.</w:t>
      </w:r>
      <w:r w:rsidRPr="00177203">
        <w:rPr>
          <w:sz w:val="24"/>
          <w:szCs w:val="24"/>
        </w:rPr>
        <w:tab/>
        <w:t>Yu, Z.</w:t>
      </w:r>
      <w:r w:rsidRPr="00177203">
        <w:rPr>
          <w:i/>
          <w:sz w:val="24"/>
          <w:szCs w:val="24"/>
        </w:rPr>
        <w:t xml:space="preserve"> et al.</w:t>
      </w:r>
      <w:r w:rsidRPr="00177203">
        <w:rPr>
          <w:sz w:val="24"/>
          <w:szCs w:val="24"/>
        </w:rPr>
        <w:t xml:space="preserve"> D</w:t>
      </w:r>
      <w:r w:rsidR="00EE7C83" w:rsidRPr="00177203">
        <w:rPr>
          <w:sz w:val="24"/>
          <w:szCs w:val="24"/>
        </w:rPr>
        <w:t>-</w:t>
      </w:r>
      <w:r w:rsidRPr="00177203">
        <w:rPr>
          <w:sz w:val="24"/>
          <w:szCs w:val="24"/>
        </w:rPr>
        <w:t>band</w:t>
      </w:r>
      <w:r w:rsidR="00EE7C83" w:rsidRPr="00177203">
        <w:rPr>
          <w:sz w:val="24"/>
          <w:szCs w:val="24"/>
        </w:rPr>
        <w:t>-</w:t>
      </w:r>
      <w:r w:rsidRPr="00177203">
        <w:rPr>
          <w:sz w:val="24"/>
          <w:szCs w:val="24"/>
        </w:rPr>
        <w:t>center</w:t>
      </w:r>
      <w:r w:rsidR="00EE7C83" w:rsidRPr="00177203">
        <w:rPr>
          <w:sz w:val="24"/>
          <w:szCs w:val="24"/>
        </w:rPr>
        <w:t>-</w:t>
      </w:r>
      <w:r w:rsidRPr="00177203">
        <w:rPr>
          <w:sz w:val="24"/>
          <w:szCs w:val="24"/>
        </w:rPr>
        <w:t>engineered platinum</w:t>
      </w:r>
      <w:r w:rsidR="00EE7C83" w:rsidRPr="00177203">
        <w:rPr>
          <w:sz w:val="24"/>
          <w:szCs w:val="24"/>
        </w:rPr>
        <w:t>-</w:t>
      </w:r>
      <w:r w:rsidRPr="00177203">
        <w:rPr>
          <w:sz w:val="24"/>
          <w:szCs w:val="24"/>
        </w:rPr>
        <w:t xml:space="preserve">based nanozyme for personalized pharmacovigilance. </w:t>
      </w:r>
      <w:r w:rsidRPr="00177203">
        <w:rPr>
          <w:i/>
          <w:sz w:val="24"/>
          <w:szCs w:val="24"/>
        </w:rPr>
        <w:t>Angew. Chem. Int. Ed.</w:t>
      </w:r>
      <w:r w:rsidRPr="00177203">
        <w:rPr>
          <w:sz w:val="24"/>
          <w:szCs w:val="24"/>
        </w:rPr>
        <w:t xml:space="preserve"> </w:t>
      </w:r>
      <w:r w:rsidRPr="00177203">
        <w:rPr>
          <w:b/>
          <w:sz w:val="24"/>
          <w:szCs w:val="24"/>
        </w:rPr>
        <w:t>137</w:t>
      </w:r>
      <w:r w:rsidRPr="00177203">
        <w:rPr>
          <w:sz w:val="24"/>
          <w:szCs w:val="24"/>
        </w:rPr>
        <w:t>, e202414625 (2025).</w:t>
      </w:r>
    </w:p>
    <w:p w14:paraId="580D447B" w14:textId="3C650694" w:rsidR="002D0DCC" w:rsidRPr="00177203" w:rsidRDefault="002D0DCC" w:rsidP="002D0DCC">
      <w:pPr>
        <w:pStyle w:val="EndNoteBibliography"/>
        <w:ind w:left="720" w:hanging="720"/>
        <w:rPr>
          <w:sz w:val="24"/>
          <w:szCs w:val="24"/>
        </w:rPr>
      </w:pPr>
      <w:r w:rsidRPr="00177203">
        <w:rPr>
          <w:sz w:val="24"/>
          <w:szCs w:val="24"/>
        </w:rPr>
        <w:t>53.</w:t>
      </w:r>
      <w:r w:rsidRPr="00177203">
        <w:rPr>
          <w:sz w:val="24"/>
          <w:szCs w:val="24"/>
        </w:rPr>
        <w:tab/>
        <w:t>Liu, L.</w:t>
      </w:r>
      <w:r w:rsidRPr="00177203">
        <w:rPr>
          <w:i/>
          <w:sz w:val="24"/>
          <w:szCs w:val="24"/>
        </w:rPr>
        <w:t xml:space="preserve"> et al.</w:t>
      </w:r>
      <w:r w:rsidRPr="00177203">
        <w:rPr>
          <w:sz w:val="24"/>
          <w:szCs w:val="24"/>
        </w:rPr>
        <w:t xml:space="preserve"> Revealing the dependence of oxygen reduction mechanism and activity on the D</w:t>
      </w:r>
      <w:r w:rsidR="00EE7C83" w:rsidRPr="00177203">
        <w:rPr>
          <w:sz w:val="24"/>
          <w:szCs w:val="24"/>
        </w:rPr>
        <w:t>-</w:t>
      </w:r>
      <w:r w:rsidRPr="00177203">
        <w:rPr>
          <w:sz w:val="24"/>
          <w:szCs w:val="24"/>
        </w:rPr>
        <w:t xml:space="preserve">band center difference of Fe–M bimetallic sites. </w:t>
      </w:r>
      <w:r w:rsidRPr="00177203">
        <w:rPr>
          <w:i/>
          <w:sz w:val="24"/>
          <w:szCs w:val="24"/>
        </w:rPr>
        <w:t>Appl</w:t>
      </w:r>
      <w:r w:rsidR="00EE7C83" w:rsidRPr="00177203">
        <w:rPr>
          <w:i/>
          <w:sz w:val="24"/>
          <w:szCs w:val="24"/>
        </w:rPr>
        <w:t>.</w:t>
      </w:r>
      <w:r w:rsidRPr="00177203">
        <w:rPr>
          <w:i/>
          <w:sz w:val="24"/>
          <w:szCs w:val="24"/>
        </w:rPr>
        <w:t xml:space="preserve"> Catal</w:t>
      </w:r>
      <w:r w:rsidR="00EE7C83" w:rsidRPr="00177203">
        <w:rPr>
          <w:i/>
          <w:sz w:val="24"/>
          <w:szCs w:val="24"/>
        </w:rPr>
        <w:t>.</w:t>
      </w:r>
      <w:r w:rsidRPr="00177203">
        <w:rPr>
          <w:i/>
          <w:sz w:val="24"/>
          <w:szCs w:val="24"/>
        </w:rPr>
        <w:t xml:space="preserve"> B: Environ</w:t>
      </w:r>
      <w:r w:rsidR="00EE7C83" w:rsidRPr="00177203">
        <w:rPr>
          <w:i/>
          <w:sz w:val="24"/>
          <w:szCs w:val="24"/>
        </w:rPr>
        <w:t>.</w:t>
      </w:r>
      <w:r w:rsidRPr="00177203">
        <w:rPr>
          <w:sz w:val="24"/>
          <w:szCs w:val="24"/>
        </w:rPr>
        <w:t xml:space="preserve"> </w:t>
      </w:r>
      <w:r w:rsidRPr="00177203">
        <w:rPr>
          <w:b/>
          <w:sz w:val="24"/>
          <w:szCs w:val="24"/>
        </w:rPr>
        <w:t>384</w:t>
      </w:r>
      <w:r w:rsidRPr="00177203">
        <w:rPr>
          <w:sz w:val="24"/>
          <w:szCs w:val="24"/>
        </w:rPr>
        <w:t>, 126191 (2026).</w:t>
      </w:r>
    </w:p>
    <w:p w14:paraId="57A9A1C0" w14:textId="0C6A04C3" w:rsidR="002D0DCC" w:rsidRPr="00177203" w:rsidRDefault="002D0DCC" w:rsidP="002D0DCC">
      <w:pPr>
        <w:pStyle w:val="EndNoteBibliography"/>
        <w:ind w:left="720" w:hanging="720"/>
        <w:rPr>
          <w:sz w:val="24"/>
          <w:szCs w:val="24"/>
        </w:rPr>
      </w:pPr>
      <w:r w:rsidRPr="00177203">
        <w:rPr>
          <w:sz w:val="24"/>
          <w:szCs w:val="24"/>
        </w:rPr>
        <w:t>54.</w:t>
      </w:r>
      <w:r w:rsidRPr="00177203">
        <w:rPr>
          <w:sz w:val="24"/>
          <w:szCs w:val="24"/>
        </w:rPr>
        <w:tab/>
        <w:t>Lian, H.</w:t>
      </w:r>
      <w:r w:rsidRPr="00177203">
        <w:rPr>
          <w:i/>
          <w:sz w:val="24"/>
          <w:szCs w:val="24"/>
        </w:rPr>
        <w:t xml:space="preserve"> et al.</w:t>
      </w:r>
      <w:r w:rsidRPr="00177203">
        <w:rPr>
          <w:sz w:val="24"/>
          <w:szCs w:val="24"/>
        </w:rPr>
        <w:t xml:space="preserve"> Positive shift of the d</w:t>
      </w:r>
      <w:r w:rsidR="00EE7C83" w:rsidRPr="00177203">
        <w:rPr>
          <w:sz w:val="24"/>
          <w:szCs w:val="24"/>
        </w:rPr>
        <w:t>-</w:t>
      </w:r>
      <w:r w:rsidRPr="00177203">
        <w:rPr>
          <w:sz w:val="24"/>
          <w:szCs w:val="24"/>
        </w:rPr>
        <w:t xml:space="preserve">band center in Cu nanoparticles facilitates electrocatalytic hydrogenation of furfural under mild pH conditions. </w:t>
      </w:r>
      <w:r w:rsidRPr="00177203">
        <w:rPr>
          <w:i/>
          <w:sz w:val="24"/>
          <w:szCs w:val="24"/>
        </w:rPr>
        <w:t>J. Catal.</w:t>
      </w:r>
      <w:r w:rsidRPr="00177203">
        <w:rPr>
          <w:sz w:val="24"/>
          <w:szCs w:val="24"/>
        </w:rPr>
        <w:t xml:space="preserve"> </w:t>
      </w:r>
      <w:r w:rsidRPr="00177203">
        <w:rPr>
          <w:b/>
          <w:sz w:val="24"/>
          <w:szCs w:val="24"/>
        </w:rPr>
        <w:t>444</w:t>
      </w:r>
      <w:r w:rsidRPr="00177203">
        <w:rPr>
          <w:sz w:val="24"/>
          <w:szCs w:val="24"/>
        </w:rPr>
        <w:t>, 116003 (2025).</w:t>
      </w:r>
    </w:p>
    <w:p w14:paraId="45A235AF" w14:textId="21F19CA6" w:rsidR="002D0DCC" w:rsidRPr="00177203" w:rsidRDefault="002D0DCC" w:rsidP="002D0DCC">
      <w:pPr>
        <w:pStyle w:val="EndNoteBibliography"/>
        <w:ind w:left="720" w:hanging="720"/>
        <w:rPr>
          <w:sz w:val="24"/>
          <w:szCs w:val="24"/>
        </w:rPr>
      </w:pPr>
      <w:r w:rsidRPr="00177203">
        <w:rPr>
          <w:sz w:val="24"/>
          <w:szCs w:val="24"/>
        </w:rPr>
        <w:t>55.</w:t>
      </w:r>
      <w:r w:rsidRPr="00177203">
        <w:rPr>
          <w:sz w:val="24"/>
          <w:szCs w:val="24"/>
        </w:rPr>
        <w:tab/>
        <w:t>Wang, L., Zhang, S., Zhang, L. &amp; Yu, J. Regulating the d–band center of Cu nanoparticles for efficient photo</w:t>
      </w:r>
      <w:r w:rsidR="00EE7C83" w:rsidRPr="00177203">
        <w:rPr>
          <w:sz w:val="24"/>
          <w:szCs w:val="24"/>
        </w:rPr>
        <w:t>-</w:t>
      </w:r>
      <w:r w:rsidRPr="00177203">
        <w:rPr>
          <w:sz w:val="24"/>
          <w:szCs w:val="24"/>
        </w:rPr>
        <w:t>driven catalytic CO</w:t>
      </w:r>
      <w:r w:rsidRPr="00177203">
        <w:rPr>
          <w:sz w:val="24"/>
          <w:szCs w:val="24"/>
          <w:vertAlign w:val="subscript"/>
        </w:rPr>
        <w:t>2</w:t>
      </w:r>
      <w:r w:rsidRPr="00177203">
        <w:rPr>
          <w:sz w:val="24"/>
          <w:szCs w:val="24"/>
        </w:rPr>
        <w:t xml:space="preserve"> reduction. </w:t>
      </w:r>
      <w:r w:rsidR="00EE7C83" w:rsidRPr="00177203">
        <w:rPr>
          <w:i/>
          <w:sz w:val="24"/>
          <w:szCs w:val="24"/>
        </w:rPr>
        <w:t>Appl. Catal. B: Environ.</w:t>
      </w:r>
      <w:r w:rsidRPr="00177203">
        <w:rPr>
          <w:sz w:val="24"/>
          <w:szCs w:val="24"/>
        </w:rPr>
        <w:t xml:space="preserve"> </w:t>
      </w:r>
      <w:r w:rsidRPr="00177203">
        <w:rPr>
          <w:b/>
          <w:sz w:val="24"/>
          <w:szCs w:val="24"/>
        </w:rPr>
        <w:t>355</w:t>
      </w:r>
      <w:r w:rsidRPr="00177203">
        <w:rPr>
          <w:sz w:val="24"/>
          <w:szCs w:val="24"/>
        </w:rPr>
        <w:t>, 124167 (2024).</w:t>
      </w:r>
    </w:p>
    <w:p w14:paraId="3AD45841" w14:textId="3CB3A904" w:rsidR="002D0DCC" w:rsidRPr="00177203" w:rsidRDefault="002D0DCC" w:rsidP="002D0DCC">
      <w:pPr>
        <w:pStyle w:val="EndNoteBibliography"/>
        <w:ind w:left="720" w:hanging="720"/>
        <w:rPr>
          <w:sz w:val="24"/>
          <w:szCs w:val="24"/>
        </w:rPr>
      </w:pPr>
      <w:r w:rsidRPr="00177203">
        <w:rPr>
          <w:sz w:val="24"/>
          <w:szCs w:val="24"/>
        </w:rPr>
        <w:t>56.</w:t>
      </w:r>
      <w:r w:rsidRPr="00177203">
        <w:rPr>
          <w:sz w:val="24"/>
          <w:szCs w:val="24"/>
        </w:rPr>
        <w:tab/>
        <w:t>Zhang, J.</w:t>
      </w:r>
      <w:r w:rsidRPr="00177203">
        <w:rPr>
          <w:i/>
          <w:sz w:val="24"/>
          <w:szCs w:val="24"/>
        </w:rPr>
        <w:t xml:space="preserve"> et al.</w:t>
      </w:r>
      <w:r w:rsidRPr="00177203">
        <w:rPr>
          <w:sz w:val="24"/>
          <w:szCs w:val="24"/>
        </w:rPr>
        <w:t xml:space="preserve"> Size</w:t>
      </w:r>
      <w:r w:rsidR="00EE7C83" w:rsidRPr="00177203">
        <w:rPr>
          <w:sz w:val="24"/>
          <w:szCs w:val="24"/>
        </w:rPr>
        <w:t>-</w:t>
      </w:r>
      <w:r w:rsidRPr="00177203">
        <w:rPr>
          <w:sz w:val="24"/>
          <w:szCs w:val="24"/>
        </w:rPr>
        <w:t xml:space="preserve">induced d band center upshift of copper for efficient nitrate reduction to ammonia. </w:t>
      </w:r>
      <w:r w:rsidRPr="00177203">
        <w:rPr>
          <w:i/>
          <w:sz w:val="24"/>
          <w:szCs w:val="24"/>
        </w:rPr>
        <w:t>J. Colloid Interface Sci.</w:t>
      </w:r>
      <w:r w:rsidRPr="00177203">
        <w:rPr>
          <w:sz w:val="24"/>
          <w:szCs w:val="24"/>
        </w:rPr>
        <w:t xml:space="preserve"> </w:t>
      </w:r>
      <w:r w:rsidRPr="00177203">
        <w:rPr>
          <w:b/>
          <w:sz w:val="24"/>
          <w:szCs w:val="24"/>
        </w:rPr>
        <w:t>658</w:t>
      </w:r>
      <w:r w:rsidRPr="00177203">
        <w:rPr>
          <w:sz w:val="24"/>
          <w:szCs w:val="24"/>
        </w:rPr>
        <w:t>, 934–942 (2024).</w:t>
      </w:r>
    </w:p>
    <w:p w14:paraId="231E0FA9" w14:textId="5628B463" w:rsidR="002D0DCC" w:rsidRPr="00177203" w:rsidRDefault="002D0DCC" w:rsidP="002D0DCC">
      <w:pPr>
        <w:pStyle w:val="EndNoteBibliography"/>
        <w:ind w:left="720" w:hanging="720"/>
        <w:rPr>
          <w:sz w:val="24"/>
          <w:szCs w:val="24"/>
        </w:rPr>
      </w:pPr>
      <w:r w:rsidRPr="00177203">
        <w:rPr>
          <w:sz w:val="24"/>
          <w:szCs w:val="24"/>
        </w:rPr>
        <w:t>57.</w:t>
      </w:r>
      <w:r w:rsidRPr="00177203">
        <w:rPr>
          <w:sz w:val="24"/>
          <w:szCs w:val="24"/>
        </w:rPr>
        <w:tab/>
        <w:t>Madden, K. P. &amp; Taniguchi, H. In stu radiolysis time</w:t>
      </w:r>
      <w:r w:rsidR="00EE7C83" w:rsidRPr="00177203">
        <w:rPr>
          <w:sz w:val="24"/>
          <w:szCs w:val="24"/>
        </w:rPr>
        <w:t>-</w:t>
      </w:r>
      <w:r w:rsidRPr="00177203">
        <w:rPr>
          <w:sz w:val="24"/>
          <w:szCs w:val="24"/>
        </w:rPr>
        <w:t xml:space="preserve">resolved ESR studies of spin trapping by DMPO:  Reevaluation of hydroxyl radical and hydrated electron trapping rates and spin adduct yields. </w:t>
      </w:r>
      <w:r w:rsidRPr="00177203">
        <w:rPr>
          <w:i/>
          <w:sz w:val="24"/>
          <w:szCs w:val="24"/>
        </w:rPr>
        <w:t xml:space="preserve">J. Phys. Chem. </w:t>
      </w:r>
      <w:r w:rsidRPr="00177203">
        <w:rPr>
          <w:b/>
          <w:sz w:val="24"/>
          <w:szCs w:val="24"/>
        </w:rPr>
        <w:t>100</w:t>
      </w:r>
      <w:r w:rsidRPr="00177203">
        <w:rPr>
          <w:sz w:val="24"/>
          <w:szCs w:val="24"/>
        </w:rPr>
        <w:t>, 7511–7516 (1996).</w:t>
      </w:r>
    </w:p>
    <w:p w14:paraId="47137164" w14:textId="3B571227" w:rsidR="002D0DCC" w:rsidRPr="00177203" w:rsidRDefault="002D0DCC" w:rsidP="002D0DCC">
      <w:pPr>
        <w:pStyle w:val="EndNoteBibliography"/>
        <w:ind w:left="720" w:hanging="720"/>
        <w:rPr>
          <w:sz w:val="24"/>
          <w:szCs w:val="24"/>
        </w:rPr>
      </w:pPr>
      <w:r w:rsidRPr="00177203">
        <w:rPr>
          <w:sz w:val="24"/>
          <w:szCs w:val="24"/>
        </w:rPr>
        <w:t>58.</w:t>
      </w:r>
      <w:r w:rsidRPr="00177203">
        <w:rPr>
          <w:sz w:val="24"/>
          <w:szCs w:val="24"/>
        </w:rPr>
        <w:tab/>
        <w:t xml:space="preserve">Park, Y. O., Banholzer, W. F. &amp; Masel, R. I. Adsorption and interaction of CO and NO on Pt(410): I. TPD studies. </w:t>
      </w:r>
      <w:r w:rsidRPr="00177203">
        <w:rPr>
          <w:i/>
          <w:sz w:val="24"/>
          <w:szCs w:val="24"/>
        </w:rPr>
        <w:t>Surf. Sci.</w:t>
      </w:r>
      <w:r w:rsidRPr="00177203">
        <w:rPr>
          <w:sz w:val="24"/>
          <w:szCs w:val="24"/>
        </w:rPr>
        <w:t xml:space="preserve"> </w:t>
      </w:r>
      <w:r w:rsidRPr="00177203">
        <w:rPr>
          <w:b/>
          <w:sz w:val="24"/>
          <w:szCs w:val="24"/>
        </w:rPr>
        <w:t>155</w:t>
      </w:r>
      <w:r w:rsidRPr="00177203">
        <w:rPr>
          <w:sz w:val="24"/>
          <w:szCs w:val="24"/>
        </w:rPr>
        <w:t>, 341–365 (1985).</w:t>
      </w:r>
    </w:p>
    <w:p w14:paraId="0C9C4632" w14:textId="0640FB03" w:rsidR="002D0DCC" w:rsidRPr="00177203" w:rsidRDefault="002D0DCC" w:rsidP="002D0DCC">
      <w:pPr>
        <w:pStyle w:val="EndNoteBibliography"/>
        <w:ind w:left="720" w:hanging="720"/>
        <w:rPr>
          <w:sz w:val="24"/>
          <w:szCs w:val="24"/>
        </w:rPr>
      </w:pPr>
      <w:r w:rsidRPr="00177203">
        <w:rPr>
          <w:sz w:val="24"/>
          <w:szCs w:val="24"/>
        </w:rPr>
        <w:t>59.</w:t>
      </w:r>
      <w:r w:rsidRPr="00177203">
        <w:rPr>
          <w:sz w:val="24"/>
          <w:szCs w:val="24"/>
        </w:rPr>
        <w:tab/>
        <w:t xml:space="preserve">Gorte, R. J. &amp; Schmidt, L. D. Interactions between NO and CO on Pt(111). </w:t>
      </w:r>
      <w:r w:rsidRPr="00177203">
        <w:rPr>
          <w:i/>
          <w:sz w:val="24"/>
          <w:szCs w:val="24"/>
        </w:rPr>
        <w:t>Surf. Sci.</w:t>
      </w:r>
      <w:r w:rsidRPr="00177203">
        <w:rPr>
          <w:sz w:val="24"/>
          <w:szCs w:val="24"/>
        </w:rPr>
        <w:t xml:space="preserve"> </w:t>
      </w:r>
      <w:r w:rsidRPr="00177203">
        <w:rPr>
          <w:b/>
          <w:sz w:val="24"/>
          <w:szCs w:val="24"/>
        </w:rPr>
        <w:t>111</w:t>
      </w:r>
      <w:r w:rsidRPr="00177203">
        <w:rPr>
          <w:sz w:val="24"/>
          <w:szCs w:val="24"/>
        </w:rPr>
        <w:t>, 260–278 (1981).</w:t>
      </w:r>
    </w:p>
    <w:p w14:paraId="5847ABDB" w14:textId="76E233BE" w:rsidR="002D0DCC" w:rsidRPr="00177203" w:rsidRDefault="002D0DCC" w:rsidP="002D0DCC">
      <w:pPr>
        <w:pStyle w:val="EndNoteBibliography"/>
        <w:ind w:left="720" w:hanging="720"/>
        <w:rPr>
          <w:sz w:val="24"/>
          <w:szCs w:val="24"/>
        </w:rPr>
      </w:pPr>
      <w:r w:rsidRPr="00177203">
        <w:rPr>
          <w:sz w:val="24"/>
          <w:szCs w:val="24"/>
        </w:rPr>
        <w:t>60.</w:t>
      </w:r>
      <w:r w:rsidRPr="00177203">
        <w:rPr>
          <w:sz w:val="24"/>
          <w:szCs w:val="24"/>
        </w:rPr>
        <w:tab/>
        <w:t>Zhao, Y.</w:t>
      </w:r>
      <w:r w:rsidRPr="00177203">
        <w:rPr>
          <w:i/>
          <w:sz w:val="24"/>
          <w:szCs w:val="24"/>
        </w:rPr>
        <w:t xml:space="preserve"> et al.</w:t>
      </w:r>
      <w:r w:rsidRPr="00177203">
        <w:rPr>
          <w:sz w:val="24"/>
          <w:szCs w:val="24"/>
        </w:rPr>
        <w:t xml:space="preserve"> Elucidating electrochemical CO</w:t>
      </w:r>
      <w:r w:rsidRPr="00177203">
        <w:rPr>
          <w:sz w:val="24"/>
          <w:szCs w:val="24"/>
          <w:vertAlign w:val="subscript"/>
        </w:rPr>
        <w:t>2</w:t>
      </w:r>
      <w:r w:rsidRPr="00177203">
        <w:rPr>
          <w:sz w:val="24"/>
          <w:szCs w:val="24"/>
        </w:rPr>
        <w:t xml:space="preserve"> reduction reaction processes on Cu(hkl) single</w:t>
      </w:r>
      <w:r w:rsidR="00EE7C83" w:rsidRPr="00177203">
        <w:rPr>
          <w:sz w:val="24"/>
          <w:szCs w:val="24"/>
        </w:rPr>
        <w:t>-</w:t>
      </w:r>
      <w:r w:rsidRPr="00177203">
        <w:rPr>
          <w:sz w:val="24"/>
          <w:szCs w:val="24"/>
        </w:rPr>
        <w:t xml:space="preserve">crystal surfaces by in situ Raman spectroscopy. </w:t>
      </w:r>
      <w:r w:rsidR="009B39B7" w:rsidRPr="00177203">
        <w:rPr>
          <w:i/>
          <w:sz w:val="24"/>
          <w:szCs w:val="24"/>
        </w:rPr>
        <w:t>Energy Environ. Sci.</w:t>
      </w:r>
      <w:r w:rsidRPr="00177203">
        <w:rPr>
          <w:sz w:val="24"/>
          <w:szCs w:val="24"/>
        </w:rPr>
        <w:t xml:space="preserve"> </w:t>
      </w:r>
      <w:r w:rsidRPr="00177203">
        <w:rPr>
          <w:b/>
          <w:sz w:val="24"/>
          <w:szCs w:val="24"/>
        </w:rPr>
        <w:t>15</w:t>
      </w:r>
      <w:r w:rsidRPr="00177203">
        <w:rPr>
          <w:sz w:val="24"/>
          <w:szCs w:val="24"/>
        </w:rPr>
        <w:t>, 3968–3977 (2022).</w:t>
      </w:r>
    </w:p>
    <w:p w14:paraId="7B0659E5" w14:textId="4CEC11B6" w:rsidR="002D0DCC" w:rsidRPr="00177203" w:rsidRDefault="002D0DCC" w:rsidP="002D0DCC">
      <w:pPr>
        <w:pStyle w:val="EndNoteBibliography"/>
        <w:ind w:left="720" w:hanging="720"/>
        <w:rPr>
          <w:sz w:val="24"/>
          <w:szCs w:val="24"/>
        </w:rPr>
      </w:pPr>
      <w:r w:rsidRPr="00177203">
        <w:rPr>
          <w:sz w:val="24"/>
          <w:szCs w:val="24"/>
        </w:rPr>
        <w:t>61.</w:t>
      </w:r>
      <w:r w:rsidRPr="00177203">
        <w:rPr>
          <w:sz w:val="24"/>
          <w:szCs w:val="24"/>
        </w:rPr>
        <w:tab/>
        <w:t xml:space="preserve">Khan, K. M., Krishna, H., Majumder, S. K. &amp; Gupta, P. K. Detection of </w:t>
      </w:r>
      <w:r w:rsidR="00B002ED" w:rsidRPr="00177203">
        <w:rPr>
          <w:sz w:val="24"/>
          <w:szCs w:val="24"/>
        </w:rPr>
        <w:t>urea adulteration in milk using near-infrared Raman spectroscopy</w:t>
      </w:r>
      <w:r w:rsidRPr="00177203">
        <w:rPr>
          <w:sz w:val="24"/>
          <w:szCs w:val="24"/>
        </w:rPr>
        <w:t xml:space="preserve">. </w:t>
      </w:r>
      <w:r w:rsidRPr="00177203">
        <w:rPr>
          <w:i/>
          <w:sz w:val="24"/>
          <w:szCs w:val="24"/>
        </w:rPr>
        <w:t>Food Anal</w:t>
      </w:r>
      <w:r w:rsidR="00B002ED" w:rsidRPr="00177203">
        <w:rPr>
          <w:i/>
          <w:sz w:val="24"/>
          <w:szCs w:val="24"/>
        </w:rPr>
        <w:t>.</w:t>
      </w:r>
      <w:r w:rsidRPr="00177203">
        <w:rPr>
          <w:i/>
          <w:sz w:val="24"/>
          <w:szCs w:val="24"/>
        </w:rPr>
        <w:t xml:space="preserve"> Methods</w:t>
      </w:r>
      <w:r w:rsidRPr="00177203">
        <w:rPr>
          <w:sz w:val="24"/>
          <w:szCs w:val="24"/>
        </w:rPr>
        <w:t xml:space="preserve"> </w:t>
      </w:r>
      <w:r w:rsidRPr="00177203">
        <w:rPr>
          <w:b/>
          <w:sz w:val="24"/>
          <w:szCs w:val="24"/>
        </w:rPr>
        <w:t>8</w:t>
      </w:r>
      <w:r w:rsidRPr="00177203">
        <w:rPr>
          <w:sz w:val="24"/>
          <w:szCs w:val="24"/>
        </w:rPr>
        <w:t>, 93–102 (2015).</w:t>
      </w:r>
    </w:p>
    <w:p w14:paraId="11F58ED1" w14:textId="463F9211" w:rsidR="002D0DCC" w:rsidRPr="00177203" w:rsidRDefault="002D0DCC" w:rsidP="002D0DCC">
      <w:pPr>
        <w:pStyle w:val="EndNoteBibliography"/>
        <w:ind w:left="720" w:hanging="720"/>
        <w:rPr>
          <w:sz w:val="24"/>
          <w:szCs w:val="24"/>
        </w:rPr>
      </w:pPr>
      <w:r w:rsidRPr="00177203">
        <w:rPr>
          <w:sz w:val="24"/>
          <w:szCs w:val="24"/>
        </w:rPr>
        <w:t>62.</w:t>
      </w:r>
      <w:r w:rsidRPr="00177203">
        <w:rPr>
          <w:sz w:val="24"/>
          <w:szCs w:val="24"/>
        </w:rPr>
        <w:tab/>
        <w:t>Barker, I. K., Fawcett, V. &amp; Long, D. A. Solvent dependence of the resonance Raman spectra of azobenzene, 4</w:t>
      </w:r>
      <w:r w:rsidR="00B002ED" w:rsidRPr="00177203">
        <w:rPr>
          <w:sz w:val="24"/>
          <w:szCs w:val="24"/>
        </w:rPr>
        <w:t>-</w:t>
      </w:r>
      <w:r w:rsidRPr="00177203">
        <w:rPr>
          <w:sz w:val="24"/>
          <w:szCs w:val="24"/>
        </w:rPr>
        <w:t>aminoazobenzene, 4</w:t>
      </w:r>
      <w:r w:rsidR="00B002ED" w:rsidRPr="00177203">
        <w:rPr>
          <w:sz w:val="24"/>
          <w:szCs w:val="24"/>
        </w:rPr>
        <w:t>-</w:t>
      </w:r>
      <w:r w:rsidRPr="00177203">
        <w:rPr>
          <w:sz w:val="24"/>
          <w:szCs w:val="24"/>
        </w:rPr>
        <w:t xml:space="preserve">methylaminobenzene and 4–dimethylaminoazobenzene. </w:t>
      </w:r>
      <w:r w:rsidRPr="00177203">
        <w:rPr>
          <w:i/>
          <w:sz w:val="24"/>
          <w:szCs w:val="24"/>
        </w:rPr>
        <w:t>J</w:t>
      </w:r>
      <w:r w:rsidR="00B002ED" w:rsidRPr="00177203">
        <w:rPr>
          <w:i/>
          <w:sz w:val="24"/>
          <w:szCs w:val="24"/>
        </w:rPr>
        <w:t xml:space="preserve">. </w:t>
      </w:r>
      <w:r w:rsidRPr="00177203">
        <w:rPr>
          <w:i/>
          <w:sz w:val="24"/>
          <w:szCs w:val="24"/>
        </w:rPr>
        <w:t>Raman Spe</w:t>
      </w:r>
      <w:r w:rsidR="00B002ED" w:rsidRPr="00177203">
        <w:rPr>
          <w:i/>
          <w:sz w:val="24"/>
          <w:szCs w:val="24"/>
        </w:rPr>
        <w:t xml:space="preserve">. </w:t>
      </w:r>
      <w:r w:rsidRPr="00177203">
        <w:rPr>
          <w:b/>
          <w:sz w:val="24"/>
          <w:szCs w:val="24"/>
        </w:rPr>
        <w:t>18</w:t>
      </w:r>
      <w:r w:rsidRPr="00177203">
        <w:rPr>
          <w:sz w:val="24"/>
          <w:szCs w:val="24"/>
        </w:rPr>
        <w:t>, 71–75 (1987).</w:t>
      </w:r>
    </w:p>
    <w:p w14:paraId="5BA52B9E" w14:textId="4BFA98C0" w:rsidR="002D0DCC" w:rsidRPr="00177203" w:rsidRDefault="002D0DCC" w:rsidP="002D0DCC">
      <w:pPr>
        <w:pStyle w:val="EndNoteBibliography"/>
        <w:ind w:left="720" w:hanging="720"/>
        <w:rPr>
          <w:sz w:val="24"/>
          <w:szCs w:val="24"/>
        </w:rPr>
      </w:pPr>
      <w:r w:rsidRPr="00177203">
        <w:rPr>
          <w:sz w:val="24"/>
          <w:szCs w:val="24"/>
        </w:rPr>
        <w:t>63.</w:t>
      </w:r>
      <w:r w:rsidRPr="00177203">
        <w:rPr>
          <w:sz w:val="24"/>
          <w:szCs w:val="24"/>
        </w:rPr>
        <w:tab/>
        <w:t>Chen, S.</w:t>
      </w:r>
      <w:r w:rsidRPr="00177203">
        <w:rPr>
          <w:i/>
          <w:sz w:val="24"/>
          <w:szCs w:val="24"/>
        </w:rPr>
        <w:t xml:space="preserve"> et al.</w:t>
      </w:r>
      <w:r w:rsidRPr="00177203">
        <w:rPr>
          <w:sz w:val="24"/>
          <w:szCs w:val="24"/>
        </w:rPr>
        <w:t xml:space="preserve"> MOF </w:t>
      </w:r>
      <w:r w:rsidR="00B002ED" w:rsidRPr="00177203">
        <w:rPr>
          <w:sz w:val="24"/>
          <w:szCs w:val="24"/>
        </w:rPr>
        <w:t>e</w:t>
      </w:r>
      <w:r w:rsidRPr="00177203">
        <w:rPr>
          <w:sz w:val="24"/>
          <w:szCs w:val="24"/>
        </w:rPr>
        <w:t>ncapsulating N–</w:t>
      </w:r>
      <w:r w:rsidR="00B002ED" w:rsidRPr="00177203">
        <w:rPr>
          <w:sz w:val="24"/>
          <w:szCs w:val="24"/>
        </w:rPr>
        <w:t>heterocyclic carbene-ligated copper single–atom site catalyst towards efficient methane electrosy</w:t>
      </w:r>
      <w:r w:rsidRPr="00177203">
        <w:rPr>
          <w:sz w:val="24"/>
          <w:szCs w:val="24"/>
        </w:rPr>
        <w:t xml:space="preserve">nthesis. </w:t>
      </w:r>
      <w:r w:rsidR="00B002ED" w:rsidRPr="00177203">
        <w:rPr>
          <w:i/>
          <w:sz w:val="24"/>
          <w:szCs w:val="24"/>
        </w:rPr>
        <w:t>Angew. Chem. Int. Ed.</w:t>
      </w:r>
      <w:r w:rsidR="00B002ED" w:rsidRPr="00177203">
        <w:rPr>
          <w:sz w:val="24"/>
          <w:szCs w:val="24"/>
        </w:rPr>
        <w:t xml:space="preserve"> </w:t>
      </w:r>
      <w:r w:rsidRPr="00177203">
        <w:rPr>
          <w:b/>
          <w:sz w:val="24"/>
          <w:szCs w:val="24"/>
        </w:rPr>
        <w:t>61</w:t>
      </w:r>
      <w:r w:rsidRPr="00177203">
        <w:rPr>
          <w:sz w:val="24"/>
          <w:szCs w:val="24"/>
        </w:rPr>
        <w:t xml:space="preserve"> (2022).</w:t>
      </w:r>
    </w:p>
    <w:p w14:paraId="539ADCD8" w14:textId="3C264580" w:rsidR="002D0DCC" w:rsidRPr="00177203" w:rsidRDefault="002D0DCC" w:rsidP="002D0DCC">
      <w:pPr>
        <w:pStyle w:val="EndNoteBibliography"/>
        <w:ind w:left="720" w:hanging="720"/>
        <w:rPr>
          <w:sz w:val="24"/>
          <w:szCs w:val="24"/>
        </w:rPr>
      </w:pPr>
      <w:r w:rsidRPr="00177203">
        <w:rPr>
          <w:sz w:val="24"/>
          <w:szCs w:val="24"/>
        </w:rPr>
        <w:t>64.</w:t>
      </w:r>
      <w:r w:rsidRPr="00177203">
        <w:rPr>
          <w:sz w:val="24"/>
          <w:szCs w:val="24"/>
        </w:rPr>
        <w:tab/>
        <w:t>Mu, S.</w:t>
      </w:r>
      <w:r w:rsidRPr="00177203">
        <w:rPr>
          <w:i/>
          <w:sz w:val="24"/>
          <w:szCs w:val="24"/>
        </w:rPr>
        <w:t xml:space="preserve"> et al.</w:t>
      </w:r>
      <w:r w:rsidRPr="00177203">
        <w:rPr>
          <w:sz w:val="24"/>
          <w:szCs w:val="24"/>
        </w:rPr>
        <w:t xml:space="preserve"> Hydroxyl radicals dominate reoxidation of oxide</w:t>
      </w:r>
      <w:r w:rsidR="00B002ED" w:rsidRPr="00177203">
        <w:rPr>
          <w:sz w:val="24"/>
          <w:szCs w:val="24"/>
        </w:rPr>
        <w:t>-</w:t>
      </w:r>
      <w:r w:rsidRPr="00177203">
        <w:rPr>
          <w:sz w:val="24"/>
          <w:szCs w:val="24"/>
        </w:rPr>
        <w:t>derived Cu in electrochemical CO</w:t>
      </w:r>
      <w:r w:rsidRPr="00177203">
        <w:rPr>
          <w:sz w:val="24"/>
          <w:szCs w:val="24"/>
          <w:vertAlign w:val="subscript"/>
        </w:rPr>
        <w:t>2</w:t>
      </w:r>
      <w:r w:rsidRPr="00177203">
        <w:rPr>
          <w:sz w:val="24"/>
          <w:szCs w:val="24"/>
        </w:rPr>
        <w:t xml:space="preserve"> reduction. </w:t>
      </w:r>
      <w:r w:rsidRPr="00177203">
        <w:rPr>
          <w:i/>
          <w:sz w:val="24"/>
          <w:szCs w:val="24"/>
        </w:rPr>
        <w:t>Nat</w:t>
      </w:r>
      <w:r w:rsidR="00B002ED" w:rsidRPr="00177203">
        <w:rPr>
          <w:i/>
          <w:sz w:val="24"/>
          <w:szCs w:val="24"/>
        </w:rPr>
        <w:t>.</w:t>
      </w:r>
      <w:r w:rsidRPr="00177203">
        <w:rPr>
          <w:i/>
          <w:sz w:val="24"/>
          <w:szCs w:val="24"/>
        </w:rPr>
        <w:t xml:space="preserve"> Commun</w:t>
      </w:r>
      <w:r w:rsidR="00B002ED" w:rsidRPr="00177203">
        <w:rPr>
          <w:i/>
          <w:sz w:val="24"/>
          <w:szCs w:val="24"/>
        </w:rPr>
        <w:t>.</w:t>
      </w:r>
      <w:r w:rsidRPr="00177203">
        <w:rPr>
          <w:sz w:val="24"/>
          <w:szCs w:val="24"/>
        </w:rPr>
        <w:t xml:space="preserve"> </w:t>
      </w:r>
      <w:r w:rsidRPr="00177203">
        <w:rPr>
          <w:b/>
          <w:sz w:val="24"/>
          <w:szCs w:val="24"/>
        </w:rPr>
        <w:t>13</w:t>
      </w:r>
      <w:r w:rsidRPr="00177203">
        <w:rPr>
          <w:sz w:val="24"/>
          <w:szCs w:val="24"/>
        </w:rPr>
        <w:t>, 3694 (2022).</w:t>
      </w:r>
    </w:p>
    <w:p w14:paraId="653A323E" w14:textId="478507E2" w:rsidR="002D0DCC" w:rsidRPr="00177203" w:rsidRDefault="002D0DCC" w:rsidP="002D0DCC">
      <w:pPr>
        <w:pStyle w:val="EndNoteBibliography"/>
        <w:ind w:left="720" w:hanging="720"/>
        <w:rPr>
          <w:sz w:val="24"/>
          <w:szCs w:val="24"/>
        </w:rPr>
      </w:pPr>
      <w:r w:rsidRPr="00177203">
        <w:rPr>
          <w:sz w:val="24"/>
          <w:szCs w:val="24"/>
        </w:rPr>
        <w:t>65.</w:t>
      </w:r>
      <w:r w:rsidRPr="00177203">
        <w:rPr>
          <w:sz w:val="24"/>
          <w:szCs w:val="24"/>
        </w:rPr>
        <w:tab/>
        <w:t>Bae, S.</w:t>
      </w:r>
      <w:r w:rsidR="00B002ED" w:rsidRPr="00177203">
        <w:rPr>
          <w:sz w:val="24"/>
          <w:szCs w:val="24"/>
        </w:rPr>
        <w:t xml:space="preserve"> </w:t>
      </w:r>
      <w:r w:rsidRPr="00177203">
        <w:rPr>
          <w:sz w:val="24"/>
          <w:szCs w:val="24"/>
        </w:rPr>
        <w:t xml:space="preserve">E., Stewart, K. L. &amp; Gewirth, A. A. Nitrate </w:t>
      </w:r>
      <w:r w:rsidR="00B002ED" w:rsidRPr="00177203">
        <w:rPr>
          <w:sz w:val="24"/>
          <w:szCs w:val="24"/>
        </w:rPr>
        <w:t>adsorption and reduction on</w:t>
      </w:r>
      <w:r w:rsidRPr="00177203">
        <w:rPr>
          <w:sz w:val="24"/>
          <w:szCs w:val="24"/>
        </w:rPr>
        <w:t xml:space="preserve"> Cu(100) in </w:t>
      </w:r>
      <w:r w:rsidR="00B002ED" w:rsidRPr="00177203">
        <w:rPr>
          <w:sz w:val="24"/>
          <w:szCs w:val="24"/>
        </w:rPr>
        <w:t>acidic s</w:t>
      </w:r>
      <w:r w:rsidRPr="00177203">
        <w:rPr>
          <w:sz w:val="24"/>
          <w:szCs w:val="24"/>
        </w:rPr>
        <w:t xml:space="preserve">olution. </w:t>
      </w:r>
      <w:r w:rsidRPr="00177203">
        <w:rPr>
          <w:i/>
          <w:sz w:val="24"/>
          <w:szCs w:val="24"/>
        </w:rPr>
        <w:t xml:space="preserve">J. Am. Chem. Soc. </w:t>
      </w:r>
      <w:r w:rsidRPr="00177203">
        <w:rPr>
          <w:b/>
          <w:sz w:val="24"/>
          <w:szCs w:val="24"/>
        </w:rPr>
        <w:t>129</w:t>
      </w:r>
      <w:r w:rsidRPr="00177203">
        <w:rPr>
          <w:sz w:val="24"/>
          <w:szCs w:val="24"/>
        </w:rPr>
        <w:t>, 10171–10180 (2007).</w:t>
      </w:r>
    </w:p>
    <w:p w14:paraId="07FE2905" w14:textId="6ECED6AF" w:rsidR="002D0DCC" w:rsidRPr="00177203" w:rsidRDefault="002D0DCC" w:rsidP="002D0DCC">
      <w:pPr>
        <w:pStyle w:val="EndNoteBibliography"/>
        <w:ind w:left="720" w:hanging="720"/>
        <w:rPr>
          <w:sz w:val="24"/>
          <w:szCs w:val="24"/>
        </w:rPr>
      </w:pPr>
      <w:r w:rsidRPr="00177203">
        <w:rPr>
          <w:sz w:val="24"/>
          <w:szCs w:val="24"/>
        </w:rPr>
        <w:t>66.</w:t>
      </w:r>
      <w:r w:rsidRPr="00177203">
        <w:rPr>
          <w:sz w:val="24"/>
          <w:szCs w:val="24"/>
        </w:rPr>
        <w:tab/>
        <w:t>Chernyshova, I. V., Somasundaran, P. &amp; Ponnurangam, S. On the origin of the elusive first intermediate of CO</w:t>
      </w:r>
      <w:r w:rsidRPr="00177203">
        <w:rPr>
          <w:sz w:val="24"/>
          <w:szCs w:val="24"/>
          <w:vertAlign w:val="subscript"/>
        </w:rPr>
        <w:t>2</w:t>
      </w:r>
      <w:r w:rsidRPr="00177203">
        <w:rPr>
          <w:sz w:val="24"/>
          <w:szCs w:val="24"/>
        </w:rPr>
        <w:t xml:space="preserve"> electroreduction. </w:t>
      </w:r>
      <w:r w:rsidRPr="00177203">
        <w:rPr>
          <w:i/>
          <w:sz w:val="24"/>
          <w:szCs w:val="24"/>
        </w:rPr>
        <w:t>Proc</w:t>
      </w:r>
      <w:r w:rsidR="00B002ED" w:rsidRPr="00177203">
        <w:rPr>
          <w:i/>
          <w:sz w:val="24"/>
          <w:szCs w:val="24"/>
        </w:rPr>
        <w:t>.</w:t>
      </w:r>
      <w:r w:rsidRPr="00177203">
        <w:rPr>
          <w:i/>
          <w:sz w:val="24"/>
          <w:szCs w:val="24"/>
        </w:rPr>
        <w:t xml:space="preserve"> Natl</w:t>
      </w:r>
      <w:r w:rsidR="00B002ED" w:rsidRPr="00177203">
        <w:rPr>
          <w:i/>
          <w:sz w:val="24"/>
          <w:szCs w:val="24"/>
        </w:rPr>
        <w:t>.</w:t>
      </w:r>
      <w:r w:rsidRPr="00177203">
        <w:rPr>
          <w:i/>
          <w:sz w:val="24"/>
          <w:szCs w:val="24"/>
        </w:rPr>
        <w:t xml:space="preserve"> Acad</w:t>
      </w:r>
      <w:r w:rsidR="00B002ED" w:rsidRPr="00177203">
        <w:rPr>
          <w:i/>
          <w:sz w:val="24"/>
          <w:szCs w:val="24"/>
        </w:rPr>
        <w:t xml:space="preserve">. </w:t>
      </w:r>
      <w:r w:rsidRPr="00177203">
        <w:rPr>
          <w:i/>
          <w:sz w:val="24"/>
          <w:szCs w:val="24"/>
        </w:rPr>
        <w:t>Sci</w:t>
      </w:r>
      <w:r w:rsidR="00B002ED" w:rsidRPr="00177203">
        <w:rPr>
          <w:i/>
          <w:sz w:val="24"/>
          <w:szCs w:val="24"/>
        </w:rPr>
        <w:t>.</w:t>
      </w:r>
      <w:r w:rsidRPr="00177203">
        <w:rPr>
          <w:sz w:val="24"/>
          <w:szCs w:val="24"/>
        </w:rPr>
        <w:t xml:space="preserve"> </w:t>
      </w:r>
      <w:r w:rsidRPr="00177203">
        <w:rPr>
          <w:b/>
          <w:sz w:val="24"/>
          <w:szCs w:val="24"/>
        </w:rPr>
        <w:t>115</w:t>
      </w:r>
      <w:r w:rsidRPr="00177203">
        <w:rPr>
          <w:sz w:val="24"/>
          <w:szCs w:val="24"/>
        </w:rPr>
        <w:t>, E9261–E9270 (2018).</w:t>
      </w:r>
    </w:p>
    <w:p w14:paraId="7263E9F2" w14:textId="54448083" w:rsidR="002D0DCC" w:rsidRPr="00177203" w:rsidRDefault="002D0DCC" w:rsidP="002D0DCC">
      <w:pPr>
        <w:pStyle w:val="EndNoteBibliography"/>
        <w:ind w:left="720" w:hanging="720"/>
        <w:rPr>
          <w:sz w:val="24"/>
          <w:szCs w:val="24"/>
        </w:rPr>
      </w:pPr>
      <w:r w:rsidRPr="00177203">
        <w:rPr>
          <w:sz w:val="24"/>
          <w:szCs w:val="24"/>
        </w:rPr>
        <w:t>67.</w:t>
      </w:r>
      <w:r w:rsidRPr="00177203">
        <w:rPr>
          <w:sz w:val="24"/>
          <w:szCs w:val="24"/>
        </w:rPr>
        <w:tab/>
        <w:t>Zhao, C.</w:t>
      </w:r>
      <w:r w:rsidRPr="00177203">
        <w:rPr>
          <w:i/>
          <w:sz w:val="24"/>
          <w:szCs w:val="24"/>
        </w:rPr>
        <w:t xml:space="preserve"> et al.</w:t>
      </w:r>
      <w:r w:rsidRPr="00177203">
        <w:rPr>
          <w:sz w:val="24"/>
          <w:szCs w:val="24"/>
        </w:rPr>
        <w:t xml:space="preserve"> Tailoring </w:t>
      </w:r>
      <w:r w:rsidR="00B002ED" w:rsidRPr="00177203">
        <w:rPr>
          <w:sz w:val="24"/>
          <w:szCs w:val="24"/>
        </w:rPr>
        <w:t>activation inter</w:t>
      </w:r>
      <w:r w:rsidRPr="00177203">
        <w:rPr>
          <w:sz w:val="24"/>
          <w:szCs w:val="24"/>
        </w:rPr>
        <w:t>mediates of CO</w:t>
      </w:r>
      <w:r w:rsidRPr="00177203">
        <w:rPr>
          <w:sz w:val="24"/>
          <w:szCs w:val="24"/>
          <w:vertAlign w:val="subscript"/>
        </w:rPr>
        <w:t>2</w:t>
      </w:r>
      <w:r w:rsidRPr="00177203">
        <w:rPr>
          <w:sz w:val="24"/>
          <w:szCs w:val="24"/>
        </w:rPr>
        <w:t xml:space="preserve"> </w:t>
      </w:r>
      <w:r w:rsidR="00B002ED" w:rsidRPr="00177203">
        <w:rPr>
          <w:sz w:val="24"/>
          <w:szCs w:val="24"/>
        </w:rPr>
        <w:t>i</w:t>
      </w:r>
      <w:r w:rsidRPr="00177203">
        <w:rPr>
          <w:sz w:val="24"/>
          <w:szCs w:val="24"/>
        </w:rPr>
        <w:t xml:space="preserve">nitiates C–N </w:t>
      </w:r>
      <w:r w:rsidR="00B002ED" w:rsidRPr="00177203">
        <w:rPr>
          <w:sz w:val="24"/>
          <w:szCs w:val="24"/>
        </w:rPr>
        <w:t>coupling for highly selective urea electrosynthe</w:t>
      </w:r>
      <w:r w:rsidRPr="00177203">
        <w:rPr>
          <w:sz w:val="24"/>
          <w:szCs w:val="24"/>
        </w:rPr>
        <w:t xml:space="preserve">sis. </w:t>
      </w:r>
      <w:r w:rsidRPr="00177203">
        <w:rPr>
          <w:i/>
          <w:sz w:val="24"/>
          <w:szCs w:val="24"/>
        </w:rPr>
        <w:t xml:space="preserve">J. Am. Chem. Soc. </w:t>
      </w:r>
      <w:r w:rsidRPr="00177203">
        <w:rPr>
          <w:b/>
          <w:sz w:val="24"/>
          <w:szCs w:val="24"/>
        </w:rPr>
        <w:t>147</w:t>
      </w:r>
      <w:r w:rsidRPr="00177203">
        <w:rPr>
          <w:sz w:val="24"/>
          <w:szCs w:val="24"/>
        </w:rPr>
        <w:t>, 8871–8880 (2025).</w:t>
      </w:r>
    </w:p>
    <w:p w14:paraId="6DB9E387" w14:textId="13310B7F" w:rsidR="002D0DCC" w:rsidRPr="00177203" w:rsidRDefault="002D0DCC" w:rsidP="002D0DCC">
      <w:pPr>
        <w:pStyle w:val="EndNoteBibliography"/>
        <w:ind w:left="720" w:hanging="720"/>
        <w:rPr>
          <w:sz w:val="24"/>
          <w:szCs w:val="24"/>
        </w:rPr>
      </w:pPr>
      <w:r w:rsidRPr="00177203">
        <w:rPr>
          <w:sz w:val="24"/>
          <w:szCs w:val="24"/>
        </w:rPr>
        <w:t>68.</w:t>
      </w:r>
      <w:r w:rsidRPr="00177203">
        <w:rPr>
          <w:sz w:val="24"/>
          <w:szCs w:val="24"/>
        </w:rPr>
        <w:tab/>
        <w:t>Taraschewski, M., Cammenga, H. K., Tuckermann, R. &amp; Bauerecker, S. FTIR Study of CO</w:t>
      </w:r>
      <w:r w:rsidRPr="00177203">
        <w:rPr>
          <w:sz w:val="24"/>
          <w:szCs w:val="24"/>
          <w:vertAlign w:val="subscript"/>
        </w:rPr>
        <w:t>2</w:t>
      </w:r>
      <w:r w:rsidRPr="00177203">
        <w:rPr>
          <w:sz w:val="24"/>
          <w:szCs w:val="24"/>
        </w:rPr>
        <w:t xml:space="preserve"> and H</w:t>
      </w:r>
      <w:r w:rsidRPr="00177203">
        <w:rPr>
          <w:sz w:val="24"/>
          <w:szCs w:val="24"/>
          <w:vertAlign w:val="subscript"/>
        </w:rPr>
        <w:t>2</w:t>
      </w:r>
      <w:r w:rsidRPr="00177203">
        <w:rPr>
          <w:sz w:val="24"/>
          <w:szCs w:val="24"/>
        </w:rPr>
        <w:t>O/CO</w:t>
      </w:r>
      <w:r w:rsidRPr="00177203">
        <w:rPr>
          <w:sz w:val="24"/>
          <w:szCs w:val="24"/>
          <w:vertAlign w:val="subscript"/>
        </w:rPr>
        <w:t>2</w:t>
      </w:r>
      <w:r w:rsidRPr="00177203">
        <w:rPr>
          <w:sz w:val="24"/>
          <w:szCs w:val="24"/>
        </w:rPr>
        <w:t xml:space="preserve"> nanoparticles and their temporal evolution at 80 K. </w:t>
      </w:r>
      <w:r w:rsidRPr="00177203">
        <w:rPr>
          <w:i/>
          <w:sz w:val="24"/>
          <w:szCs w:val="24"/>
        </w:rPr>
        <w:t>J. Phys. Chem. A</w:t>
      </w:r>
      <w:r w:rsidRPr="00177203">
        <w:rPr>
          <w:sz w:val="24"/>
          <w:szCs w:val="24"/>
        </w:rPr>
        <w:t xml:space="preserve"> </w:t>
      </w:r>
      <w:r w:rsidRPr="00177203">
        <w:rPr>
          <w:b/>
          <w:sz w:val="24"/>
          <w:szCs w:val="24"/>
        </w:rPr>
        <w:t>109</w:t>
      </w:r>
      <w:r w:rsidRPr="00177203">
        <w:rPr>
          <w:sz w:val="24"/>
          <w:szCs w:val="24"/>
        </w:rPr>
        <w:t>, 3337–3343 (2005).</w:t>
      </w:r>
    </w:p>
    <w:p w14:paraId="533306E7" w14:textId="1E441642" w:rsidR="002D0DCC" w:rsidRPr="00177203" w:rsidRDefault="002D0DCC" w:rsidP="002D0DCC">
      <w:pPr>
        <w:pStyle w:val="EndNoteBibliography"/>
        <w:ind w:left="720" w:hanging="720"/>
        <w:rPr>
          <w:sz w:val="24"/>
          <w:szCs w:val="24"/>
        </w:rPr>
      </w:pPr>
      <w:r w:rsidRPr="00177203">
        <w:rPr>
          <w:sz w:val="24"/>
          <w:szCs w:val="24"/>
        </w:rPr>
        <w:t>69.</w:t>
      </w:r>
      <w:r w:rsidRPr="00177203">
        <w:rPr>
          <w:sz w:val="24"/>
          <w:szCs w:val="24"/>
        </w:rPr>
        <w:tab/>
        <w:t xml:space="preserve">Derreumaux, P. &amp; Vergoten, G. A new spectroscopic molecular mechanics force field. Parameters for proteins. </w:t>
      </w:r>
      <w:r w:rsidRPr="00177203">
        <w:rPr>
          <w:i/>
          <w:sz w:val="24"/>
          <w:szCs w:val="24"/>
        </w:rPr>
        <w:t>J</w:t>
      </w:r>
      <w:r w:rsidR="00B002ED" w:rsidRPr="00177203">
        <w:rPr>
          <w:i/>
          <w:sz w:val="24"/>
          <w:szCs w:val="24"/>
        </w:rPr>
        <w:t>.</w:t>
      </w:r>
      <w:r w:rsidRPr="00177203">
        <w:rPr>
          <w:i/>
          <w:sz w:val="24"/>
          <w:szCs w:val="24"/>
        </w:rPr>
        <w:t xml:space="preserve"> Chem</w:t>
      </w:r>
      <w:r w:rsidR="00B002ED" w:rsidRPr="00177203">
        <w:rPr>
          <w:i/>
          <w:sz w:val="24"/>
          <w:szCs w:val="24"/>
        </w:rPr>
        <w:t>.</w:t>
      </w:r>
      <w:r w:rsidRPr="00177203">
        <w:rPr>
          <w:i/>
          <w:sz w:val="24"/>
          <w:szCs w:val="24"/>
        </w:rPr>
        <w:t xml:space="preserve"> Phys</w:t>
      </w:r>
      <w:r w:rsidR="00B002ED" w:rsidRPr="00177203">
        <w:rPr>
          <w:i/>
          <w:sz w:val="24"/>
          <w:szCs w:val="24"/>
        </w:rPr>
        <w:t>.</w:t>
      </w:r>
      <w:r w:rsidRPr="00177203">
        <w:rPr>
          <w:sz w:val="24"/>
          <w:szCs w:val="24"/>
        </w:rPr>
        <w:t xml:space="preserve"> </w:t>
      </w:r>
      <w:r w:rsidRPr="00177203">
        <w:rPr>
          <w:b/>
          <w:sz w:val="24"/>
          <w:szCs w:val="24"/>
        </w:rPr>
        <w:t>102</w:t>
      </w:r>
      <w:r w:rsidRPr="00177203">
        <w:rPr>
          <w:sz w:val="24"/>
          <w:szCs w:val="24"/>
        </w:rPr>
        <w:t>, 8586–8605 (1995).</w:t>
      </w:r>
    </w:p>
    <w:p w14:paraId="0394E6DB" w14:textId="301EDAE3" w:rsidR="002D0DCC" w:rsidRPr="00177203" w:rsidRDefault="002D0DCC" w:rsidP="002D0DCC">
      <w:pPr>
        <w:pStyle w:val="EndNoteBibliography"/>
        <w:ind w:left="720" w:hanging="720"/>
        <w:rPr>
          <w:sz w:val="24"/>
          <w:szCs w:val="24"/>
        </w:rPr>
      </w:pPr>
      <w:r w:rsidRPr="00177203">
        <w:rPr>
          <w:sz w:val="24"/>
          <w:szCs w:val="24"/>
        </w:rPr>
        <w:t>70.</w:t>
      </w:r>
      <w:r w:rsidRPr="00177203">
        <w:rPr>
          <w:sz w:val="24"/>
          <w:szCs w:val="24"/>
        </w:rPr>
        <w:tab/>
        <w:t xml:space="preserve">Perdew, J. P., Burke, K. &amp; Ernzerhof, M. Generalized </w:t>
      </w:r>
      <w:r w:rsidR="00B002ED" w:rsidRPr="00177203">
        <w:rPr>
          <w:sz w:val="24"/>
          <w:szCs w:val="24"/>
        </w:rPr>
        <w:t>gradient approximation made simpl</w:t>
      </w:r>
      <w:r w:rsidRPr="00177203">
        <w:rPr>
          <w:sz w:val="24"/>
          <w:szCs w:val="24"/>
        </w:rPr>
        <w:t xml:space="preserve">e. </w:t>
      </w:r>
      <w:r w:rsidRPr="00177203">
        <w:rPr>
          <w:i/>
          <w:sz w:val="24"/>
          <w:szCs w:val="24"/>
        </w:rPr>
        <w:t>Phys</w:t>
      </w:r>
      <w:r w:rsidR="00B002ED" w:rsidRPr="00177203">
        <w:rPr>
          <w:i/>
          <w:sz w:val="24"/>
          <w:szCs w:val="24"/>
        </w:rPr>
        <w:t>.</w:t>
      </w:r>
      <w:r w:rsidRPr="00177203">
        <w:rPr>
          <w:i/>
          <w:sz w:val="24"/>
          <w:szCs w:val="24"/>
        </w:rPr>
        <w:t xml:space="preserve"> Rev</w:t>
      </w:r>
      <w:r w:rsidR="00B002ED" w:rsidRPr="00177203">
        <w:rPr>
          <w:i/>
          <w:sz w:val="24"/>
          <w:szCs w:val="24"/>
        </w:rPr>
        <w:t>.</w:t>
      </w:r>
      <w:r w:rsidRPr="00177203">
        <w:rPr>
          <w:i/>
          <w:sz w:val="24"/>
          <w:szCs w:val="24"/>
        </w:rPr>
        <w:t xml:space="preserve"> Lett</w:t>
      </w:r>
      <w:r w:rsidR="00B002ED" w:rsidRPr="00177203">
        <w:rPr>
          <w:i/>
          <w:sz w:val="24"/>
          <w:szCs w:val="24"/>
        </w:rPr>
        <w:t>.</w:t>
      </w:r>
      <w:r w:rsidRPr="00177203">
        <w:rPr>
          <w:sz w:val="24"/>
          <w:szCs w:val="24"/>
        </w:rPr>
        <w:t xml:space="preserve"> </w:t>
      </w:r>
      <w:r w:rsidRPr="00177203">
        <w:rPr>
          <w:b/>
          <w:sz w:val="24"/>
          <w:szCs w:val="24"/>
        </w:rPr>
        <w:t>77</w:t>
      </w:r>
      <w:r w:rsidRPr="00177203">
        <w:rPr>
          <w:sz w:val="24"/>
          <w:szCs w:val="24"/>
        </w:rPr>
        <w:t>, 3865–3868 (1996).</w:t>
      </w:r>
    </w:p>
    <w:p w14:paraId="4C15DE2F" w14:textId="63F272CF" w:rsidR="002D0DCC" w:rsidRPr="00177203" w:rsidRDefault="002D0DCC" w:rsidP="002D0DCC">
      <w:pPr>
        <w:pStyle w:val="EndNoteBibliography"/>
        <w:ind w:left="720" w:hanging="720"/>
        <w:rPr>
          <w:sz w:val="24"/>
          <w:szCs w:val="24"/>
        </w:rPr>
      </w:pPr>
      <w:r w:rsidRPr="00177203">
        <w:rPr>
          <w:sz w:val="24"/>
          <w:szCs w:val="24"/>
        </w:rPr>
        <w:t>71.</w:t>
      </w:r>
      <w:r w:rsidRPr="00177203">
        <w:rPr>
          <w:sz w:val="24"/>
          <w:szCs w:val="24"/>
        </w:rPr>
        <w:tab/>
        <w:t>Feng, D.</w:t>
      </w:r>
      <w:r w:rsidRPr="00177203">
        <w:rPr>
          <w:i/>
          <w:sz w:val="24"/>
          <w:szCs w:val="24"/>
        </w:rPr>
        <w:t xml:space="preserve"> et al.</w:t>
      </w:r>
      <w:r w:rsidRPr="00177203">
        <w:rPr>
          <w:sz w:val="24"/>
          <w:szCs w:val="24"/>
        </w:rPr>
        <w:t xml:space="preserve"> Ni–Fe dual</w:t>
      </w:r>
      <w:r w:rsidR="00B002ED" w:rsidRPr="00177203">
        <w:rPr>
          <w:sz w:val="24"/>
          <w:szCs w:val="24"/>
        </w:rPr>
        <w:t>-</w:t>
      </w:r>
      <w:r w:rsidRPr="00177203">
        <w:rPr>
          <w:sz w:val="24"/>
          <w:szCs w:val="24"/>
        </w:rPr>
        <w:t>site polymer catalyst for high performance and stable electrochemical urea synthesis from CO</w:t>
      </w:r>
      <w:r w:rsidRPr="00177203">
        <w:rPr>
          <w:sz w:val="24"/>
          <w:szCs w:val="24"/>
          <w:vertAlign w:val="subscript"/>
        </w:rPr>
        <w:t xml:space="preserve">2 </w:t>
      </w:r>
      <w:r w:rsidRPr="00177203">
        <w:rPr>
          <w:sz w:val="24"/>
          <w:szCs w:val="24"/>
        </w:rPr>
        <w:t>and NO</w:t>
      </w:r>
      <w:r w:rsidRPr="00177203">
        <w:rPr>
          <w:sz w:val="24"/>
          <w:szCs w:val="24"/>
          <w:vertAlign w:val="subscript"/>
        </w:rPr>
        <w:t>3</w:t>
      </w:r>
      <w:r w:rsidRPr="00177203">
        <w:rPr>
          <w:sz w:val="24"/>
          <w:szCs w:val="24"/>
          <w:vertAlign w:val="superscript"/>
        </w:rPr>
        <w:t>−</w:t>
      </w:r>
      <w:r w:rsidRPr="00177203">
        <w:rPr>
          <w:sz w:val="24"/>
          <w:szCs w:val="24"/>
        </w:rPr>
        <w:t xml:space="preserve">. </w:t>
      </w:r>
      <w:r w:rsidRPr="00177203">
        <w:rPr>
          <w:i/>
          <w:sz w:val="24"/>
          <w:szCs w:val="24"/>
        </w:rPr>
        <w:t>ChemSusChem</w:t>
      </w:r>
      <w:r w:rsidRPr="00177203">
        <w:rPr>
          <w:sz w:val="24"/>
          <w:szCs w:val="24"/>
        </w:rPr>
        <w:t xml:space="preserve"> </w:t>
      </w:r>
      <w:r w:rsidRPr="00177203">
        <w:rPr>
          <w:b/>
          <w:sz w:val="24"/>
          <w:szCs w:val="24"/>
        </w:rPr>
        <w:t>19</w:t>
      </w:r>
      <w:r w:rsidRPr="00177203">
        <w:rPr>
          <w:sz w:val="24"/>
          <w:szCs w:val="24"/>
        </w:rPr>
        <w:t>, e202502676 (2026).</w:t>
      </w:r>
    </w:p>
    <w:p w14:paraId="09175B13" w14:textId="7AE0B60C" w:rsidR="00680BE7" w:rsidRPr="00177203" w:rsidRDefault="002D0DCC" w:rsidP="0037457E">
      <w:pPr>
        <w:pStyle w:val="EndNoteBibliography"/>
        <w:ind w:left="720" w:hanging="720"/>
        <w:rPr>
          <w:rFonts w:eastAsia="宋体"/>
          <w:b/>
          <w:bCs/>
          <w:color w:val="000000" w:themeColor="text1"/>
          <w:sz w:val="24"/>
          <w:szCs w:val="24"/>
        </w:rPr>
      </w:pPr>
      <w:r w:rsidRPr="00177203">
        <w:rPr>
          <w:sz w:val="24"/>
          <w:szCs w:val="24"/>
        </w:rPr>
        <w:t>72.</w:t>
      </w:r>
      <w:r w:rsidRPr="00177203">
        <w:rPr>
          <w:sz w:val="24"/>
          <w:szCs w:val="24"/>
        </w:rPr>
        <w:tab/>
        <w:t>Guan, Y.</w:t>
      </w:r>
      <w:r w:rsidRPr="00177203">
        <w:rPr>
          <w:i/>
          <w:sz w:val="24"/>
          <w:szCs w:val="24"/>
        </w:rPr>
        <w:t xml:space="preserve"> et al.</w:t>
      </w:r>
      <w:r w:rsidRPr="00177203">
        <w:rPr>
          <w:sz w:val="24"/>
          <w:szCs w:val="24"/>
        </w:rPr>
        <w:t xml:space="preserve"> Enhancing the yield of electrocatalytic C–N coupling for urea synthesis: challenges, strategies, and prospects. </w:t>
      </w:r>
      <w:r w:rsidRPr="00177203">
        <w:rPr>
          <w:i/>
          <w:sz w:val="24"/>
          <w:szCs w:val="24"/>
        </w:rPr>
        <w:t>Green Chem.</w:t>
      </w:r>
      <w:r w:rsidRPr="00177203">
        <w:rPr>
          <w:sz w:val="24"/>
          <w:szCs w:val="24"/>
        </w:rPr>
        <w:t xml:space="preserve"> </w:t>
      </w:r>
      <w:r w:rsidRPr="00177203">
        <w:rPr>
          <w:b/>
          <w:sz w:val="24"/>
          <w:szCs w:val="24"/>
        </w:rPr>
        <w:t>28</w:t>
      </w:r>
      <w:r w:rsidRPr="00177203">
        <w:rPr>
          <w:sz w:val="24"/>
          <w:szCs w:val="24"/>
        </w:rPr>
        <w:t>, 783–812 (2026).</w:t>
      </w:r>
    </w:p>
    <w:sectPr w:rsidR="00680BE7" w:rsidRPr="00177203" w:rsidSect="00F65C78">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9980E" w14:textId="77777777" w:rsidR="00FD10B0" w:rsidRDefault="00FD10B0" w:rsidP="00C62D99">
      <w:r>
        <w:separator/>
      </w:r>
    </w:p>
  </w:endnote>
  <w:endnote w:type="continuationSeparator" w:id="0">
    <w:p w14:paraId="73572090" w14:textId="77777777" w:rsidR="00FD10B0" w:rsidRDefault="00FD10B0" w:rsidP="00C62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2694567"/>
      <w:docPartObj>
        <w:docPartGallery w:val="Page Numbers (Bottom of Page)"/>
        <w:docPartUnique/>
      </w:docPartObj>
    </w:sdtPr>
    <w:sdtContent>
      <w:p w14:paraId="59DC3E52" w14:textId="5AB629AE" w:rsidR="00523DF0" w:rsidRDefault="00523DF0">
        <w:pPr>
          <w:pStyle w:val="a5"/>
          <w:jc w:val="center"/>
        </w:pPr>
        <w:r>
          <w:fldChar w:fldCharType="begin"/>
        </w:r>
        <w:r>
          <w:instrText>PAGE   \* MERGEFORMAT</w:instrText>
        </w:r>
        <w:r>
          <w:fldChar w:fldCharType="separate"/>
        </w:r>
        <w:r>
          <w:rPr>
            <w:lang w:val="zh-CN"/>
          </w:rPr>
          <w:t>2</w:t>
        </w:r>
        <w:r>
          <w:fldChar w:fldCharType="end"/>
        </w:r>
      </w:p>
    </w:sdtContent>
  </w:sdt>
  <w:p w14:paraId="056ED368" w14:textId="77777777" w:rsidR="00523DF0" w:rsidRDefault="00523DF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41427" w14:textId="77777777" w:rsidR="00FD10B0" w:rsidRDefault="00FD10B0" w:rsidP="00C62D99">
      <w:r>
        <w:separator/>
      </w:r>
    </w:p>
  </w:footnote>
  <w:footnote w:type="continuationSeparator" w:id="0">
    <w:p w14:paraId="65EAA8FF" w14:textId="77777777" w:rsidR="00FD10B0" w:rsidRDefault="00FD10B0" w:rsidP="00C62D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4620B4"/>
    <w:multiLevelType w:val="multilevel"/>
    <w:tmpl w:val="7CDA5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592623"/>
    <w:multiLevelType w:val="multilevel"/>
    <w:tmpl w:val="ACFCB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86218E2"/>
    <w:multiLevelType w:val="multilevel"/>
    <w:tmpl w:val="7D464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B25CFF"/>
    <w:multiLevelType w:val="multilevel"/>
    <w:tmpl w:val="E32472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CB6007"/>
    <w:multiLevelType w:val="multilevel"/>
    <w:tmpl w:val="5B32F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5BC4FEB"/>
    <w:multiLevelType w:val="multilevel"/>
    <w:tmpl w:val="3EF21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CD76DE"/>
    <w:multiLevelType w:val="multilevel"/>
    <w:tmpl w:val="D36ED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4307E4C"/>
    <w:multiLevelType w:val="multilevel"/>
    <w:tmpl w:val="DB04D3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A21B43"/>
    <w:multiLevelType w:val="multilevel"/>
    <w:tmpl w:val="4498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9E510C2"/>
    <w:multiLevelType w:val="multilevel"/>
    <w:tmpl w:val="47D41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B891A03"/>
    <w:multiLevelType w:val="multilevel"/>
    <w:tmpl w:val="3FB0A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0697797">
    <w:abstractNumId w:val="0"/>
  </w:num>
  <w:num w:numId="2" w16cid:durableId="1424379083">
    <w:abstractNumId w:val="9"/>
  </w:num>
  <w:num w:numId="3" w16cid:durableId="1145321717">
    <w:abstractNumId w:val="6"/>
  </w:num>
  <w:num w:numId="4" w16cid:durableId="2139489588">
    <w:abstractNumId w:val="10"/>
  </w:num>
  <w:num w:numId="5" w16cid:durableId="2057122519">
    <w:abstractNumId w:val="4"/>
  </w:num>
  <w:num w:numId="6" w16cid:durableId="241571736">
    <w:abstractNumId w:val="1"/>
  </w:num>
  <w:num w:numId="7" w16cid:durableId="600719289">
    <w:abstractNumId w:val="2"/>
  </w:num>
  <w:num w:numId="8" w16cid:durableId="20668440">
    <w:abstractNumId w:val="3"/>
  </w:num>
  <w:num w:numId="9" w16cid:durableId="1845120916">
    <w:abstractNumId w:val="7"/>
  </w:num>
  <w:num w:numId="10" w16cid:durableId="810826771">
    <w:abstractNumId w:val="8"/>
  </w:num>
  <w:num w:numId="11" w16cid:durableId="212036848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Copy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rfrpwx0twtvxhe9prcp0rscr92pdarzw2r2&quot;&gt;Main Database-Converted2&lt;record-ids&gt;&lt;item&gt;58836&lt;/item&gt;&lt;item&gt;59033&lt;/item&gt;&lt;item&gt;59053&lt;/item&gt;&lt;item&gt;59055&lt;/item&gt;&lt;item&gt;59056&lt;/item&gt;&lt;item&gt;59061&lt;/item&gt;&lt;item&gt;59068&lt;/item&gt;&lt;item&gt;59069&lt;/item&gt;&lt;item&gt;59072&lt;/item&gt;&lt;item&gt;59073&lt;/item&gt;&lt;item&gt;59074&lt;/item&gt;&lt;item&gt;59075&lt;/item&gt;&lt;item&gt;59076&lt;/item&gt;&lt;item&gt;59077&lt;/item&gt;&lt;item&gt;59078&lt;/item&gt;&lt;item&gt;59079&lt;/item&gt;&lt;item&gt;59080&lt;/item&gt;&lt;item&gt;59081&lt;/item&gt;&lt;item&gt;59082&lt;/item&gt;&lt;item&gt;59083&lt;/item&gt;&lt;item&gt;59084&lt;/item&gt;&lt;item&gt;59085&lt;/item&gt;&lt;item&gt;59086&lt;/item&gt;&lt;item&gt;59087&lt;/item&gt;&lt;item&gt;59088&lt;/item&gt;&lt;item&gt;59089&lt;/item&gt;&lt;item&gt;59090&lt;/item&gt;&lt;item&gt;59091&lt;/item&gt;&lt;item&gt;59092&lt;/item&gt;&lt;item&gt;59093&lt;/item&gt;&lt;item&gt;59094&lt;/item&gt;&lt;item&gt;59095&lt;/item&gt;&lt;item&gt;59096&lt;/item&gt;&lt;item&gt;59097&lt;/item&gt;&lt;item&gt;59098&lt;/item&gt;&lt;item&gt;59099&lt;/item&gt;&lt;item&gt;59100&lt;/item&gt;&lt;item&gt;59101&lt;/item&gt;&lt;item&gt;59102&lt;/item&gt;&lt;item&gt;59103&lt;/item&gt;&lt;item&gt;59104&lt;/item&gt;&lt;item&gt;59105&lt;/item&gt;&lt;item&gt;59106&lt;/item&gt;&lt;item&gt;59107&lt;/item&gt;&lt;item&gt;59108&lt;/item&gt;&lt;item&gt;59109&lt;/item&gt;&lt;item&gt;59110&lt;/item&gt;&lt;item&gt;59111&lt;/item&gt;&lt;item&gt;59112&lt;/item&gt;&lt;item&gt;59113&lt;/item&gt;&lt;item&gt;59114&lt;/item&gt;&lt;item&gt;59120&lt;/item&gt;&lt;/record-ids&gt;&lt;/item&gt;&lt;/Libraries&gt;"/>
  </w:docVars>
  <w:rsids>
    <w:rsidRoot w:val="003433EB"/>
    <w:rsid w:val="00003A97"/>
    <w:rsid w:val="00004A85"/>
    <w:rsid w:val="0000544A"/>
    <w:rsid w:val="000067E3"/>
    <w:rsid w:val="00012B27"/>
    <w:rsid w:val="00013C62"/>
    <w:rsid w:val="000216C3"/>
    <w:rsid w:val="00022119"/>
    <w:rsid w:val="00022624"/>
    <w:rsid w:val="00033022"/>
    <w:rsid w:val="0003318A"/>
    <w:rsid w:val="000442BC"/>
    <w:rsid w:val="00050AB7"/>
    <w:rsid w:val="00052306"/>
    <w:rsid w:val="00053D4B"/>
    <w:rsid w:val="00057AC7"/>
    <w:rsid w:val="00064B12"/>
    <w:rsid w:val="00065CD8"/>
    <w:rsid w:val="00066C44"/>
    <w:rsid w:val="0006726B"/>
    <w:rsid w:val="00077417"/>
    <w:rsid w:val="00081081"/>
    <w:rsid w:val="0008152B"/>
    <w:rsid w:val="00086976"/>
    <w:rsid w:val="00092E53"/>
    <w:rsid w:val="00094BCA"/>
    <w:rsid w:val="000A2B4F"/>
    <w:rsid w:val="000A489B"/>
    <w:rsid w:val="000A7CF1"/>
    <w:rsid w:val="000B36EB"/>
    <w:rsid w:val="000B4EFA"/>
    <w:rsid w:val="000C0753"/>
    <w:rsid w:val="000C13ED"/>
    <w:rsid w:val="000C2C29"/>
    <w:rsid w:val="000C65B5"/>
    <w:rsid w:val="000D21AE"/>
    <w:rsid w:val="000D258C"/>
    <w:rsid w:val="000D7DE5"/>
    <w:rsid w:val="000E2657"/>
    <w:rsid w:val="000E342C"/>
    <w:rsid w:val="000E4CBA"/>
    <w:rsid w:val="000E5479"/>
    <w:rsid w:val="000F1DB0"/>
    <w:rsid w:val="000F5483"/>
    <w:rsid w:val="000F576B"/>
    <w:rsid w:val="000F5B40"/>
    <w:rsid w:val="000F7634"/>
    <w:rsid w:val="00104CFD"/>
    <w:rsid w:val="00110443"/>
    <w:rsid w:val="00112E57"/>
    <w:rsid w:val="001226BF"/>
    <w:rsid w:val="001251A1"/>
    <w:rsid w:val="00126636"/>
    <w:rsid w:val="001322A3"/>
    <w:rsid w:val="00134F97"/>
    <w:rsid w:val="00135D34"/>
    <w:rsid w:val="00140B3F"/>
    <w:rsid w:val="00140D40"/>
    <w:rsid w:val="001419DB"/>
    <w:rsid w:val="00151FF9"/>
    <w:rsid w:val="001542F3"/>
    <w:rsid w:val="00154E7F"/>
    <w:rsid w:val="00160830"/>
    <w:rsid w:val="00160F61"/>
    <w:rsid w:val="00162483"/>
    <w:rsid w:val="00163B93"/>
    <w:rsid w:val="00164EAC"/>
    <w:rsid w:val="00172BB4"/>
    <w:rsid w:val="00173E02"/>
    <w:rsid w:val="00177203"/>
    <w:rsid w:val="00180CE1"/>
    <w:rsid w:val="0018377E"/>
    <w:rsid w:val="001915A5"/>
    <w:rsid w:val="00191A6E"/>
    <w:rsid w:val="001924C8"/>
    <w:rsid w:val="001A58CD"/>
    <w:rsid w:val="001A61DD"/>
    <w:rsid w:val="001B1BD0"/>
    <w:rsid w:val="001B5BC2"/>
    <w:rsid w:val="001C13DF"/>
    <w:rsid w:val="001C4D82"/>
    <w:rsid w:val="001C54D3"/>
    <w:rsid w:val="001C644E"/>
    <w:rsid w:val="001D1748"/>
    <w:rsid w:val="001D29F8"/>
    <w:rsid w:val="001D3F50"/>
    <w:rsid w:val="001F0574"/>
    <w:rsid w:val="001F23F0"/>
    <w:rsid w:val="001F3B13"/>
    <w:rsid w:val="001F3EF8"/>
    <w:rsid w:val="00202FA9"/>
    <w:rsid w:val="00212454"/>
    <w:rsid w:val="00215F09"/>
    <w:rsid w:val="00220437"/>
    <w:rsid w:val="0022651A"/>
    <w:rsid w:val="00227209"/>
    <w:rsid w:val="0023532A"/>
    <w:rsid w:val="002355D6"/>
    <w:rsid w:val="00237D9E"/>
    <w:rsid w:val="00246653"/>
    <w:rsid w:val="002542F6"/>
    <w:rsid w:val="002568D0"/>
    <w:rsid w:val="00257E47"/>
    <w:rsid w:val="00261DAE"/>
    <w:rsid w:val="00266440"/>
    <w:rsid w:val="00271AEA"/>
    <w:rsid w:val="00272AF6"/>
    <w:rsid w:val="002811EA"/>
    <w:rsid w:val="002839D8"/>
    <w:rsid w:val="002915D8"/>
    <w:rsid w:val="002954F8"/>
    <w:rsid w:val="0029592D"/>
    <w:rsid w:val="002959BD"/>
    <w:rsid w:val="002964BC"/>
    <w:rsid w:val="00297FFC"/>
    <w:rsid w:val="002A080E"/>
    <w:rsid w:val="002A0988"/>
    <w:rsid w:val="002A0AAD"/>
    <w:rsid w:val="002D0DCC"/>
    <w:rsid w:val="002D0E17"/>
    <w:rsid w:val="002D60F1"/>
    <w:rsid w:val="002D6CF5"/>
    <w:rsid w:val="002D7778"/>
    <w:rsid w:val="002E1F6C"/>
    <w:rsid w:val="002E6405"/>
    <w:rsid w:val="002F0DD8"/>
    <w:rsid w:val="002F16A2"/>
    <w:rsid w:val="002F3F85"/>
    <w:rsid w:val="002F463E"/>
    <w:rsid w:val="002F7347"/>
    <w:rsid w:val="003023C3"/>
    <w:rsid w:val="003049AD"/>
    <w:rsid w:val="00306188"/>
    <w:rsid w:val="00310A45"/>
    <w:rsid w:val="00311CDF"/>
    <w:rsid w:val="00311F84"/>
    <w:rsid w:val="003124EC"/>
    <w:rsid w:val="00314381"/>
    <w:rsid w:val="00315870"/>
    <w:rsid w:val="00323AB2"/>
    <w:rsid w:val="0032505F"/>
    <w:rsid w:val="00325B11"/>
    <w:rsid w:val="00326674"/>
    <w:rsid w:val="00342845"/>
    <w:rsid w:val="003433EB"/>
    <w:rsid w:val="003434F7"/>
    <w:rsid w:val="00345837"/>
    <w:rsid w:val="00350181"/>
    <w:rsid w:val="003502A9"/>
    <w:rsid w:val="003556AA"/>
    <w:rsid w:val="00357D66"/>
    <w:rsid w:val="00357E0A"/>
    <w:rsid w:val="00357EB4"/>
    <w:rsid w:val="00365877"/>
    <w:rsid w:val="0037457E"/>
    <w:rsid w:val="003830EF"/>
    <w:rsid w:val="00383415"/>
    <w:rsid w:val="00384737"/>
    <w:rsid w:val="00387AB0"/>
    <w:rsid w:val="00396DDF"/>
    <w:rsid w:val="003A0520"/>
    <w:rsid w:val="003A0698"/>
    <w:rsid w:val="003A4303"/>
    <w:rsid w:val="003A5A34"/>
    <w:rsid w:val="003A6828"/>
    <w:rsid w:val="003B153C"/>
    <w:rsid w:val="003B5ECE"/>
    <w:rsid w:val="003C0293"/>
    <w:rsid w:val="003C10A1"/>
    <w:rsid w:val="003C208B"/>
    <w:rsid w:val="003C26E3"/>
    <w:rsid w:val="003D2E31"/>
    <w:rsid w:val="003D3FCB"/>
    <w:rsid w:val="003E0899"/>
    <w:rsid w:val="003E251D"/>
    <w:rsid w:val="003E43AD"/>
    <w:rsid w:val="003E4DDB"/>
    <w:rsid w:val="003E7384"/>
    <w:rsid w:val="003F1541"/>
    <w:rsid w:val="003F3915"/>
    <w:rsid w:val="003F4C31"/>
    <w:rsid w:val="003F5E54"/>
    <w:rsid w:val="003F613F"/>
    <w:rsid w:val="00400461"/>
    <w:rsid w:val="00400916"/>
    <w:rsid w:val="004026C5"/>
    <w:rsid w:val="0040352C"/>
    <w:rsid w:val="00404B4D"/>
    <w:rsid w:val="0040709C"/>
    <w:rsid w:val="00412B83"/>
    <w:rsid w:val="00413852"/>
    <w:rsid w:val="004232B7"/>
    <w:rsid w:val="004243D1"/>
    <w:rsid w:val="00425F21"/>
    <w:rsid w:val="00433D2C"/>
    <w:rsid w:val="0043486C"/>
    <w:rsid w:val="00440ECA"/>
    <w:rsid w:val="0044418E"/>
    <w:rsid w:val="00454128"/>
    <w:rsid w:val="00455342"/>
    <w:rsid w:val="0045697E"/>
    <w:rsid w:val="0045723A"/>
    <w:rsid w:val="00464938"/>
    <w:rsid w:val="004710BE"/>
    <w:rsid w:val="00471C7A"/>
    <w:rsid w:val="00472369"/>
    <w:rsid w:val="00475AC8"/>
    <w:rsid w:val="00475F3F"/>
    <w:rsid w:val="00476291"/>
    <w:rsid w:val="00480316"/>
    <w:rsid w:val="00481F0F"/>
    <w:rsid w:val="00482CFA"/>
    <w:rsid w:val="00482F25"/>
    <w:rsid w:val="00483944"/>
    <w:rsid w:val="00487E23"/>
    <w:rsid w:val="00497BCA"/>
    <w:rsid w:val="004C5C51"/>
    <w:rsid w:val="004C71A0"/>
    <w:rsid w:val="004D2F2F"/>
    <w:rsid w:val="004D306B"/>
    <w:rsid w:val="004D3440"/>
    <w:rsid w:val="004D6DC3"/>
    <w:rsid w:val="004D73D1"/>
    <w:rsid w:val="004D76F6"/>
    <w:rsid w:val="004E17B8"/>
    <w:rsid w:val="004E3662"/>
    <w:rsid w:val="004F0C04"/>
    <w:rsid w:val="004F18B2"/>
    <w:rsid w:val="004F26AD"/>
    <w:rsid w:val="004F4571"/>
    <w:rsid w:val="0050308D"/>
    <w:rsid w:val="00503A07"/>
    <w:rsid w:val="0050645D"/>
    <w:rsid w:val="00506EB7"/>
    <w:rsid w:val="00514A24"/>
    <w:rsid w:val="005225F8"/>
    <w:rsid w:val="00523DF0"/>
    <w:rsid w:val="00524A32"/>
    <w:rsid w:val="0052524D"/>
    <w:rsid w:val="00533BD9"/>
    <w:rsid w:val="00534D12"/>
    <w:rsid w:val="005424C8"/>
    <w:rsid w:val="005438CC"/>
    <w:rsid w:val="0054408F"/>
    <w:rsid w:val="00546DB5"/>
    <w:rsid w:val="005472FE"/>
    <w:rsid w:val="00550783"/>
    <w:rsid w:val="00564584"/>
    <w:rsid w:val="005705E0"/>
    <w:rsid w:val="00580616"/>
    <w:rsid w:val="005B35A7"/>
    <w:rsid w:val="005C38DE"/>
    <w:rsid w:val="005C3BCD"/>
    <w:rsid w:val="005C7CA2"/>
    <w:rsid w:val="005E2B65"/>
    <w:rsid w:val="005E5850"/>
    <w:rsid w:val="005E5950"/>
    <w:rsid w:val="005F35E0"/>
    <w:rsid w:val="005F6644"/>
    <w:rsid w:val="00600340"/>
    <w:rsid w:val="00600701"/>
    <w:rsid w:val="00602496"/>
    <w:rsid w:val="006025E2"/>
    <w:rsid w:val="0060645C"/>
    <w:rsid w:val="00611578"/>
    <w:rsid w:val="00613540"/>
    <w:rsid w:val="00617C69"/>
    <w:rsid w:val="00620C58"/>
    <w:rsid w:val="006267D3"/>
    <w:rsid w:val="00631635"/>
    <w:rsid w:val="00632830"/>
    <w:rsid w:val="0064267F"/>
    <w:rsid w:val="00643080"/>
    <w:rsid w:val="006469F1"/>
    <w:rsid w:val="00652852"/>
    <w:rsid w:val="00670924"/>
    <w:rsid w:val="006738C3"/>
    <w:rsid w:val="00677D1E"/>
    <w:rsid w:val="006805F9"/>
    <w:rsid w:val="00680BE7"/>
    <w:rsid w:val="0068145E"/>
    <w:rsid w:val="00682117"/>
    <w:rsid w:val="00683EA9"/>
    <w:rsid w:val="00685FC8"/>
    <w:rsid w:val="006B3182"/>
    <w:rsid w:val="006B6839"/>
    <w:rsid w:val="006C05C2"/>
    <w:rsid w:val="006C0C34"/>
    <w:rsid w:val="006C0CD2"/>
    <w:rsid w:val="006C3033"/>
    <w:rsid w:val="006C374A"/>
    <w:rsid w:val="006C514A"/>
    <w:rsid w:val="006C630D"/>
    <w:rsid w:val="006D077E"/>
    <w:rsid w:val="006D4FED"/>
    <w:rsid w:val="006E03C8"/>
    <w:rsid w:val="006E21C0"/>
    <w:rsid w:val="006E71F1"/>
    <w:rsid w:val="006F28BB"/>
    <w:rsid w:val="006F3A1B"/>
    <w:rsid w:val="006F6E9C"/>
    <w:rsid w:val="006F6EB2"/>
    <w:rsid w:val="00706368"/>
    <w:rsid w:val="00706A2E"/>
    <w:rsid w:val="00706E93"/>
    <w:rsid w:val="00707DF2"/>
    <w:rsid w:val="00710566"/>
    <w:rsid w:val="00713C38"/>
    <w:rsid w:val="007155B7"/>
    <w:rsid w:val="00715EE2"/>
    <w:rsid w:val="007176AB"/>
    <w:rsid w:val="007207B3"/>
    <w:rsid w:val="0072432E"/>
    <w:rsid w:val="00731139"/>
    <w:rsid w:val="0073535D"/>
    <w:rsid w:val="007355DF"/>
    <w:rsid w:val="007367D1"/>
    <w:rsid w:val="00737849"/>
    <w:rsid w:val="0074401D"/>
    <w:rsid w:val="007547AE"/>
    <w:rsid w:val="007547C2"/>
    <w:rsid w:val="00755A71"/>
    <w:rsid w:val="00760695"/>
    <w:rsid w:val="00765C8E"/>
    <w:rsid w:val="0076686D"/>
    <w:rsid w:val="007713A5"/>
    <w:rsid w:val="00772550"/>
    <w:rsid w:val="00782929"/>
    <w:rsid w:val="007832E8"/>
    <w:rsid w:val="00783394"/>
    <w:rsid w:val="00795C11"/>
    <w:rsid w:val="007A1A2F"/>
    <w:rsid w:val="007A4F7C"/>
    <w:rsid w:val="007A5670"/>
    <w:rsid w:val="007A7D94"/>
    <w:rsid w:val="007B49C4"/>
    <w:rsid w:val="007B7C4D"/>
    <w:rsid w:val="007C3F98"/>
    <w:rsid w:val="007C4BDF"/>
    <w:rsid w:val="007C6373"/>
    <w:rsid w:val="007D0B0B"/>
    <w:rsid w:val="007E0658"/>
    <w:rsid w:val="007F23E7"/>
    <w:rsid w:val="007F2A9F"/>
    <w:rsid w:val="007F565F"/>
    <w:rsid w:val="007F5A09"/>
    <w:rsid w:val="008027F1"/>
    <w:rsid w:val="008031C4"/>
    <w:rsid w:val="00803C4E"/>
    <w:rsid w:val="0081141B"/>
    <w:rsid w:val="00821228"/>
    <w:rsid w:val="008214CC"/>
    <w:rsid w:val="00822817"/>
    <w:rsid w:val="00827490"/>
    <w:rsid w:val="0084237F"/>
    <w:rsid w:val="00843313"/>
    <w:rsid w:val="00845641"/>
    <w:rsid w:val="0085320F"/>
    <w:rsid w:val="00856231"/>
    <w:rsid w:val="008572D5"/>
    <w:rsid w:val="0086470C"/>
    <w:rsid w:val="00872CDC"/>
    <w:rsid w:val="00883B50"/>
    <w:rsid w:val="008850C9"/>
    <w:rsid w:val="00886784"/>
    <w:rsid w:val="008A2572"/>
    <w:rsid w:val="008B38B6"/>
    <w:rsid w:val="008B7404"/>
    <w:rsid w:val="008C425F"/>
    <w:rsid w:val="008C5D77"/>
    <w:rsid w:val="008C6B17"/>
    <w:rsid w:val="008D7C87"/>
    <w:rsid w:val="008E04C2"/>
    <w:rsid w:val="008E0B64"/>
    <w:rsid w:val="008E1946"/>
    <w:rsid w:val="008E5ECC"/>
    <w:rsid w:val="008F4B26"/>
    <w:rsid w:val="00900A0F"/>
    <w:rsid w:val="0090370B"/>
    <w:rsid w:val="00906508"/>
    <w:rsid w:val="00906DD2"/>
    <w:rsid w:val="009070FE"/>
    <w:rsid w:val="009112D1"/>
    <w:rsid w:val="00913D16"/>
    <w:rsid w:val="00914F73"/>
    <w:rsid w:val="00920185"/>
    <w:rsid w:val="009274C3"/>
    <w:rsid w:val="00927962"/>
    <w:rsid w:val="009342B6"/>
    <w:rsid w:val="00937AD7"/>
    <w:rsid w:val="00937EB6"/>
    <w:rsid w:val="0094078F"/>
    <w:rsid w:val="0094125A"/>
    <w:rsid w:val="00943B47"/>
    <w:rsid w:val="00945325"/>
    <w:rsid w:val="009479CA"/>
    <w:rsid w:val="00952015"/>
    <w:rsid w:val="00954CDC"/>
    <w:rsid w:val="009576ED"/>
    <w:rsid w:val="00974059"/>
    <w:rsid w:val="0097520B"/>
    <w:rsid w:val="00987791"/>
    <w:rsid w:val="00992EF2"/>
    <w:rsid w:val="00996452"/>
    <w:rsid w:val="009A1355"/>
    <w:rsid w:val="009A49EE"/>
    <w:rsid w:val="009A736B"/>
    <w:rsid w:val="009B051D"/>
    <w:rsid w:val="009B39B7"/>
    <w:rsid w:val="009B58B8"/>
    <w:rsid w:val="009B6073"/>
    <w:rsid w:val="009B7EEF"/>
    <w:rsid w:val="009C4EAB"/>
    <w:rsid w:val="009C6325"/>
    <w:rsid w:val="009C7AF0"/>
    <w:rsid w:val="009D1AD6"/>
    <w:rsid w:val="009D2281"/>
    <w:rsid w:val="009E041B"/>
    <w:rsid w:val="009F21D7"/>
    <w:rsid w:val="009F7782"/>
    <w:rsid w:val="009F79C4"/>
    <w:rsid w:val="009F7A72"/>
    <w:rsid w:val="00A041B9"/>
    <w:rsid w:val="00A077F3"/>
    <w:rsid w:val="00A14D8E"/>
    <w:rsid w:val="00A221C9"/>
    <w:rsid w:val="00A22FBB"/>
    <w:rsid w:val="00A23D53"/>
    <w:rsid w:val="00A25129"/>
    <w:rsid w:val="00A30B48"/>
    <w:rsid w:val="00A31769"/>
    <w:rsid w:val="00A3265E"/>
    <w:rsid w:val="00A3434A"/>
    <w:rsid w:val="00A357F0"/>
    <w:rsid w:val="00A3641B"/>
    <w:rsid w:val="00A44B4F"/>
    <w:rsid w:val="00A44E53"/>
    <w:rsid w:val="00A47404"/>
    <w:rsid w:val="00A569A5"/>
    <w:rsid w:val="00A57370"/>
    <w:rsid w:val="00A65497"/>
    <w:rsid w:val="00A67B4A"/>
    <w:rsid w:val="00A67C06"/>
    <w:rsid w:val="00A7012D"/>
    <w:rsid w:val="00A74A2A"/>
    <w:rsid w:val="00A763D8"/>
    <w:rsid w:val="00A779AC"/>
    <w:rsid w:val="00A81C3B"/>
    <w:rsid w:val="00A822A1"/>
    <w:rsid w:val="00A82828"/>
    <w:rsid w:val="00A83A7E"/>
    <w:rsid w:val="00A859DE"/>
    <w:rsid w:val="00A904AB"/>
    <w:rsid w:val="00A92E00"/>
    <w:rsid w:val="00AA357E"/>
    <w:rsid w:val="00AA5053"/>
    <w:rsid w:val="00AA7E62"/>
    <w:rsid w:val="00AB09C4"/>
    <w:rsid w:val="00AB51B3"/>
    <w:rsid w:val="00AC3DEF"/>
    <w:rsid w:val="00AD04FF"/>
    <w:rsid w:val="00AD0A5D"/>
    <w:rsid w:val="00AD4F90"/>
    <w:rsid w:val="00AD6DB8"/>
    <w:rsid w:val="00AE4F1C"/>
    <w:rsid w:val="00AF1BB2"/>
    <w:rsid w:val="00AF499C"/>
    <w:rsid w:val="00AF4C8B"/>
    <w:rsid w:val="00AF7780"/>
    <w:rsid w:val="00B002ED"/>
    <w:rsid w:val="00B00B57"/>
    <w:rsid w:val="00B0149B"/>
    <w:rsid w:val="00B037EB"/>
    <w:rsid w:val="00B03AB5"/>
    <w:rsid w:val="00B10F60"/>
    <w:rsid w:val="00B17FFA"/>
    <w:rsid w:val="00B22645"/>
    <w:rsid w:val="00B342A6"/>
    <w:rsid w:val="00B34B6C"/>
    <w:rsid w:val="00B36B72"/>
    <w:rsid w:val="00B3785F"/>
    <w:rsid w:val="00B42552"/>
    <w:rsid w:val="00B4296B"/>
    <w:rsid w:val="00B47057"/>
    <w:rsid w:val="00B53070"/>
    <w:rsid w:val="00B60AE7"/>
    <w:rsid w:val="00B61F99"/>
    <w:rsid w:val="00B63422"/>
    <w:rsid w:val="00B6423C"/>
    <w:rsid w:val="00B71825"/>
    <w:rsid w:val="00B72588"/>
    <w:rsid w:val="00B77D36"/>
    <w:rsid w:val="00B8190E"/>
    <w:rsid w:val="00B861E6"/>
    <w:rsid w:val="00B868FB"/>
    <w:rsid w:val="00B8769C"/>
    <w:rsid w:val="00B87BD2"/>
    <w:rsid w:val="00B90D36"/>
    <w:rsid w:val="00B91CC6"/>
    <w:rsid w:val="00B93037"/>
    <w:rsid w:val="00B93AF8"/>
    <w:rsid w:val="00B97739"/>
    <w:rsid w:val="00BA0BBD"/>
    <w:rsid w:val="00BA2D14"/>
    <w:rsid w:val="00BA3D7F"/>
    <w:rsid w:val="00BA6B95"/>
    <w:rsid w:val="00BB1477"/>
    <w:rsid w:val="00BB18DC"/>
    <w:rsid w:val="00BB27A8"/>
    <w:rsid w:val="00BC294A"/>
    <w:rsid w:val="00BC7565"/>
    <w:rsid w:val="00BC75DC"/>
    <w:rsid w:val="00BD02F6"/>
    <w:rsid w:val="00BD3BBE"/>
    <w:rsid w:val="00BD523D"/>
    <w:rsid w:val="00BD6B54"/>
    <w:rsid w:val="00BD7897"/>
    <w:rsid w:val="00BE06D0"/>
    <w:rsid w:val="00BE0CBE"/>
    <w:rsid w:val="00BE119E"/>
    <w:rsid w:val="00BE1631"/>
    <w:rsid w:val="00BE2E5C"/>
    <w:rsid w:val="00BE4C8E"/>
    <w:rsid w:val="00BE58A5"/>
    <w:rsid w:val="00BF0659"/>
    <w:rsid w:val="00BF1251"/>
    <w:rsid w:val="00BF2C24"/>
    <w:rsid w:val="00BF6D15"/>
    <w:rsid w:val="00C01F02"/>
    <w:rsid w:val="00C0570C"/>
    <w:rsid w:val="00C07196"/>
    <w:rsid w:val="00C117C7"/>
    <w:rsid w:val="00C20155"/>
    <w:rsid w:val="00C206E0"/>
    <w:rsid w:val="00C20EE2"/>
    <w:rsid w:val="00C279C2"/>
    <w:rsid w:val="00C3048B"/>
    <w:rsid w:val="00C35B57"/>
    <w:rsid w:val="00C3639C"/>
    <w:rsid w:val="00C36776"/>
    <w:rsid w:val="00C435CA"/>
    <w:rsid w:val="00C44BFF"/>
    <w:rsid w:val="00C601A2"/>
    <w:rsid w:val="00C60C6D"/>
    <w:rsid w:val="00C611EB"/>
    <w:rsid w:val="00C621B8"/>
    <w:rsid w:val="00C62D99"/>
    <w:rsid w:val="00C727F9"/>
    <w:rsid w:val="00C735C4"/>
    <w:rsid w:val="00C7583A"/>
    <w:rsid w:val="00C76C52"/>
    <w:rsid w:val="00C84768"/>
    <w:rsid w:val="00C9053D"/>
    <w:rsid w:val="00C92C3A"/>
    <w:rsid w:val="00C92E1D"/>
    <w:rsid w:val="00C965BD"/>
    <w:rsid w:val="00CB15D1"/>
    <w:rsid w:val="00CB1601"/>
    <w:rsid w:val="00CB485C"/>
    <w:rsid w:val="00CB5B51"/>
    <w:rsid w:val="00CC7344"/>
    <w:rsid w:val="00CD1A82"/>
    <w:rsid w:val="00CD2614"/>
    <w:rsid w:val="00CD28EE"/>
    <w:rsid w:val="00CE3C10"/>
    <w:rsid w:val="00CE7F36"/>
    <w:rsid w:val="00CF621A"/>
    <w:rsid w:val="00D02CDA"/>
    <w:rsid w:val="00D100BB"/>
    <w:rsid w:val="00D1521F"/>
    <w:rsid w:val="00D202AE"/>
    <w:rsid w:val="00D21EEB"/>
    <w:rsid w:val="00D24AA6"/>
    <w:rsid w:val="00D30D8F"/>
    <w:rsid w:val="00D35288"/>
    <w:rsid w:val="00D444CC"/>
    <w:rsid w:val="00D45550"/>
    <w:rsid w:val="00D56D6C"/>
    <w:rsid w:val="00D63362"/>
    <w:rsid w:val="00D803B3"/>
    <w:rsid w:val="00D835B8"/>
    <w:rsid w:val="00D8427B"/>
    <w:rsid w:val="00D85AC0"/>
    <w:rsid w:val="00D86FFE"/>
    <w:rsid w:val="00D87209"/>
    <w:rsid w:val="00D90098"/>
    <w:rsid w:val="00D90122"/>
    <w:rsid w:val="00D92D0E"/>
    <w:rsid w:val="00D93334"/>
    <w:rsid w:val="00D950E9"/>
    <w:rsid w:val="00D966FE"/>
    <w:rsid w:val="00DA583F"/>
    <w:rsid w:val="00DB008E"/>
    <w:rsid w:val="00DB234B"/>
    <w:rsid w:val="00DB3B9F"/>
    <w:rsid w:val="00DB45D9"/>
    <w:rsid w:val="00DB4AE0"/>
    <w:rsid w:val="00DC051E"/>
    <w:rsid w:val="00DD1DDF"/>
    <w:rsid w:val="00DD2389"/>
    <w:rsid w:val="00DD71CB"/>
    <w:rsid w:val="00DE2E7E"/>
    <w:rsid w:val="00DE56AD"/>
    <w:rsid w:val="00DE7068"/>
    <w:rsid w:val="00DE763B"/>
    <w:rsid w:val="00DF0843"/>
    <w:rsid w:val="00DF0E9F"/>
    <w:rsid w:val="00DF209A"/>
    <w:rsid w:val="00DF6806"/>
    <w:rsid w:val="00DF7330"/>
    <w:rsid w:val="00E0355A"/>
    <w:rsid w:val="00E03661"/>
    <w:rsid w:val="00E04532"/>
    <w:rsid w:val="00E054FB"/>
    <w:rsid w:val="00E05EFD"/>
    <w:rsid w:val="00E20097"/>
    <w:rsid w:val="00E31B5B"/>
    <w:rsid w:val="00E4023F"/>
    <w:rsid w:val="00E42B3B"/>
    <w:rsid w:val="00E42C98"/>
    <w:rsid w:val="00E42D4E"/>
    <w:rsid w:val="00E44451"/>
    <w:rsid w:val="00E45249"/>
    <w:rsid w:val="00E464A9"/>
    <w:rsid w:val="00E47ED5"/>
    <w:rsid w:val="00E50A0A"/>
    <w:rsid w:val="00E51121"/>
    <w:rsid w:val="00E524A6"/>
    <w:rsid w:val="00E57F49"/>
    <w:rsid w:val="00E634A9"/>
    <w:rsid w:val="00E63B12"/>
    <w:rsid w:val="00E63FA8"/>
    <w:rsid w:val="00E65C21"/>
    <w:rsid w:val="00E71B58"/>
    <w:rsid w:val="00E7660E"/>
    <w:rsid w:val="00E82C4A"/>
    <w:rsid w:val="00E83FBC"/>
    <w:rsid w:val="00E919BE"/>
    <w:rsid w:val="00E93009"/>
    <w:rsid w:val="00E971DF"/>
    <w:rsid w:val="00EA316D"/>
    <w:rsid w:val="00EA3F1C"/>
    <w:rsid w:val="00EA460C"/>
    <w:rsid w:val="00EB363B"/>
    <w:rsid w:val="00EB5699"/>
    <w:rsid w:val="00EB5A51"/>
    <w:rsid w:val="00EB7BD1"/>
    <w:rsid w:val="00EC0474"/>
    <w:rsid w:val="00EC0FC8"/>
    <w:rsid w:val="00EC4431"/>
    <w:rsid w:val="00EC5530"/>
    <w:rsid w:val="00EC7C37"/>
    <w:rsid w:val="00ED2B55"/>
    <w:rsid w:val="00ED41E5"/>
    <w:rsid w:val="00ED508C"/>
    <w:rsid w:val="00EE2801"/>
    <w:rsid w:val="00EE5167"/>
    <w:rsid w:val="00EE7C83"/>
    <w:rsid w:val="00EF46D1"/>
    <w:rsid w:val="00EF4CBC"/>
    <w:rsid w:val="00EF53CC"/>
    <w:rsid w:val="00F016B4"/>
    <w:rsid w:val="00F02E28"/>
    <w:rsid w:val="00F037D2"/>
    <w:rsid w:val="00F041DA"/>
    <w:rsid w:val="00F05085"/>
    <w:rsid w:val="00F11A82"/>
    <w:rsid w:val="00F24BC8"/>
    <w:rsid w:val="00F24C2E"/>
    <w:rsid w:val="00F26085"/>
    <w:rsid w:val="00F31172"/>
    <w:rsid w:val="00F3183E"/>
    <w:rsid w:val="00F330CC"/>
    <w:rsid w:val="00F339D3"/>
    <w:rsid w:val="00F368E4"/>
    <w:rsid w:val="00F42BF6"/>
    <w:rsid w:val="00F42CFA"/>
    <w:rsid w:val="00F4316A"/>
    <w:rsid w:val="00F53F86"/>
    <w:rsid w:val="00F564B3"/>
    <w:rsid w:val="00F573A9"/>
    <w:rsid w:val="00F617B6"/>
    <w:rsid w:val="00F626CC"/>
    <w:rsid w:val="00F632E7"/>
    <w:rsid w:val="00F6390A"/>
    <w:rsid w:val="00F644FA"/>
    <w:rsid w:val="00F64C6E"/>
    <w:rsid w:val="00F65C78"/>
    <w:rsid w:val="00F67553"/>
    <w:rsid w:val="00F740F0"/>
    <w:rsid w:val="00F80066"/>
    <w:rsid w:val="00F814B2"/>
    <w:rsid w:val="00F815FE"/>
    <w:rsid w:val="00F81954"/>
    <w:rsid w:val="00F81CED"/>
    <w:rsid w:val="00F8213A"/>
    <w:rsid w:val="00F82883"/>
    <w:rsid w:val="00F8403E"/>
    <w:rsid w:val="00F925B1"/>
    <w:rsid w:val="00F92701"/>
    <w:rsid w:val="00FA0777"/>
    <w:rsid w:val="00FA0C43"/>
    <w:rsid w:val="00FA19B7"/>
    <w:rsid w:val="00FA3829"/>
    <w:rsid w:val="00FA5A03"/>
    <w:rsid w:val="00FA75D5"/>
    <w:rsid w:val="00FB1C3D"/>
    <w:rsid w:val="00FB6E52"/>
    <w:rsid w:val="00FC2142"/>
    <w:rsid w:val="00FC352A"/>
    <w:rsid w:val="00FC45B1"/>
    <w:rsid w:val="00FC6CCA"/>
    <w:rsid w:val="00FD10B0"/>
    <w:rsid w:val="00FD3165"/>
    <w:rsid w:val="00FD7A86"/>
    <w:rsid w:val="00FE1D19"/>
    <w:rsid w:val="00FE496F"/>
    <w:rsid w:val="00FF697C"/>
    <w:rsid w:val="00FF71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BE271B"/>
  <w14:defaultImageDpi w14:val="32767"/>
  <w15:chartTrackingRefBased/>
  <w15:docId w15:val="{359E061C-4762-40FB-B2C7-8DB9A51D1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11CDF"/>
    <w:pPr>
      <w:widowControl w:val="0"/>
      <w:spacing w:line="360" w:lineRule="auto"/>
      <w:jc w:val="both"/>
    </w:pPr>
    <w:rPr>
      <w:rFonts w:ascii="Times New Roman" w:hAnsi="Times New Roman"/>
    </w:rPr>
  </w:style>
  <w:style w:type="paragraph" w:styleId="2">
    <w:name w:val="heading 2"/>
    <w:basedOn w:val="a"/>
    <w:next w:val="a"/>
    <w:link w:val="20"/>
    <w:uiPriority w:val="9"/>
    <w:unhideWhenUsed/>
    <w:qFormat/>
    <w:rsid w:val="00A65497"/>
    <w:pPr>
      <w:keepNext/>
      <w:keepLines/>
      <w:spacing w:line="480" w:lineRule="auto"/>
      <w:outlineLvl w:val="1"/>
    </w:pPr>
    <w:rPr>
      <w:rFonts w:eastAsiaTheme="majorEastAsia" w:cstheme="majorBidi"/>
      <w:b/>
      <w:bCs/>
      <w:sz w:val="24"/>
      <w:szCs w:val="32"/>
    </w:rPr>
  </w:style>
  <w:style w:type="paragraph" w:styleId="3">
    <w:name w:val="heading 3"/>
    <w:basedOn w:val="a"/>
    <w:next w:val="a"/>
    <w:link w:val="30"/>
    <w:uiPriority w:val="9"/>
    <w:semiHidden/>
    <w:unhideWhenUsed/>
    <w:qFormat/>
    <w:rsid w:val="006469F1"/>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A47404"/>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rsid w:val="00954CDC"/>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OPExcelTableContent-3481">
    <w:name w:val="OP_ExcelTableContent-3481"/>
    <w:basedOn w:val="a1"/>
    <w:rsid w:val="00680BE7"/>
    <w:rPr>
      <w:color w:val="000000"/>
    </w:rPr>
    <w:tblPr>
      <w:tblBorders>
        <w:top w:val="single" w:sz="4" w:space="0" w:color="FFC94A"/>
        <w:left w:val="single" w:sz="4" w:space="0" w:color="FFC94A"/>
        <w:bottom w:val="single" w:sz="4" w:space="0" w:color="FFC94A"/>
        <w:right w:val="single" w:sz="4" w:space="0" w:color="FFC94A"/>
        <w:insideH w:val="single" w:sz="4" w:space="0" w:color="FFC94A"/>
        <w:insideV w:val="single" w:sz="4" w:space="0" w:color="FFC94A"/>
      </w:tblBorders>
    </w:tblPr>
    <w:tcPr>
      <w:shd w:val="clear" w:color="auto" w:fill="auto"/>
    </w:tcPr>
    <w:tblStylePr w:type="firstRow">
      <w:rPr>
        <w:b/>
      </w:rPr>
      <w:tblPr/>
      <w:tcPr>
        <w:tcBorders>
          <w:top w:val="single" w:sz="4" w:space="0" w:color="FFC94A"/>
          <w:left w:val="single" w:sz="4" w:space="0" w:color="FFC94A"/>
          <w:bottom w:val="single" w:sz="4" w:space="0" w:color="FFC94A"/>
          <w:right w:val="single" w:sz="4" w:space="0" w:color="FFC94A"/>
          <w:insideH w:val="single" w:sz="4" w:space="0" w:color="FFC94A"/>
          <w:insideV w:val="single" w:sz="4" w:space="0" w:color="FFC94A"/>
        </w:tcBorders>
        <w:shd w:val="clear" w:color="auto" w:fill="FFC94A"/>
      </w:tcPr>
    </w:tblStylePr>
  </w:style>
  <w:style w:type="paragraph" w:styleId="a3">
    <w:name w:val="header"/>
    <w:basedOn w:val="a"/>
    <w:link w:val="a4"/>
    <w:uiPriority w:val="99"/>
    <w:unhideWhenUsed/>
    <w:rsid w:val="00C62D99"/>
    <w:pPr>
      <w:tabs>
        <w:tab w:val="center" w:pos="4153"/>
        <w:tab w:val="right" w:pos="8306"/>
      </w:tabs>
      <w:snapToGrid w:val="0"/>
      <w:jc w:val="center"/>
    </w:pPr>
    <w:rPr>
      <w:sz w:val="18"/>
      <w:szCs w:val="18"/>
    </w:rPr>
  </w:style>
  <w:style w:type="character" w:customStyle="1" w:styleId="a4">
    <w:name w:val="页眉 字符"/>
    <w:basedOn w:val="a0"/>
    <w:link w:val="a3"/>
    <w:uiPriority w:val="99"/>
    <w:rsid w:val="00C62D99"/>
    <w:rPr>
      <w:sz w:val="18"/>
      <w:szCs w:val="18"/>
    </w:rPr>
  </w:style>
  <w:style w:type="paragraph" w:styleId="a5">
    <w:name w:val="footer"/>
    <w:basedOn w:val="a"/>
    <w:link w:val="a6"/>
    <w:uiPriority w:val="99"/>
    <w:unhideWhenUsed/>
    <w:rsid w:val="00C62D99"/>
    <w:pPr>
      <w:tabs>
        <w:tab w:val="center" w:pos="4153"/>
        <w:tab w:val="right" w:pos="8306"/>
      </w:tabs>
      <w:snapToGrid w:val="0"/>
      <w:jc w:val="left"/>
    </w:pPr>
    <w:rPr>
      <w:sz w:val="18"/>
      <w:szCs w:val="18"/>
    </w:rPr>
  </w:style>
  <w:style w:type="character" w:customStyle="1" w:styleId="a6">
    <w:name w:val="页脚 字符"/>
    <w:basedOn w:val="a0"/>
    <w:link w:val="a5"/>
    <w:uiPriority w:val="99"/>
    <w:rsid w:val="00C62D99"/>
    <w:rPr>
      <w:sz w:val="18"/>
      <w:szCs w:val="18"/>
    </w:rPr>
  </w:style>
  <w:style w:type="table" w:styleId="a7">
    <w:name w:val="Table Grid"/>
    <w:basedOn w:val="a1"/>
    <w:uiPriority w:val="39"/>
    <w:rsid w:val="00606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5705E0"/>
    <w:rPr>
      <w:color w:val="467886" w:themeColor="hyperlink"/>
      <w:u w:val="single"/>
    </w:rPr>
  </w:style>
  <w:style w:type="character" w:styleId="a9">
    <w:name w:val="Unresolved Mention"/>
    <w:basedOn w:val="a0"/>
    <w:uiPriority w:val="99"/>
    <w:semiHidden/>
    <w:unhideWhenUsed/>
    <w:rsid w:val="005705E0"/>
    <w:rPr>
      <w:color w:val="605E5C"/>
      <w:shd w:val="clear" w:color="auto" w:fill="E1DFDD"/>
    </w:rPr>
  </w:style>
  <w:style w:type="paragraph" w:styleId="aa">
    <w:name w:val="List Paragraph"/>
    <w:basedOn w:val="a"/>
    <w:uiPriority w:val="34"/>
    <w:qFormat/>
    <w:rsid w:val="002959BD"/>
    <w:pPr>
      <w:ind w:firstLineChars="200" w:firstLine="420"/>
    </w:pPr>
  </w:style>
  <w:style w:type="character" w:styleId="ab">
    <w:name w:val="Placeholder Text"/>
    <w:basedOn w:val="a0"/>
    <w:uiPriority w:val="99"/>
    <w:semiHidden/>
    <w:rsid w:val="00886784"/>
    <w:rPr>
      <w:color w:val="666666"/>
    </w:rPr>
  </w:style>
  <w:style w:type="paragraph" w:customStyle="1" w:styleId="EndNoteBibliographyTitle">
    <w:name w:val="EndNote Bibliography Title"/>
    <w:basedOn w:val="a"/>
    <w:link w:val="EndNoteBibliographyTitle0"/>
    <w:rsid w:val="004F0C04"/>
    <w:pPr>
      <w:jc w:val="center"/>
    </w:pPr>
    <w:rPr>
      <w:rFonts w:cs="Times New Roman"/>
      <w:noProof/>
      <w:sz w:val="20"/>
    </w:rPr>
  </w:style>
  <w:style w:type="character" w:customStyle="1" w:styleId="EndNoteBibliographyTitle0">
    <w:name w:val="EndNote Bibliography Title 字符"/>
    <w:basedOn w:val="a0"/>
    <w:link w:val="EndNoteBibliographyTitle"/>
    <w:rsid w:val="004F0C04"/>
    <w:rPr>
      <w:rFonts w:ascii="Times New Roman" w:hAnsi="Times New Roman" w:cs="Times New Roman"/>
      <w:noProof/>
      <w:sz w:val="20"/>
    </w:rPr>
  </w:style>
  <w:style w:type="paragraph" w:customStyle="1" w:styleId="EndNoteBibliography">
    <w:name w:val="EndNote Bibliography"/>
    <w:basedOn w:val="a"/>
    <w:link w:val="EndNoteBibliography0"/>
    <w:rsid w:val="004F0C04"/>
    <w:pPr>
      <w:spacing w:line="240" w:lineRule="auto"/>
    </w:pPr>
    <w:rPr>
      <w:rFonts w:cs="Times New Roman"/>
      <w:noProof/>
      <w:sz w:val="20"/>
    </w:rPr>
  </w:style>
  <w:style w:type="character" w:customStyle="1" w:styleId="EndNoteBibliography0">
    <w:name w:val="EndNote Bibliography 字符"/>
    <w:basedOn w:val="a0"/>
    <w:link w:val="EndNoteBibliography"/>
    <w:rsid w:val="004F0C04"/>
    <w:rPr>
      <w:rFonts w:ascii="Times New Roman" w:hAnsi="Times New Roman" w:cs="Times New Roman"/>
      <w:noProof/>
      <w:sz w:val="20"/>
    </w:rPr>
  </w:style>
  <w:style w:type="character" w:styleId="ac">
    <w:name w:val="line number"/>
    <w:basedOn w:val="a0"/>
    <w:uiPriority w:val="99"/>
    <w:semiHidden/>
    <w:unhideWhenUsed/>
    <w:rsid w:val="00314381"/>
  </w:style>
  <w:style w:type="paragraph" w:styleId="ad">
    <w:name w:val="Normal (Web)"/>
    <w:basedOn w:val="a"/>
    <w:uiPriority w:val="99"/>
    <w:semiHidden/>
    <w:unhideWhenUsed/>
    <w:rsid w:val="00E42C98"/>
    <w:rPr>
      <w:rFonts w:cs="Times New Roman"/>
      <w:sz w:val="24"/>
      <w:szCs w:val="24"/>
    </w:rPr>
  </w:style>
  <w:style w:type="character" w:customStyle="1" w:styleId="20">
    <w:name w:val="标题 2 字符"/>
    <w:basedOn w:val="a0"/>
    <w:link w:val="2"/>
    <w:uiPriority w:val="9"/>
    <w:rsid w:val="00A65497"/>
    <w:rPr>
      <w:rFonts w:ascii="Times New Roman" w:eastAsiaTheme="majorEastAsia" w:hAnsi="Times New Roman" w:cstheme="majorBidi"/>
      <w:b/>
      <w:bCs/>
      <w:sz w:val="24"/>
      <w:szCs w:val="32"/>
    </w:rPr>
  </w:style>
  <w:style w:type="character" w:customStyle="1" w:styleId="40">
    <w:name w:val="标题 4 字符"/>
    <w:basedOn w:val="a0"/>
    <w:link w:val="4"/>
    <w:uiPriority w:val="9"/>
    <w:semiHidden/>
    <w:rsid w:val="00A47404"/>
    <w:rPr>
      <w:rFonts w:asciiTheme="majorHAnsi" w:eastAsiaTheme="majorEastAsia" w:hAnsiTheme="majorHAnsi" w:cstheme="majorBidi"/>
      <w:b/>
      <w:bCs/>
      <w:sz w:val="28"/>
      <w:szCs w:val="28"/>
    </w:rPr>
  </w:style>
  <w:style w:type="character" w:customStyle="1" w:styleId="30">
    <w:name w:val="标题 3 字符"/>
    <w:basedOn w:val="a0"/>
    <w:link w:val="3"/>
    <w:uiPriority w:val="9"/>
    <w:semiHidden/>
    <w:rsid w:val="006469F1"/>
    <w:rPr>
      <w:rFonts w:ascii="Times New Roman" w:hAnsi="Times New Roman"/>
      <w:b/>
      <w:bCs/>
      <w:sz w:val="32"/>
      <w:szCs w:val="32"/>
    </w:rPr>
  </w:style>
  <w:style w:type="character" w:customStyle="1" w:styleId="50">
    <w:name w:val="标题 5 字符"/>
    <w:basedOn w:val="a0"/>
    <w:link w:val="5"/>
    <w:uiPriority w:val="9"/>
    <w:semiHidden/>
    <w:rsid w:val="00954CDC"/>
    <w:rPr>
      <w:rFonts w:ascii="Times New Roman" w:hAnsi="Times New Roman"/>
      <w:b/>
      <w:bCs/>
      <w:sz w:val="28"/>
      <w:szCs w:val="28"/>
    </w:rPr>
  </w:style>
  <w:style w:type="table" w:styleId="21">
    <w:name w:val="Plain Table 2"/>
    <w:basedOn w:val="a1"/>
    <w:uiPriority w:val="42"/>
    <w:rsid w:val="003E251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81330">
      <w:bodyDiv w:val="1"/>
      <w:marLeft w:val="0"/>
      <w:marRight w:val="0"/>
      <w:marTop w:val="0"/>
      <w:marBottom w:val="0"/>
      <w:divBdr>
        <w:top w:val="none" w:sz="0" w:space="0" w:color="auto"/>
        <w:left w:val="none" w:sz="0" w:space="0" w:color="auto"/>
        <w:bottom w:val="none" w:sz="0" w:space="0" w:color="auto"/>
        <w:right w:val="none" w:sz="0" w:space="0" w:color="auto"/>
      </w:divBdr>
      <w:divsChild>
        <w:div w:id="87389933">
          <w:marLeft w:val="0"/>
          <w:marRight w:val="0"/>
          <w:marTop w:val="0"/>
          <w:marBottom w:val="0"/>
          <w:divBdr>
            <w:top w:val="none" w:sz="0" w:space="0" w:color="auto"/>
            <w:left w:val="none" w:sz="0" w:space="0" w:color="auto"/>
            <w:bottom w:val="none" w:sz="0" w:space="0" w:color="auto"/>
            <w:right w:val="none" w:sz="0" w:space="0" w:color="auto"/>
          </w:divBdr>
        </w:div>
        <w:div w:id="212277853">
          <w:marLeft w:val="0"/>
          <w:marRight w:val="0"/>
          <w:marTop w:val="0"/>
          <w:marBottom w:val="0"/>
          <w:divBdr>
            <w:top w:val="none" w:sz="0" w:space="0" w:color="auto"/>
            <w:left w:val="none" w:sz="0" w:space="0" w:color="auto"/>
            <w:bottom w:val="none" w:sz="0" w:space="0" w:color="auto"/>
            <w:right w:val="none" w:sz="0" w:space="0" w:color="auto"/>
          </w:divBdr>
        </w:div>
        <w:div w:id="412747032">
          <w:marLeft w:val="0"/>
          <w:marRight w:val="0"/>
          <w:marTop w:val="0"/>
          <w:marBottom w:val="0"/>
          <w:divBdr>
            <w:top w:val="none" w:sz="0" w:space="0" w:color="auto"/>
            <w:left w:val="none" w:sz="0" w:space="0" w:color="auto"/>
            <w:bottom w:val="none" w:sz="0" w:space="0" w:color="auto"/>
            <w:right w:val="none" w:sz="0" w:space="0" w:color="auto"/>
          </w:divBdr>
        </w:div>
        <w:div w:id="488709889">
          <w:marLeft w:val="0"/>
          <w:marRight w:val="0"/>
          <w:marTop w:val="0"/>
          <w:marBottom w:val="0"/>
          <w:divBdr>
            <w:top w:val="none" w:sz="0" w:space="0" w:color="auto"/>
            <w:left w:val="none" w:sz="0" w:space="0" w:color="auto"/>
            <w:bottom w:val="none" w:sz="0" w:space="0" w:color="auto"/>
            <w:right w:val="none" w:sz="0" w:space="0" w:color="auto"/>
          </w:divBdr>
        </w:div>
        <w:div w:id="977760032">
          <w:marLeft w:val="0"/>
          <w:marRight w:val="0"/>
          <w:marTop w:val="0"/>
          <w:marBottom w:val="0"/>
          <w:divBdr>
            <w:top w:val="none" w:sz="0" w:space="0" w:color="auto"/>
            <w:left w:val="none" w:sz="0" w:space="0" w:color="auto"/>
            <w:bottom w:val="none" w:sz="0" w:space="0" w:color="auto"/>
            <w:right w:val="none" w:sz="0" w:space="0" w:color="auto"/>
          </w:divBdr>
        </w:div>
        <w:div w:id="1027607717">
          <w:marLeft w:val="0"/>
          <w:marRight w:val="0"/>
          <w:marTop w:val="0"/>
          <w:marBottom w:val="0"/>
          <w:divBdr>
            <w:top w:val="none" w:sz="0" w:space="0" w:color="auto"/>
            <w:left w:val="none" w:sz="0" w:space="0" w:color="auto"/>
            <w:bottom w:val="none" w:sz="0" w:space="0" w:color="auto"/>
            <w:right w:val="none" w:sz="0" w:space="0" w:color="auto"/>
          </w:divBdr>
        </w:div>
        <w:div w:id="1360012531">
          <w:marLeft w:val="0"/>
          <w:marRight w:val="0"/>
          <w:marTop w:val="0"/>
          <w:marBottom w:val="0"/>
          <w:divBdr>
            <w:top w:val="none" w:sz="0" w:space="0" w:color="auto"/>
            <w:left w:val="none" w:sz="0" w:space="0" w:color="auto"/>
            <w:bottom w:val="none" w:sz="0" w:space="0" w:color="auto"/>
            <w:right w:val="none" w:sz="0" w:space="0" w:color="auto"/>
          </w:divBdr>
        </w:div>
        <w:div w:id="1933930991">
          <w:marLeft w:val="0"/>
          <w:marRight w:val="0"/>
          <w:marTop w:val="0"/>
          <w:marBottom w:val="0"/>
          <w:divBdr>
            <w:top w:val="none" w:sz="0" w:space="0" w:color="auto"/>
            <w:left w:val="none" w:sz="0" w:space="0" w:color="auto"/>
            <w:bottom w:val="none" w:sz="0" w:space="0" w:color="auto"/>
            <w:right w:val="none" w:sz="0" w:space="0" w:color="auto"/>
          </w:divBdr>
        </w:div>
      </w:divsChild>
    </w:div>
    <w:div w:id="74322895">
      <w:bodyDiv w:val="1"/>
      <w:marLeft w:val="0"/>
      <w:marRight w:val="0"/>
      <w:marTop w:val="0"/>
      <w:marBottom w:val="0"/>
      <w:divBdr>
        <w:top w:val="none" w:sz="0" w:space="0" w:color="auto"/>
        <w:left w:val="none" w:sz="0" w:space="0" w:color="auto"/>
        <w:bottom w:val="none" w:sz="0" w:space="0" w:color="auto"/>
        <w:right w:val="none" w:sz="0" w:space="0" w:color="auto"/>
      </w:divBdr>
      <w:divsChild>
        <w:div w:id="1112283374">
          <w:marLeft w:val="0"/>
          <w:marRight w:val="0"/>
          <w:marTop w:val="0"/>
          <w:marBottom w:val="0"/>
          <w:divBdr>
            <w:top w:val="none" w:sz="0" w:space="0" w:color="auto"/>
            <w:left w:val="none" w:sz="0" w:space="0" w:color="auto"/>
            <w:bottom w:val="none" w:sz="0" w:space="0" w:color="auto"/>
            <w:right w:val="none" w:sz="0" w:space="0" w:color="auto"/>
          </w:divBdr>
          <w:divsChild>
            <w:div w:id="781456334">
              <w:marLeft w:val="0"/>
              <w:marRight w:val="0"/>
              <w:marTop w:val="0"/>
              <w:marBottom w:val="0"/>
              <w:divBdr>
                <w:top w:val="none" w:sz="0" w:space="0" w:color="auto"/>
                <w:left w:val="none" w:sz="0" w:space="0" w:color="auto"/>
                <w:bottom w:val="none" w:sz="0" w:space="0" w:color="auto"/>
                <w:right w:val="none" w:sz="0" w:space="0" w:color="auto"/>
              </w:divBdr>
              <w:divsChild>
                <w:div w:id="1180242930">
                  <w:marLeft w:val="0"/>
                  <w:marRight w:val="0"/>
                  <w:marTop w:val="0"/>
                  <w:marBottom w:val="0"/>
                  <w:divBdr>
                    <w:top w:val="none" w:sz="0" w:space="0" w:color="auto"/>
                    <w:left w:val="none" w:sz="0" w:space="0" w:color="auto"/>
                    <w:bottom w:val="none" w:sz="0" w:space="0" w:color="auto"/>
                    <w:right w:val="none" w:sz="0" w:space="0" w:color="auto"/>
                  </w:divBdr>
                  <w:divsChild>
                    <w:div w:id="2078357273">
                      <w:marLeft w:val="0"/>
                      <w:marRight w:val="0"/>
                      <w:marTop w:val="0"/>
                      <w:marBottom w:val="0"/>
                      <w:divBdr>
                        <w:top w:val="none" w:sz="0" w:space="0" w:color="auto"/>
                        <w:left w:val="none" w:sz="0" w:space="0" w:color="auto"/>
                        <w:bottom w:val="none" w:sz="0" w:space="0" w:color="auto"/>
                        <w:right w:val="none" w:sz="0" w:space="0" w:color="auto"/>
                      </w:divBdr>
                      <w:divsChild>
                        <w:div w:id="406807335">
                          <w:marLeft w:val="0"/>
                          <w:marRight w:val="0"/>
                          <w:marTop w:val="0"/>
                          <w:marBottom w:val="0"/>
                          <w:divBdr>
                            <w:top w:val="none" w:sz="0" w:space="0" w:color="auto"/>
                            <w:left w:val="none" w:sz="0" w:space="0" w:color="auto"/>
                            <w:bottom w:val="none" w:sz="0" w:space="0" w:color="auto"/>
                            <w:right w:val="none" w:sz="0" w:space="0" w:color="auto"/>
                          </w:divBdr>
                          <w:divsChild>
                            <w:div w:id="1776712283">
                              <w:marLeft w:val="0"/>
                              <w:marRight w:val="0"/>
                              <w:marTop w:val="0"/>
                              <w:marBottom w:val="0"/>
                              <w:divBdr>
                                <w:top w:val="none" w:sz="0" w:space="0" w:color="auto"/>
                                <w:left w:val="none" w:sz="0" w:space="0" w:color="auto"/>
                                <w:bottom w:val="none" w:sz="0" w:space="0" w:color="auto"/>
                                <w:right w:val="none" w:sz="0" w:space="0" w:color="auto"/>
                              </w:divBdr>
                              <w:divsChild>
                                <w:div w:id="1521429486">
                                  <w:marLeft w:val="0"/>
                                  <w:marRight w:val="0"/>
                                  <w:marTop w:val="0"/>
                                  <w:marBottom w:val="0"/>
                                  <w:divBdr>
                                    <w:top w:val="none" w:sz="0" w:space="0" w:color="auto"/>
                                    <w:left w:val="none" w:sz="0" w:space="0" w:color="auto"/>
                                    <w:bottom w:val="none" w:sz="0" w:space="0" w:color="auto"/>
                                    <w:right w:val="none" w:sz="0" w:space="0" w:color="auto"/>
                                  </w:divBdr>
                                  <w:divsChild>
                                    <w:div w:id="1962032058">
                                      <w:marLeft w:val="0"/>
                                      <w:marRight w:val="0"/>
                                      <w:marTop w:val="0"/>
                                      <w:marBottom w:val="0"/>
                                      <w:divBdr>
                                        <w:top w:val="none" w:sz="0" w:space="0" w:color="auto"/>
                                        <w:left w:val="none" w:sz="0" w:space="0" w:color="auto"/>
                                        <w:bottom w:val="none" w:sz="0" w:space="0" w:color="auto"/>
                                        <w:right w:val="none" w:sz="0" w:space="0" w:color="auto"/>
                                      </w:divBdr>
                                      <w:divsChild>
                                        <w:div w:id="1680809382">
                                          <w:marLeft w:val="0"/>
                                          <w:marRight w:val="0"/>
                                          <w:marTop w:val="0"/>
                                          <w:marBottom w:val="0"/>
                                          <w:divBdr>
                                            <w:top w:val="none" w:sz="0" w:space="0" w:color="auto"/>
                                            <w:left w:val="none" w:sz="0" w:space="0" w:color="auto"/>
                                            <w:bottom w:val="none" w:sz="0" w:space="0" w:color="auto"/>
                                            <w:right w:val="none" w:sz="0" w:space="0" w:color="auto"/>
                                          </w:divBdr>
                                          <w:divsChild>
                                            <w:div w:id="737754396">
                                              <w:marLeft w:val="0"/>
                                              <w:marRight w:val="0"/>
                                              <w:marTop w:val="0"/>
                                              <w:marBottom w:val="0"/>
                                              <w:divBdr>
                                                <w:top w:val="none" w:sz="0" w:space="0" w:color="auto"/>
                                                <w:left w:val="none" w:sz="0" w:space="0" w:color="auto"/>
                                                <w:bottom w:val="none" w:sz="0" w:space="0" w:color="auto"/>
                                                <w:right w:val="none" w:sz="0" w:space="0" w:color="auto"/>
                                              </w:divBdr>
                                              <w:divsChild>
                                                <w:div w:id="1753350529">
                                                  <w:marLeft w:val="0"/>
                                                  <w:marRight w:val="0"/>
                                                  <w:marTop w:val="0"/>
                                                  <w:marBottom w:val="0"/>
                                                  <w:divBdr>
                                                    <w:top w:val="none" w:sz="0" w:space="0" w:color="auto"/>
                                                    <w:left w:val="none" w:sz="0" w:space="0" w:color="auto"/>
                                                    <w:bottom w:val="none" w:sz="0" w:space="0" w:color="auto"/>
                                                    <w:right w:val="none" w:sz="0" w:space="0" w:color="auto"/>
                                                  </w:divBdr>
                                                  <w:divsChild>
                                                    <w:div w:id="217592862">
                                                      <w:marLeft w:val="0"/>
                                                      <w:marRight w:val="0"/>
                                                      <w:marTop w:val="0"/>
                                                      <w:marBottom w:val="0"/>
                                                      <w:divBdr>
                                                        <w:top w:val="none" w:sz="0" w:space="0" w:color="auto"/>
                                                        <w:left w:val="none" w:sz="0" w:space="0" w:color="auto"/>
                                                        <w:bottom w:val="none" w:sz="0" w:space="0" w:color="auto"/>
                                                        <w:right w:val="none" w:sz="0" w:space="0" w:color="auto"/>
                                                      </w:divBdr>
                                                      <w:divsChild>
                                                        <w:div w:id="52208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316089">
      <w:bodyDiv w:val="1"/>
      <w:marLeft w:val="0"/>
      <w:marRight w:val="0"/>
      <w:marTop w:val="0"/>
      <w:marBottom w:val="0"/>
      <w:divBdr>
        <w:top w:val="none" w:sz="0" w:space="0" w:color="auto"/>
        <w:left w:val="none" w:sz="0" w:space="0" w:color="auto"/>
        <w:bottom w:val="none" w:sz="0" w:space="0" w:color="auto"/>
        <w:right w:val="none" w:sz="0" w:space="0" w:color="auto"/>
      </w:divBdr>
      <w:divsChild>
        <w:div w:id="349526700">
          <w:marLeft w:val="0"/>
          <w:marRight w:val="0"/>
          <w:marTop w:val="0"/>
          <w:marBottom w:val="0"/>
          <w:divBdr>
            <w:top w:val="none" w:sz="0" w:space="0" w:color="auto"/>
            <w:left w:val="none" w:sz="0" w:space="0" w:color="auto"/>
            <w:bottom w:val="none" w:sz="0" w:space="0" w:color="auto"/>
            <w:right w:val="none" w:sz="0" w:space="0" w:color="auto"/>
          </w:divBdr>
        </w:div>
        <w:div w:id="577178378">
          <w:marLeft w:val="0"/>
          <w:marRight w:val="0"/>
          <w:marTop w:val="0"/>
          <w:marBottom w:val="0"/>
          <w:divBdr>
            <w:top w:val="none" w:sz="0" w:space="0" w:color="auto"/>
            <w:left w:val="none" w:sz="0" w:space="0" w:color="auto"/>
            <w:bottom w:val="none" w:sz="0" w:space="0" w:color="auto"/>
            <w:right w:val="none" w:sz="0" w:space="0" w:color="auto"/>
          </w:divBdr>
        </w:div>
        <w:div w:id="1886404466">
          <w:marLeft w:val="0"/>
          <w:marRight w:val="0"/>
          <w:marTop w:val="0"/>
          <w:marBottom w:val="0"/>
          <w:divBdr>
            <w:top w:val="none" w:sz="0" w:space="0" w:color="auto"/>
            <w:left w:val="none" w:sz="0" w:space="0" w:color="auto"/>
            <w:bottom w:val="none" w:sz="0" w:space="0" w:color="auto"/>
            <w:right w:val="none" w:sz="0" w:space="0" w:color="auto"/>
          </w:divBdr>
        </w:div>
        <w:div w:id="2008434893">
          <w:marLeft w:val="0"/>
          <w:marRight w:val="0"/>
          <w:marTop w:val="0"/>
          <w:marBottom w:val="0"/>
          <w:divBdr>
            <w:top w:val="none" w:sz="0" w:space="0" w:color="auto"/>
            <w:left w:val="none" w:sz="0" w:space="0" w:color="auto"/>
            <w:bottom w:val="none" w:sz="0" w:space="0" w:color="auto"/>
            <w:right w:val="none" w:sz="0" w:space="0" w:color="auto"/>
          </w:divBdr>
        </w:div>
      </w:divsChild>
    </w:div>
    <w:div w:id="215167838">
      <w:bodyDiv w:val="1"/>
      <w:marLeft w:val="0"/>
      <w:marRight w:val="0"/>
      <w:marTop w:val="0"/>
      <w:marBottom w:val="0"/>
      <w:divBdr>
        <w:top w:val="none" w:sz="0" w:space="0" w:color="auto"/>
        <w:left w:val="none" w:sz="0" w:space="0" w:color="auto"/>
        <w:bottom w:val="none" w:sz="0" w:space="0" w:color="auto"/>
        <w:right w:val="none" w:sz="0" w:space="0" w:color="auto"/>
      </w:divBdr>
      <w:divsChild>
        <w:div w:id="118384307">
          <w:marLeft w:val="0"/>
          <w:marRight w:val="0"/>
          <w:marTop w:val="0"/>
          <w:marBottom w:val="0"/>
          <w:divBdr>
            <w:top w:val="none" w:sz="0" w:space="0" w:color="auto"/>
            <w:left w:val="none" w:sz="0" w:space="0" w:color="auto"/>
            <w:bottom w:val="none" w:sz="0" w:space="0" w:color="auto"/>
            <w:right w:val="none" w:sz="0" w:space="0" w:color="auto"/>
          </w:divBdr>
        </w:div>
        <w:div w:id="186020793">
          <w:marLeft w:val="0"/>
          <w:marRight w:val="0"/>
          <w:marTop w:val="0"/>
          <w:marBottom w:val="0"/>
          <w:divBdr>
            <w:top w:val="none" w:sz="0" w:space="0" w:color="auto"/>
            <w:left w:val="none" w:sz="0" w:space="0" w:color="auto"/>
            <w:bottom w:val="none" w:sz="0" w:space="0" w:color="auto"/>
            <w:right w:val="none" w:sz="0" w:space="0" w:color="auto"/>
          </w:divBdr>
        </w:div>
        <w:div w:id="982347924">
          <w:marLeft w:val="0"/>
          <w:marRight w:val="0"/>
          <w:marTop w:val="0"/>
          <w:marBottom w:val="0"/>
          <w:divBdr>
            <w:top w:val="none" w:sz="0" w:space="0" w:color="auto"/>
            <w:left w:val="none" w:sz="0" w:space="0" w:color="auto"/>
            <w:bottom w:val="none" w:sz="0" w:space="0" w:color="auto"/>
            <w:right w:val="none" w:sz="0" w:space="0" w:color="auto"/>
          </w:divBdr>
        </w:div>
        <w:div w:id="1556698121">
          <w:marLeft w:val="0"/>
          <w:marRight w:val="0"/>
          <w:marTop w:val="0"/>
          <w:marBottom w:val="0"/>
          <w:divBdr>
            <w:top w:val="none" w:sz="0" w:space="0" w:color="auto"/>
            <w:left w:val="none" w:sz="0" w:space="0" w:color="auto"/>
            <w:bottom w:val="none" w:sz="0" w:space="0" w:color="auto"/>
            <w:right w:val="none" w:sz="0" w:space="0" w:color="auto"/>
          </w:divBdr>
        </w:div>
        <w:div w:id="1741099178">
          <w:marLeft w:val="0"/>
          <w:marRight w:val="0"/>
          <w:marTop w:val="0"/>
          <w:marBottom w:val="0"/>
          <w:divBdr>
            <w:top w:val="none" w:sz="0" w:space="0" w:color="auto"/>
            <w:left w:val="none" w:sz="0" w:space="0" w:color="auto"/>
            <w:bottom w:val="none" w:sz="0" w:space="0" w:color="auto"/>
            <w:right w:val="none" w:sz="0" w:space="0" w:color="auto"/>
          </w:divBdr>
        </w:div>
        <w:div w:id="2052683171">
          <w:marLeft w:val="0"/>
          <w:marRight w:val="0"/>
          <w:marTop w:val="0"/>
          <w:marBottom w:val="0"/>
          <w:divBdr>
            <w:top w:val="none" w:sz="0" w:space="0" w:color="auto"/>
            <w:left w:val="none" w:sz="0" w:space="0" w:color="auto"/>
            <w:bottom w:val="none" w:sz="0" w:space="0" w:color="auto"/>
            <w:right w:val="none" w:sz="0" w:space="0" w:color="auto"/>
          </w:divBdr>
        </w:div>
        <w:div w:id="2064521621">
          <w:marLeft w:val="0"/>
          <w:marRight w:val="0"/>
          <w:marTop w:val="0"/>
          <w:marBottom w:val="0"/>
          <w:divBdr>
            <w:top w:val="none" w:sz="0" w:space="0" w:color="auto"/>
            <w:left w:val="none" w:sz="0" w:space="0" w:color="auto"/>
            <w:bottom w:val="none" w:sz="0" w:space="0" w:color="auto"/>
            <w:right w:val="none" w:sz="0" w:space="0" w:color="auto"/>
          </w:divBdr>
        </w:div>
      </w:divsChild>
    </w:div>
    <w:div w:id="222572203">
      <w:bodyDiv w:val="1"/>
      <w:marLeft w:val="0"/>
      <w:marRight w:val="0"/>
      <w:marTop w:val="0"/>
      <w:marBottom w:val="0"/>
      <w:divBdr>
        <w:top w:val="none" w:sz="0" w:space="0" w:color="auto"/>
        <w:left w:val="none" w:sz="0" w:space="0" w:color="auto"/>
        <w:bottom w:val="none" w:sz="0" w:space="0" w:color="auto"/>
        <w:right w:val="none" w:sz="0" w:space="0" w:color="auto"/>
      </w:divBdr>
      <w:divsChild>
        <w:div w:id="1815903715">
          <w:marLeft w:val="0"/>
          <w:marRight w:val="0"/>
          <w:marTop w:val="0"/>
          <w:marBottom w:val="0"/>
          <w:divBdr>
            <w:top w:val="none" w:sz="0" w:space="0" w:color="auto"/>
            <w:left w:val="none" w:sz="0" w:space="0" w:color="auto"/>
            <w:bottom w:val="none" w:sz="0" w:space="0" w:color="auto"/>
            <w:right w:val="none" w:sz="0" w:space="0" w:color="auto"/>
          </w:divBdr>
          <w:divsChild>
            <w:div w:id="18552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194385">
      <w:bodyDiv w:val="1"/>
      <w:marLeft w:val="0"/>
      <w:marRight w:val="0"/>
      <w:marTop w:val="0"/>
      <w:marBottom w:val="0"/>
      <w:divBdr>
        <w:top w:val="none" w:sz="0" w:space="0" w:color="auto"/>
        <w:left w:val="none" w:sz="0" w:space="0" w:color="auto"/>
        <w:bottom w:val="none" w:sz="0" w:space="0" w:color="auto"/>
        <w:right w:val="none" w:sz="0" w:space="0" w:color="auto"/>
      </w:divBdr>
    </w:div>
    <w:div w:id="245191348">
      <w:bodyDiv w:val="1"/>
      <w:marLeft w:val="0"/>
      <w:marRight w:val="0"/>
      <w:marTop w:val="0"/>
      <w:marBottom w:val="0"/>
      <w:divBdr>
        <w:top w:val="none" w:sz="0" w:space="0" w:color="auto"/>
        <w:left w:val="none" w:sz="0" w:space="0" w:color="auto"/>
        <w:bottom w:val="none" w:sz="0" w:space="0" w:color="auto"/>
        <w:right w:val="none" w:sz="0" w:space="0" w:color="auto"/>
      </w:divBdr>
    </w:div>
    <w:div w:id="263852187">
      <w:bodyDiv w:val="1"/>
      <w:marLeft w:val="0"/>
      <w:marRight w:val="0"/>
      <w:marTop w:val="0"/>
      <w:marBottom w:val="0"/>
      <w:divBdr>
        <w:top w:val="none" w:sz="0" w:space="0" w:color="auto"/>
        <w:left w:val="none" w:sz="0" w:space="0" w:color="auto"/>
        <w:bottom w:val="none" w:sz="0" w:space="0" w:color="auto"/>
        <w:right w:val="none" w:sz="0" w:space="0" w:color="auto"/>
      </w:divBdr>
      <w:divsChild>
        <w:div w:id="1105928965">
          <w:marLeft w:val="0"/>
          <w:marRight w:val="0"/>
          <w:marTop w:val="0"/>
          <w:marBottom w:val="0"/>
          <w:divBdr>
            <w:top w:val="none" w:sz="0" w:space="0" w:color="auto"/>
            <w:left w:val="none" w:sz="0" w:space="0" w:color="auto"/>
            <w:bottom w:val="none" w:sz="0" w:space="0" w:color="auto"/>
            <w:right w:val="none" w:sz="0" w:space="0" w:color="auto"/>
          </w:divBdr>
          <w:divsChild>
            <w:div w:id="1363435381">
              <w:marLeft w:val="0"/>
              <w:marRight w:val="0"/>
              <w:marTop w:val="0"/>
              <w:marBottom w:val="0"/>
              <w:divBdr>
                <w:top w:val="none" w:sz="0" w:space="0" w:color="auto"/>
                <w:left w:val="none" w:sz="0" w:space="0" w:color="auto"/>
                <w:bottom w:val="none" w:sz="0" w:space="0" w:color="auto"/>
                <w:right w:val="none" w:sz="0" w:space="0" w:color="auto"/>
              </w:divBdr>
              <w:divsChild>
                <w:div w:id="31611225">
                  <w:marLeft w:val="0"/>
                  <w:marRight w:val="0"/>
                  <w:marTop w:val="0"/>
                  <w:marBottom w:val="0"/>
                  <w:divBdr>
                    <w:top w:val="none" w:sz="0" w:space="0" w:color="auto"/>
                    <w:left w:val="none" w:sz="0" w:space="0" w:color="auto"/>
                    <w:bottom w:val="none" w:sz="0" w:space="0" w:color="auto"/>
                    <w:right w:val="none" w:sz="0" w:space="0" w:color="auto"/>
                  </w:divBdr>
                  <w:divsChild>
                    <w:div w:id="1731995150">
                      <w:marLeft w:val="0"/>
                      <w:marRight w:val="0"/>
                      <w:marTop w:val="0"/>
                      <w:marBottom w:val="0"/>
                      <w:divBdr>
                        <w:top w:val="none" w:sz="0" w:space="0" w:color="auto"/>
                        <w:left w:val="none" w:sz="0" w:space="0" w:color="auto"/>
                        <w:bottom w:val="none" w:sz="0" w:space="0" w:color="auto"/>
                        <w:right w:val="none" w:sz="0" w:space="0" w:color="auto"/>
                      </w:divBdr>
                      <w:divsChild>
                        <w:div w:id="808589850">
                          <w:marLeft w:val="0"/>
                          <w:marRight w:val="0"/>
                          <w:marTop w:val="0"/>
                          <w:marBottom w:val="0"/>
                          <w:divBdr>
                            <w:top w:val="none" w:sz="0" w:space="0" w:color="auto"/>
                            <w:left w:val="none" w:sz="0" w:space="0" w:color="auto"/>
                            <w:bottom w:val="none" w:sz="0" w:space="0" w:color="auto"/>
                            <w:right w:val="none" w:sz="0" w:space="0" w:color="auto"/>
                          </w:divBdr>
                          <w:divsChild>
                            <w:div w:id="423501597">
                              <w:marLeft w:val="0"/>
                              <w:marRight w:val="0"/>
                              <w:marTop w:val="0"/>
                              <w:marBottom w:val="0"/>
                              <w:divBdr>
                                <w:top w:val="none" w:sz="0" w:space="0" w:color="auto"/>
                                <w:left w:val="none" w:sz="0" w:space="0" w:color="auto"/>
                                <w:bottom w:val="none" w:sz="0" w:space="0" w:color="auto"/>
                                <w:right w:val="none" w:sz="0" w:space="0" w:color="auto"/>
                              </w:divBdr>
                              <w:divsChild>
                                <w:div w:id="1672684944">
                                  <w:marLeft w:val="0"/>
                                  <w:marRight w:val="0"/>
                                  <w:marTop w:val="0"/>
                                  <w:marBottom w:val="0"/>
                                  <w:divBdr>
                                    <w:top w:val="none" w:sz="0" w:space="0" w:color="auto"/>
                                    <w:left w:val="none" w:sz="0" w:space="0" w:color="auto"/>
                                    <w:bottom w:val="none" w:sz="0" w:space="0" w:color="auto"/>
                                    <w:right w:val="none" w:sz="0" w:space="0" w:color="auto"/>
                                  </w:divBdr>
                                  <w:divsChild>
                                    <w:div w:id="502933299">
                                      <w:marLeft w:val="0"/>
                                      <w:marRight w:val="0"/>
                                      <w:marTop w:val="0"/>
                                      <w:marBottom w:val="0"/>
                                      <w:divBdr>
                                        <w:top w:val="none" w:sz="0" w:space="0" w:color="auto"/>
                                        <w:left w:val="none" w:sz="0" w:space="0" w:color="auto"/>
                                        <w:bottom w:val="none" w:sz="0" w:space="0" w:color="auto"/>
                                        <w:right w:val="none" w:sz="0" w:space="0" w:color="auto"/>
                                      </w:divBdr>
                                      <w:divsChild>
                                        <w:div w:id="1399549307">
                                          <w:marLeft w:val="0"/>
                                          <w:marRight w:val="0"/>
                                          <w:marTop w:val="0"/>
                                          <w:marBottom w:val="0"/>
                                          <w:divBdr>
                                            <w:top w:val="none" w:sz="0" w:space="0" w:color="auto"/>
                                            <w:left w:val="none" w:sz="0" w:space="0" w:color="auto"/>
                                            <w:bottom w:val="none" w:sz="0" w:space="0" w:color="auto"/>
                                            <w:right w:val="none" w:sz="0" w:space="0" w:color="auto"/>
                                          </w:divBdr>
                                          <w:divsChild>
                                            <w:div w:id="2025594093">
                                              <w:marLeft w:val="0"/>
                                              <w:marRight w:val="0"/>
                                              <w:marTop w:val="0"/>
                                              <w:marBottom w:val="0"/>
                                              <w:divBdr>
                                                <w:top w:val="none" w:sz="0" w:space="0" w:color="auto"/>
                                                <w:left w:val="none" w:sz="0" w:space="0" w:color="auto"/>
                                                <w:bottom w:val="none" w:sz="0" w:space="0" w:color="auto"/>
                                                <w:right w:val="none" w:sz="0" w:space="0" w:color="auto"/>
                                              </w:divBdr>
                                              <w:divsChild>
                                                <w:div w:id="895433722">
                                                  <w:marLeft w:val="0"/>
                                                  <w:marRight w:val="0"/>
                                                  <w:marTop w:val="0"/>
                                                  <w:marBottom w:val="0"/>
                                                  <w:divBdr>
                                                    <w:top w:val="none" w:sz="0" w:space="0" w:color="auto"/>
                                                    <w:left w:val="none" w:sz="0" w:space="0" w:color="auto"/>
                                                    <w:bottom w:val="none" w:sz="0" w:space="0" w:color="auto"/>
                                                    <w:right w:val="none" w:sz="0" w:space="0" w:color="auto"/>
                                                  </w:divBdr>
                                                  <w:divsChild>
                                                    <w:div w:id="1730765972">
                                                      <w:marLeft w:val="0"/>
                                                      <w:marRight w:val="0"/>
                                                      <w:marTop w:val="0"/>
                                                      <w:marBottom w:val="0"/>
                                                      <w:divBdr>
                                                        <w:top w:val="none" w:sz="0" w:space="0" w:color="auto"/>
                                                        <w:left w:val="none" w:sz="0" w:space="0" w:color="auto"/>
                                                        <w:bottom w:val="none" w:sz="0" w:space="0" w:color="auto"/>
                                                        <w:right w:val="none" w:sz="0" w:space="0" w:color="auto"/>
                                                      </w:divBdr>
                                                      <w:divsChild>
                                                        <w:div w:id="203057892">
                                                          <w:marLeft w:val="0"/>
                                                          <w:marRight w:val="0"/>
                                                          <w:marTop w:val="0"/>
                                                          <w:marBottom w:val="0"/>
                                                          <w:divBdr>
                                                            <w:top w:val="none" w:sz="0" w:space="0" w:color="auto"/>
                                                            <w:left w:val="none" w:sz="0" w:space="0" w:color="auto"/>
                                                            <w:bottom w:val="none" w:sz="0" w:space="0" w:color="auto"/>
                                                            <w:right w:val="none" w:sz="0" w:space="0" w:color="auto"/>
                                                          </w:divBdr>
                                                          <w:divsChild>
                                                            <w:div w:id="956909214">
                                                              <w:marLeft w:val="0"/>
                                                              <w:marRight w:val="0"/>
                                                              <w:marTop w:val="0"/>
                                                              <w:marBottom w:val="0"/>
                                                              <w:divBdr>
                                                                <w:top w:val="none" w:sz="0" w:space="0" w:color="auto"/>
                                                                <w:left w:val="none" w:sz="0" w:space="0" w:color="auto"/>
                                                                <w:bottom w:val="none" w:sz="0" w:space="0" w:color="auto"/>
                                                                <w:right w:val="none" w:sz="0" w:space="0" w:color="auto"/>
                                                              </w:divBdr>
                                                            </w:div>
                                                            <w:div w:id="1017927604">
                                                              <w:marLeft w:val="0"/>
                                                              <w:marRight w:val="0"/>
                                                              <w:marTop w:val="0"/>
                                                              <w:marBottom w:val="0"/>
                                                              <w:divBdr>
                                                                <w:top w:val="none" w:sz="0" w:space="0" w:color="auto"/>
                                                                <w:left w:val="none" w:sz="0" w:space="0" w:color="auto"/>
                                                                <w:bottom w:val="none" w:sz="0" w:space="0" w:color="auto"/>
                                                                <w:right w:val="none" w:sz="0" w:space="0" w:color="auto"/>
                                                              </w:divBdr>
                                                            </w:div>
                                                            <w:div w:id="1143276051">
                                                              <w:marLeft w:val="0"/>
                                                              <w:marRight w:val="0"/>
                                                              <w:marTop w:val="0"/>
                                                              <w:marBottom w:val="0"/>
                                                              <w:divBdr>
                                                                <w:top w:val="none" w:sz="0" w:space="0" w:color="auto"/>
                                                                <w:left w:val="none" w:sz="0" w:space="0" w:color="auto"/>
                                                                <w:bottom w:val="none" w:sz="0" w:space="0" w:color="auto"/>
                                                                <w:right w:val="none" w:sz="0" w:space="0" w:color="auto"/>
                                                              </w:divBdr>
                                                            </w:div>
                                                            <w:div w:id="1319075403">
                                                              <w:marLeft w:val="0"/>
                                                              <w:marRight w:val="0"/>
                                                              <w:marTop w:val="0"/>
                                                              <w:marBottom w:val="0"/>
                                                              <w:divBdr>
                                                                <w:top w:val="none" w:sz="0" w:space="0" w:color="auto"/>
                                                                <w:left w:val="none" w:sz="0" w:space="0" w:color="auto"/>
                                                                <w:bottom w:val="none" w:sz="0" w:space="0" w:color="auto"/>
                                                                <w:right w:val="none" w:sz="0" w:space="0" w:color="auto"/>
                                                              </w:divBdr>
                                                            </w:div>
                                                            <w:div w:id="1344432118">
                                                              <w:marLeft w:val="0"/>
                                                              <w:marRight w:val="0"/>
                                                              <w:marTop w:val="0"/>
                                                              <w:marBottom w:val="0"/>
                                                              <w:divBdr>
                                                                <w:top w:val="none" w:sz="0" w:space="0" w:color="auto"/>
                                                                <w:left w:val="none" w:sz="0" w:space="0" w:color="auto"/>
                                                                <w:bottom w:val="none" w:sz="0" w:space="0" w:color="auto"/>
                                                                <w:right w:val="none" w:sz="0" w:space="0" w:color="auto"/>
                                                              </w:divBdr>
                                                            </w:div>
                                                            <w:div w:id="1556350762">
                                                              <w:marLeft w:val="0"/>
                                                              <w:marRight w:val="0"/>
                                                              <w:marTop w:val="0"/>
                                                              <w:marBottom w:val="0"/>
                                                              <w:divBdr>
                                                                <w:top w:val="none" w:sz="0" w:space="0" w:color="auto"/>
                                                                <w:left w:val="none" w:sz="0" w:space="0" w:color="auto"/>
                                                                <w:bottom w:val="none" w:sz="0" w:space="0" w:color="auto"/>
                                                                <w:right w:val="none" w:sz="0" w:space="0" w:color="auto"/>
                                                              </w:divBdr>
                                                            </w:div>
                                                            <w:div w:id="1899974313">
                                                              <w:marLeft w:val="0"/>
                                                              <w:marRight w:val="0"/>
                                                              <w:marTop w:val="0"/>
                                                              <w:marBottom w:val="0"/>
                                                              <w:divBdr>
                                                                <w:top w:val="none" w:sz="0" w:space="0" w:color="auto"/>
                                                                <w:left w:val="none" w:sz="0" w:space="0" w:color="auto"/>
                                                                <w:bottom w:val="none" w:sz="0" w:space="0" w:color="auto"/>
                                                                <w:right w:val="none" w:sz="0" w:space="0" w:color="auto"/>
                                                              </w:divBdr>
                                                            </w:div>
                                                            <w:div w:id="1913662417">
                                                              <w:marLeft w:val="0"/>
                                                              <w:marRight w:val="0"/>
                                                              <w:marTop w:val="0"/>
                                                              <w:marBottom w:val="0"/>
                                                              <w:divBdr>
                                                                <w:top w:val="none" w:sz="0" w:space="0" w:color="auto"/>
                                                                <w:left w:val="none" w:sz="0" w:space="0" w:color="auto"/>
                                                                <w:bottom w:val="none" w:sz="0" w:space="0" w:color="auto"/>
                                                                <w:right w:val="none" w:sz="0" w:space="0" w:color="auto"/>
                                                              </w:divBdr>
                                                            </w:div>
                                                            <w:div w:id="1957713888">
                                                              <w:marLeft w:val="0"/>
                                                              <w:marRight w:val="0"/>
                                                              <w:marTop w:val="0"/>
                                                              <w:marBottom w:val="0"/>
                                                              <w:divBdr>
                                                                <w:top w:val="none" w:sz="0" w:space="0" w:color="auto"/>
                                                                <w:left w:val="none" w:sz="0" w:space="0" w:color="auto"/>
                                                                <w:bottom w:val="none" w:sz="0" w:space="0" w:color="auto"/>
                                                                <w:right w:val="none" w:sz="0" w:space="0" w:color="auto"/>
                                                              </w:divBdr>
                                                            </w:div>
                                                            <w:div w:id="211891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04431327">
      <w:bodyDiv w:val="1"/>
      <w:marLeft w:val="0"/>
      <w:marRight w:val="0"/>
      <w:marTop w:val="0"/>
      <w:marBottom w:val="0"/>
      <w:divBdr>
        <w:top w:val="none" w:sz="0" w:space="0" w:color="auto"/>
        <w:left w:val="none" w:sz="0" w:space="0" w:color="auto"/>
        <w:bottom w:val="none" w:sz="0" w:space="0" w:color="auto"/>
        <w:right w:val="none" w:sz="0" w:space="0" w:color="auto"/>
      </w:divBdr>
      <w:divsChild>
        <w:div w:id="456030097">
          <w:marLeft w:val="0"/>
          <w:marRight w:val="0"/>
          <w:marTop w:val="0"/>
          <w:marBottom w:val="0"/>
          <w:divBdr>
            <w:top w:val="none" w:sz="0" w:space="0" w:color="auto"/>
            <w:left w:val="none" w:sz="0" w:space="0" w:color="auto"/>
            <w:bottom w:val="none" w:sz="0" w:space="0" w:color="auto"/>
            <w:right w:val="none" w:sz="0" w:space="0" w:color="auto"/>
          </w:divBdr>
        </w:div>
        <w:div w:id="1814518350">
          <w:marLeft w:val="0"/>
          <w:marRight w:val="0"/>
          <w:marTop w:val="0"/>
          <w:marBottom w:val="0"/>
          <w:divBdr>
            <w:top w:val="none" w:sz="0" w:space="0" w:color="auto"/>
            <w:left w:val="none" w:sz="0" w:space="0" w:color="auto"/>
            <w:bottom w:val="none" w:sz="0" w:space="0" w:color="auto"/>
            <w:right w:val="none" w:sz="0" w:space="0" w:color="auto"/>
          </w:divBdr>
        </w:div>
        <w:div w:id="2000496323">
          <w:marLeft w:val="0"/>
          <w:marRight w:val="0"/>
          <w:marTop w:val="0"/>
          <w:marBottom w:val="0"/>
          <w:divBdr>
            <w:top w:val="none" w:sz="0" w:space="0" w:color="auto"/>
            <w:left w:val="none" w:sz="0" w:space="0" w:color="auto"/>
            <w:bottom w:val="none" w:sz="0" w:space="0" w:color="auto"/>
            <w:right w:val="none" w:sz="0" w:space="0" w:color="auto"/>
          </w:divBdr>
        </w:div>
      </w:divsChild>
    </w:div>
    <w:div w:id="318506050">
      <w:bodyDiv w:val="1"/>
      <w:marLeft w:val="0"/>
      <w:marRight w:val="0"/>
      <w:marTop w:val="0"/>
      <w:marBottom w:val="0"/>
      <w:divBdr>
        <w:top w:val="none" w:sz="0" w:space="0" w:color="auto"/>
        <w:left w:val="none" w:sz="0" w:space="0" w:color="auto"/>
        <w:bottom w:val="none" w:sz="0" w:space="0" w:color="auto"/>
        <w:right w:val="none" w:sz="0" w:space="0" w:color="auto"/>
      </w:divBdr>
    </w:div>
    <w:div w:id="329018836">
      <w:bodyDiv w:val="1"/>
      <w:marLeft w:val="0"/>
      <w:marRight w:val="0"/>
      <w:marTop w:val="0"/>
      <w:marBottom w:val="0"/>
      <w:divBdr>
        <w:top w:val="none" w:sz="0" w:space="0" w:color="auto"/>
        <w:left w:val="none" w:sz="0" w:space="0" w:color="auto"/>
        <w:bottom w:val="none" w:sz="0" w:space="0" w:color="auto"/>
        <w:right w:val="none" w:sz="0" w:space="0" w:color="auto"/>
      </w:divBdr>
    </w:div>
    <w:div w:id="370303785">
      <w:bodyDiv w:val="1"/>
      <w:marLeft w:val="0"/>
      <w:marRight w:val="0"/>
      <w:marTop w:val="0"/>
      <w:marBottom w:val="0"/>
      <w:divBdr>
        <w:top w:val="none" w:sz="0" w:space="0" w:color="auto"/>
        <w:left w:val="none" w:sz="0" w:space="0" w:color="auto"/>
        <w:bottom w:val="none" w:sz="0" w:space="0" w:color="auto"/>
        <w:right w:val="none" w:sz="0" w:space="0" w:color="auto"/>
      </w:divBdr>
      <w:divsChild>
        <w:div w:id="635336963">
          <w:marLeft w:val="0"/>
          <w:marRight w:val="0"/>
          <w:marTop w:val="0"/>
          <w:marBottom w:val="0"/>
          <w:divBdr>
            <w:top w:val="none" w:sz="0" w:space="0" w:color="auto"/>
            <w:left w:val="none" w:sz="0" w:space="0" w:color="auto"/>
            <w:bottom w:val="none" w:sz="0" w:space="0" w:color="auto"/>
            <w:right w:val="none" w:sz="0" w:space="0" w:color="auto"/>
          </w:divBdr>
        </w:div>
        <w:div w:id="1974289447">
          <w:marLeft w:val="0"/>
          <w:marRight w:val="0"/>
          <w:marTop w:val="0"/>
          <w:marBottom w:val="0"/>
          <w:divBdr>
            <w:top w:val="none" w:sz="0" w:space="0" w:color="auto"/>
            <w:left w:val="none" w:sz="0" w:space="0" w:color="auto"/>
            <w:bottom w:val="none" w:sz="0" w:space="0" w:color="auto"/>
            <w:right w:val="none" w:sz="0" w:space="0" w:color="auto"/>
          </w:divBdr>
        </w:div>
      </w:divsChild>
    </w:div>
    <w:div w:id="381759884">
      <w:bodyDiv w:val="1"/>
      <w:marLeft w:val="0"/>
      <w:marRight w:val="0"/>
      <w:marTop w:val="0"/>
      <w:marBottom w:val="0"/>
      <w:divBdr>
        <w:top w:val="none" w:sz="0" w:space="0" w:color="auto"/>
        <w:left w:val="none" w:sz="0" w:space="0" w:color="auto"/>
        <w:bottom w:val="none" w:sz="0" w:space="0" w:color="auto"/>
        <w:right w:val="none" w:sz="0" w:space="0" w:color="auto"/>
      </w:divBdr>
      <w:divsChild>
        <w:div w:id="1065959112">
          <w:marLeft w:val="0"/>
          <w:marRight w:val="0"/>
          <w:marTop w:val="0"/>
          <w:marBottom w:val="0"/>
          <w:divBdr>
            <w:top w:val="none" w:sz="0" w:space="0" w:color="auto"/>
            <w:left w:val="none" w:sz="0" w:space="0" w:color="auto"/>
            <w:bottom w:val="none" w:sz="0" w:space="0" w:color="auto"/>
            <w:right w:val="none" w:sz="0" w:space="0" w:color="auto"/>
          </w:divBdr>
        </w:div>
        <w:div w:id="1496335183">
          <w:marLeft w:val="0"/>
          <w:marRight w:val="0"/>
          <w:marTop w:val="0"/>
          <w:marBottom w:val="0"/>
          <w:divBdr>
            <w:top w:val="none" w:sz="0" w:space="0" w:color="auto"/>
            <w:left w:val="none" w:sz="0" w:space="0" w:color="auto"/>
            <w:bottom w:val="none" w:sz="0" w:space="0" w:color="auto"/>
            <w:right w:val="none" w:sz="0" w:space="0" w:color="auto"/>
          </w:divBdr>
        </w:div>
        <w:div w:id="1596788646">
          <w:marLeft w:val="0"/>
          <w:marRight w:val="0"/>
          <w:marTop w:val="0"/>
          <w:marBottom w:val="0"/>
          <w:divBdr>
            <w:top w:val="none" w:sz="0" w:space="0" w:color="auto"/>
            <w:left w:val="none" w:sz="0" w:space="0" w:color="auto"/>
            <w:bottom w:val="none" w:sz="0" w:space="0" w:color="auto"/>
            <w:right w:val="none" w:sz="0" w:space="0" w:color="auto"/>
          </w:divBdr>
        </w:div>
        <w:div w:id="1638753843">
          <w:marLeft w:val="0"/>
          <w:marRight w:val="0"/>
          <w:marTop w:val="0"/>
          <w:marBottom w:val="0"/>
          <w:divBdr>
            <w:top w:val="none" w:sz="0" w:space="0" w:color="auto"/>
            <w:left w:val="none" w:sz="0" w:space="0" w:color="auto"/>
            <w:bottom w:val="none" w:sz="0" w:space="0" w:color="auto"/>
            <w:right w:val="none" w:sz="0" w:space="0" w:color="auto"/>
          </w:divBdr>
        </w:div>
      </w:divsChild>
    </w:div>
    <w:div w:id="399863824">
      <w:bodyDiv w:val="1"/>
      <w:marLeft w:val="0"/>
      <w:marRight w:val="0"/>
      <w:marTop w:val="0"/>
      <w:marBottom w:val="0"/>
      <w:divBdr>
        <w:top w:val="none" w:sz="0" w:space="0" w:color="auto"/>
        <w:left w:val="none" w:sz="0" w:space="0" w:color="auto"/>
        <w:bottom w:val="none" w:sz="0" w:space="0" w:color="auto"/>
        <w:right w:val="none" w:sz="0" w:space="0" w:color="auto"/>
      </w:divBdr>
      <w:divsChild>
        <w:div w:id="962541005">
          <w:marLeft w:val="0"/>
          <w:marRight w:val="0"/>
          <w:marTop w:val="0"/>
          <w:marBottom w:val="0"/>
          <w:divBdr>
            <w:top w:val="none" w:sz="0" w:space="0" w:color="auto"/>
            <w:left w:val="none" w:sz="0" w:space="0" w:color="auto"/>
            <w:bottom w:val="none" w:sz="0" w:space="0" w:color="auto"/>
            <w:right w:val="none" w:sz="0" w:space="0" w:color="auto"/>
          </w:divBdr>
        </w:div>
        <w:div w:id="1326203276">
          <w:marLeft w:val="0"/>
          <w:marRight w:val="0"/>
          <w:marTop w:val="0"/>
          <w:marBottom w:val="0"/>
          <w:divBdr>
            <w:top w:val="none" w:sz="0" w:space="0" w:color="auto"/>
            <w:left w:val="none" w:sz="0" w:space="0" w:color="auto"/>
            <w:bottom w:val="none" w:sz="0" w:space="0" w:color="auto"/>
            <w:right w:val="none" w:sz="0" w:space="0" w:color="auto"/>
          </w:divBdr>
        </w:div>
        <w:div w:id="1518500101">
          <w:marLeft w:val="0"/>
          <w:marRight w:val="0"/>
          <w:marTop w:val="0"/>
          <w:marBottom w:val="0"/>
          <w:divBdr>
            <w:top w:val="none" w:sz="0" w:space="0" w:color="auto"/>
            <w:left w:val="none" w:sz="0" w:space="0" w:color="auto"/>
            <w:bottom w:val="none" w:sz="0" w:space="0" w:color="auto"/>
            <w:right w:val="none" w:sz="0" w:space="0" w:color="auto"/>
          </w:divBdr>
        </w:div>
        <w:div w:id="1524591182">
          <w:marLeft w:val="0"/>
          <w:marRight w:val="0"/>
          <w:marTop w:val="0"/>
          <w:marBottom w:val="0"/>
          <w:divBdr>
            <w:top w:val="none" w:sz="0" w:space="0" w:color="auto"/>
            <w:left w:val="none" w:sz="0" w:space="0" w:color="auto"/>
            <w:bottom w:val="none" w:sz="0" w:space="0" w:color="auto"/>
            <w:right w:val="none" w:sz="0" w:space="0" w:color="auto"/>
          </w:divBdr>
        </w:div>
        <w:div w:id="1614441392">
          <w:marLeft w:val="0"/>
          <w:marRight w:val="0"/>
          <w:marTop w:val="0"/>
          <w:marBottom w:val="0"/>
          <w:divBdr>
            <w:top w:val="none" w:sz="0" w:space="0" w:color="auto"/>
            <w:left w:val="none" w:sz="0" w:space="0" w:color="auto"/>
            <w:bottom w:val="none" w:sz="0" w:space="0" w:color="auto"/>
            <w:right w:val="none" w:sz="0" w:space="0" w:color="auto"/>
          </w:divBdr>
        </w:div>
        <w:div w:id="1849172437">
          <w:marLeft w:val="0"/>
          <w:marRight w:val="0"/>
          <w:marTop w:val="0"/>
          <w:marBottom w:val="0"/>
          <w:divBdr>
            <w:top w:val="none" w:sz="0" w:space="0" w:color="auto"/>
            <w:left w:val="none" w:sz="0" w:space="0" w:color="auto"/>
            <w:bottom w:val="none" w:sz="0" w:space="0" w:color="auto"/>
            <w:right w:val="none" w:sz="0" w:space="0" w:color="auto"/>
          </w:divBdr>
        </w:div>
        <w:div w:id="1895463987">
          <w:marLeft w:val="0"/>
          <w:marRight w:val="0"/>
          <w:marTop w:val="0"/>
          <w:marBottom w:val="0"/>
          <w:divBdr>
            <w:top w:val="none" w:sz="0" w:space="0" w:color="auto"/>
            <w:left w:val="none" w:sz="0" w:space="0" w:color="auto"/>
            <w:bottom w:val="none" w:sz="0" w:space="0" w:color="auto"/>
            <w:right w:val="none" w:sz="0" w:space="0" w:color="auto"/>
          </w:divBdr>
        </w:div>
        <w:div w:id="1934127945">
          <w:marLeft w:val="0"/>
          <w:marRight w:val="0"/>
          <w:marTop w:val="0"/>
          <w:marBottom w:val="0"/>
          <w:divBdr>
            <w:top w:val="none" w:sz="0" w:space="0" w:color="auto"/>
            <w:left w:val="none" w:sz="0" w:space="0" w:color="auto"/>
            <w:bottom w:val="none" w:sz="0" w:space="0" w:color="auto"/>
            <w:right w:val="none" w:sz="0" w:space="0" w:color="auto"/>
          </w:divBdr>
        </w:div>
      </w:divsChild>
    </w:div>
    <w:div w:id="431975684">
      <w:bodyDiv w:val="1"/>
      <w:marLeft w:val="0"/>
      <w:marRight w:val="0"/>
      <w:marTop w:val="0"/>
      <w:marBottom w:val="0"/>
      <w:divBdr>
        <w:top w:val="none" w:sz="0" w:space="0" w:color="auto"/>
        <w:left w:val="none" w:sz="0" w:space="0" w:color="auto"/>
        <w:bottom w:val="none" w:sz="0" w:space="0" w:color="auto"/>
        <w:right w:val="none" w:sz="0" w:space="0" w:color="auto"/>
      </w:divBdr>
      <w:divsChild>
        <w:div w:id="282276453">
          <w:marLeft w:val="0"/>
          <w:marRight w:val="0"/>
          <w:marTop w:val="0"/>
          <w:marBottom w:val="0"/>
          <w:divBdr>
            <w:top w:val="none" w:sz="0" w:space="0" w:color="auto"/>
            <w:left w:val="none" w:sz="0" w:space="0" w:color="auto"/>
            <w:bottom w:val="none" w:sz="0" w:space="0" w:color="auto"/>
            <w:right w:val="none" w:sz="0" w:space="0" w:color="auto"/>
          </w:divBdr>
        </w:div>
        <w:div w:id="1886597901">
          <w:marLeft w:val="0"/>
          <w:marRight w:val="0"/>
          <w:marTop w:val="0"/>
          <w:marBottom w:val="0"/>
          <w:divBdr>
            <w:top w:val="none" w:sz="0" w:space="0" w:color="auto"/>
            <w:left w:val="none" w:sz="0" w:space="0" w:color="auto"/>
            <w:bottom w:val="none" w:sz="0" w:space="0" w:color="auto"/>
            <w:right w:val="none" w:sz="0" w:space="0" w:color="auto"/>
          </w:divBdr>
        </w:div>
      </w:divsChild>
    </w:div>
    <w:div w:id="443694051">
      <w:bodyDiv w:val="1"/>
      <w:marLeft w:val="0"/>
      <w:marRight w:val="0"/>
      <w:marTop w:val="0"/>
      <w:marBottom w:val="0"/>
      <w:divBdr>
        <w:top w:val="none" w:sz="0" w:space="0" w:color="auto"/>
        <w:left w:val="none" w:sz="0" w:space="0" w:color="auto"/>
        <w:bottom w:val="none" w:sz="0" w:space="0" w:color="auto"/>
        <w:right w:val="none" w:sz="0" w:space="0" w:color="auto"/>
      </w:divBdr>
      <w:divsChild>
        <w:div w:id="249657689">
          <w:marLeft w:val="0"/>
          <w:marRight w:val="0"/>
          <w:marTop w:val="0"/>
          <w:marBottom w:val="0"/>
          <w:divBdr>
            <w:top w:val="single" w:sz="2" w:space="0" w:color="auto"/>
            <w:left w:val="single" w:sz="2" w:space="0" w:color="auto"/>
            <w:bottom w:val="single" w:sz="2" w:space="0" w:color="auto"/>
            <w:right w:val="single" w:sz="2" w:space="0" w:color="auto"/>
          </w:divBdr>
          <w:divsChild>
            <w:div w:id="2121875234">
              <w:marLeft w:val="0"/>
              <w:marRight w:val="0"/>
              <w:marTop w:val="0"/>
              <w:marBottom w:val="0"/>
              <w:divBdr>
                <w:top w:val="single" w:sz="2" w:space="0" w:color="auto"/>
                <w:left w:val="single" w:sz="2" w:space="0" w:color="auto"/>
                <w:bottom w:val="single" w:sz="2" w:space="0" w:color="auto"/>
                <w:right w:val="single" w:sz="2" w:space="0" w:color="auto"/>
              </w:divBdr>
              <w:divsChild>
                <w:div w:id="121577267">
                  <w:marLeft w:val="0"/>
                  <w:marRight w:val="0"/>
                  <w:marTop w:val="0"/>
                  <w:marBottom w:val="0"/>
                  <w:divBdr>
                    <w:top w:val="single" w:sz="2" w:space="0" w:color="auto"/>
                    <w:left w:val="single" w:sz="2" w:space="0" w:color="auto"/>
                    <w:bottom w:val="single" w:sz="2" w:space="0" w:color="auto"/>
                    <w:right w:val="single" w:sz="2" w:space="0" w:color="auto"/>
                  </w:divBdr>
                  <w:divsChild>
                    <w:div w:id="822355671">
                      <w:marLeft w:val="0"/>
                      <w:marRight w:val="0"/>
                      <w:marTop w:val="0"/>
                      <w:marBottom w:val="0"/>
                      <w:divBdr>
                        <w:top w:val="single" w:sz="2" w:space="0" w:color="auto"/>
                        <w:left w:val="single" w:sz="2" w:space="0" w:color="auto"/>
                        <w:bottom w:val="single" w:sz="2" w:space="0" w:color="auto"/>
                        <w:right w:val="single" w:sz="2" w:space="0" w:color="auto"/>
                      </w:divBdr>
                      <w:divsChild>
                        <w:div w:id="1181889624">
                          <w:marLeft w:val="0"/>
                          <w:marRight w:val="0"/>
                          <w:marTop w:val="180"/>
                          <w:marBottom w:val="0"/>
                          <w:divBdr>
                            <w:top w:val="single" w:sz="2" w:space="0" w:color="auto"/>
                            <w:left w:val="single" w:sz="2" w:space="6" w:color="auto"/>
                            <w:bottom w:val="single" w:sz="2" w:space="0" w:color="auto"/>
                            <w:right w:val="single" w:sz="2" w:space="6" w:color="auto"/>
                          </w:divBdr>
                          <w:divsChild>
                            <w:div w:id="1482690813">
                              <w:marLeft w:val="0"/>
                              <w:marRight w:val="0"/>
                              <w:marTop w:val="0"/>
                              <w:marBottom w:val="0"/>
                              <w:divBdr>
                                <w:top w:val="single" w:sz="2" w:space="0" w:color="auto"/>
                                <w:left w:val="single" w:sz="2" w:space="0" w:color="auto"/>
                                <w:bottom w:val="single" w:sz="2" w:space="0" w:color="auto"/>
                                <w:right w:val="single" w:sz="2" w:space="0" w:color="auto"/>
                              </w:divBdr>
                              <w:divsChild>
                                <w:div w:id="754128326">
                                  <w:marLeft w:val="0"/>
                                  <w:marRight w:val="0"/>
                                  <w:marTop w:val="0"/>
                                  <w:marBottom w:val="0"/>
                                  <w:divBdr>
                                    <w:top w:val="single" w:sz="2" w:space="0" w:color="auto"/>
                                    <w:left w:val="single" w:sz="2" w:space="0" w:color="auto"/>
                                    <w:bottom w:val="single" w:sz="2" w:space="0" w:color="auto"/>
                                    <w:right w:val="single" w:sz="2" w:space="0" w:color="auto"/>
                                  </w:divBdr>
                                  <w:divsChild>
                                    <w:div w:id="997729834">
                                      <w:marLeft w:val="0"/>
                                      <w:marRight w:val="0"/>
                                      <w:marTop w:val="0"/>
                                      <w:marBottom w:val="0"/>
                                      <w:divBdr>
                                        <w:top w:val="single" w:sz="2" w:space="0" w:color="auto"/>
                                        <w:left w:val="single" w:sz="2" w:space="0" w:color="auto"/>
                                        <w:bottom w:val="single" w:sz="2" w:space="0" w:color="auto"/>
                                        <w:right w:val="single" w:sz="2" w:space="0" w:color="auto"/>
                                      </w:divBdr>
                                      <w:divsChild>
                                        <w:div w:id="241725563">
                                          <w:marLeft w:val="0"/>
                                          <w:marRight w:val="0"/>
                                          <w:marTop w:val="0"/>
                                          <w:marBottom w:val="0"/>
                                          <w:divBdr>
                                            <w:top w:val="single" w:sz="2" w:space="0" w:color="auto"/>
                                            <w:left w:val="single" w:sz="2" w:space="0" w:color="auto"/>
                                            <w:bottom w:val="single" w:sz="2" w:space="0" w:color="auto"/>
                                            <w:right w:val="single" w:sz="2" w:space="0" w:color="auto"/>
                                          </w:divBdr>
                                          <w:divsChild>
                                            <w:div w:id="282929158">
                                              <w:marLeft w:val="0"/>
                                              <w:marRight w:val="0"/>
                                              <w:marTop w:val="0"/>
                                              <w:marBottom w:val="0"/>
                                              <w:divBdr>
                                                <w:top w:val="single" w:sz="2" w:space="0" w:color="auto"/>
                                                <w:left w:val="single" w:sz="2" w:space="0" w:color="auto"/>
                                                <w:bottom w:val="single" w:sz="2" w:space="0" w:color="auto"/>
                                                <w:right w:val="single" w:sz="2" w:space="0" w:color="auto"/>
                                              </w:divBdr>
                                              <w:divsChild>
                                                <w:div w:id="2014264124">
                                                  <w:marLeft w:val="0"/>
                                                  <w:marRight w:val="0"/>
                                                  <w:marTop w:val="0"/>
                                                  <w:marBottom w:val="0"/>
                                                  <w:divBdr>
                                                    <w:top w:val="single" w:sz="2" w:space="0" w:color="auto"/>
                                                    <w:left w:val="single" w:sz="2" w:space="0" w:color="auto"/>
                                                    <w:bottom w:val="single" w:sz="2" w:space="0" w:color="auto"/>
                                                    <w:right w:val="single" w:sz="2" w:space="0" w:color="auto"/>
                                                  </w:divBdr>
                                                  <w:divsChild>
                                                    <w:div w:id="121584900">
                                                      <w:marLeft w:val="0"/>
                                                      <w:marRight w:val="0"/>
                                                      <w:marTop w:val="0"/>
                                                      <w:marBottom w:val="0"/>
                                                      <w:divBdr>
                                                        <w:top w:val="single" w:sz="2" w:space="0" w:color="auto"/>
                                                        <w:left w:val="single" w:sz="2" w:space="0" w:color="auto"/>
                                                        <w:bottom w:val="single" w:sz="2" w:space="0" w:color="auto"/>
                                                        <w:right w:val="single" w:sz="2" w:space="0" w:color="auto"/>
                                                      </w:divBdr>
                                                    </w:div>
                                                    <w:div w:id="396899961">
                                                      <w:marLeft w:val="0"/>
                                                      <w:marRight w:val="0"/>
                                                      <w:marTop w:val="0"/>
                                                      <w:marBottom w:val="0"/>
                                                      <w:divBdr>
                                                        <w:top w:val="single" w:sz="2" w:space="0" w:color="auto"/>
                                                        <w:left w:val="single" w:sz="2" w:space="0" w:color="auto"/>
                                                        <w:bottom w:val="single" w:sz="2" w:space="0" w:color="auto"/>
                                                        <w:right w:val="single" w:sz="2" w:space="0" w:color="auto"/>
                                                      </w:divBdr>
                                                    </w:div>
                                                    <w:div w:id="408305358">
                                                      <w:marLeft w:val="0"/>
                                                      <w:marRight w:val="0"/>
                                                      <w:marTop w:val="0"/>
                                                      <w:marBottom w:val="0"/>
                                                      <w:divBdr>
                                                        <w:top w:val="single" w:sz="2" w:space="0" w:color="auto"/>
                                                        <w:left w:val="single" w:sz="2" w:space="0" w:color="auto"/>
                                                        <w:bottom w:val="single" w:sz="2" w:space="0" w:color="auto"/>
                                                        <w:right w:val="single" w:sz="2" w:space="0" w:color="auto"/>
                                                      </w:divBdr>
                                                    </w:div>
                                                    <w:div w:id="685442966">
                                                      <w:marLeft w:val="0"/>
                                                      <w:marRight w:val="0"/>
                                                      <w:marTop w:val="0"/>
                                                      <w:marBottom w:val="0"/>
                                                      <w:divBdr>
                                                        <w:top w:val="single" w:sz="2" w:space="0" w:color="auto"/>
                                                        <w:left w:val="single" w:sz="2" w:space="0" w:color="auto"/>
                                                        <w:bottom w:val="single" w:sz="2" w:space="0" w:color="auto"/>
                                                        <w:right w:val="single" w:sz="2" w:space="0" w:color="auto"/>
                                                      </w:divBdr>
                                                    </w:div>
                                                    <w:div w:id="938100731">
                                                      <w:marLeft w:val="0"/>
                                                      <w:marRight w:val="0"/>
                                                      <w:marTop w:val="0"/>
                                                      <w:marBottom w:val="0"/>
                                                      <w:divBdr>
                                                        <w:top w:val="single" w:sz="2" w:space="0" w:color="auto"/>
                                                        <w:left w:val="single" w:sz="2" w:space="0" w:color="auto"/>
                                                        <w:bottom w:val="single" w:sz="2" w:space="0" w:color="auto"/>
                                                        <w:right w:val="single" w:sz="2" w:space="0" w:color="auto"/>
                                                      </w:divBdr>
                                                    </w:div>
                                                    <w:div w:id="1176652521">
                                                      <w:marLeft w:val="0"/>
                                                      <w:marRight w:val="0"/>
                                                      <w:marTop w:val="0"/>
                                                      <w:marBottom w:val="0"/>
                                                      <w:divBdr>
                                                        <w:top w:val="single" w:sz="2" w:space="0" w:color="auto"/>
                                                        <w:left w:val="single" w:sz="2" w:space="0" w:color="auto"/>
                                                        <w:bottom w:val="single" w:sz="2" w:space="0" w:color="auto"/>
                                                        <w:right w:val="single" w:sz="2" w:space="0" w:color="auto"/>
                                                      </w:divBdr>
                                                    </w:div>
                                                    <w:div w:id="1484354016">
                                                      <w:marLeft w:val="0"/>
                                                      <w:marRight w:val="0"/>
                                                      <w:marTop w:val="0"/>
                                                      <w:marBottom w:val="0"/>
                                                      <w:divBdr>
                                                        <w:top w:val="single" w:sz="2" w:space="0" w:color="auto"/>
                                                        <w:left w:val="single" w:sz="2" w:space="0" w:color="auto"/>
                                                        <w:bottom w:val="single" w:sz="2" w:space="0" w:color="auto"/>
                                                        <w:right w:val="single" w:sz="2" w:space="0" w:color="auto"/>
                                                      </w:divBdr>
                                                    </w:div>
                                                    <w:div w:id="1759714593">
                                                      <w:marLeft w:val="0"/>
                                                      <w:marRight w:val="0"/>
                                                      <w:marTop w:val="0"/>
                                                      <w:marBottom w:val="0"/>
                                                      <w:divBdr>
                                                        <w:top w:val="single" w:sz="2" w:space="0" w:color="auto"/>
                                                        <w:left w:val="single" w:sz="2" w:space="0" w:color="auto"/>
                                                        <w:bottom w:val="single" w:sz="2" w:space="0" w:color="auto"/>
                                                        <w:right w:val="single" w:sz="2" w:space="0" w:color="auto"/>
                                                      </w:divBdr>
                                                    </w:div>
                                                    <w:div w:id="18736171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sChild>
        </w:div>
      </w:divsChild>
    </w:div>
    <w:div w:id="457452461">
      <w:bodyDiv w:val="1"/>
      <w:marLeft w:val="0"/>
      <w:marRight w:val="0"/>
      <w:marTop w:val="0"/>
      <w:marBottom w:val="0"/>
      <w:divBdr>
        <w:top w:val="none" w:sz="0" w:space="0" w:color="auto"/>
        <w:left w:val="none" w:sz="0" w:space="0" w:color="auto"/>
        <w:bottom w:val="none" w:sz="0" w:space="0" w:color="auto"/>
        <w:right w:val="none" w:sz="0" w:space="0" w:color="auto"/>
      </w:divBdr>
      <w:divsChild>
        <w:div w:id="1088699784">
          <w:marLeft w:val="0"/>
          <w:marRight w:val="0"/>
          <w:marTop w:val="0"/>
          <w:marBottom w:val="0"/>
          <w:divBdr>
            <w:top w:val="none" w:sz="0" w:space="0" w:color="auto"/>
            <w:left w:val="none" w:sz="0" w:space="0" w:color="auto"/>
            <w:bottom w:val="none" w:sz="0" w:space="0" w:color="auto"/>
            <w:right w:val="none" w:sz="0" w:space="0" w:color="auto"/>
          </w:divBdr>
          <w:divsChild>
            <w:div w:id="815339089">
              <w:marLeft w:val="0"/>
              <w:marRight w:val="0"/>
              <w:marTop w:val="0"/>
              <w:marBottom w:val="0"/>
              <w:divBdr>
                <w:top w:val="none" w:sz="0" w:space="0" w:color="auto"/>
                <w:left w:val="none" w:sz="0" w:space="0" w:color="auto"/>
                <w:bottom w:val="none" w:sz="0" w:space="0" w:color="auto"/>
                <w:right w:val="none" w:sz="0" w:space="0" w:color="auto"/>
              </w:divBdr>
              <w:divsChild>
                <w:div w:id="266471726">
                  <w:marLeft w:val="0"/>
                  <w:marRight w:val="0"/>
                  <w:marTop w:val="0"/>
                  <w:marBottom w:val="0"/>
                  <w:divBdr>
                    <w:top w:val="none" w:sz="0" w:space="0" w:color="auto"/>
                    <w:left w:val="none" w:sz="0" w:space="0" w:color="auto"/>
                    <w:bottom w:val="none" w:sz="0" w:space="0" w:color="auto"/>
                    <w:right w:val="none" w:sz="0" w:space="0" w:color="auto"/>
                  </w:divBdr>
                  <w:divsChild>
                    <w:div w:id="761609698">
                      <w:marLeft w:val="0"/>
                      <w:marRight w:val="0"/>
                      <w:marTop w:val="0"/>
                      <w:marBottom w:val="0"/>
                      <w:divBdr>
                        <w:top w:val="none" w:sz="0" w:space="0" w:color="auto"/>
                        <w:left w:val="none" w:sz="0" w:space="0" w:color="auto"/>
                        <w:bottom w:val="none" w:sz="0" w:space="0" w:color="auto"/>
                        <w:right w:val="none" w:sz="0" w:space="0" w:color="auto"/>
                      </w:divBdr>
                      <w:divsChild>
                        <w:div w:id="467402863">
                          <w:marLeft w:val="0"/>
                          <w:marRight w:val="0"/>
                          <w:marTop w:val="0"/>
                          <w:marBottom w:val="0"/>
                          <w:divBdr>
                            <w:top w:val="none" w:sz="0" w:space="0" w:color="auto"/>
                            <w:left w:val="none" w:sz="0" w:space="0" w:color="auto"/>
                            <w:bottom w:val="none" w:sz="0" w:space="0" w:color="auto"/>
                            <w:right w:val="none" w:sz="0" w:space="0" w:color="auto"/>
                          </w:divBdr>
                          <w:divsChild>
                            <w:div w:id="992948495">
                              <w:marLeft w:val="0"/>
                              <w:marRight w:val="0"/>
                              <w:marTop w:val="0"/>
                              <w:marBottom w:val="0"/>
                              <w:divBdr>
                                <w:top w:val="none" w:sz="0" w:space="0" w:color="auto"/>
                                <w:left w:val="none" w:sz="0" w:space="0" w:color="auto"/>
                                <w:bottom w:val="none" w:sz="0" w:space="0" w:color="auto"/>
                                <w:right w:val="none" w:sz="0" w:space="0" w:color="auto"/>
                              </w:divBdr>
                              <w:divsChild>
                                <w:div w:id="1186555189">
                                  <w:marLeft w:val="0"/>
                                  <w:marRight w:val="0"/>
                                  <w:marTop w:val="0"/>
                                  <w:marBottom w:val="0"/>
                                  <w:divBdr>
                                    <w:top w:val="none" w:sz="0" w:space="0" w:color="auto"/>
                                    <w:left w:val="none" w:sz="0" w:space="0" w:color="auto"/>
                                    <w:bottom w:val="none" w:sz="0" w:space="0" w:color="auto"/>
                                    <w:right w:val="none" w:sz="0" w:space="0" w:color="auto"/>
                                  </w:divBdr>
                                  <w:divsChild>
                                    <w:div w:id="116920096">
                                      <w:marLeft w:val="0"/>
                                      <w:marRight w:val="0"/>
                                      <w:marTop w:val="0"/>
                                      <w:marBottom w:val="0"/>
                                      <w:divBdr>
                                        <w:top w:val="none" w:sz="0" w:space="0" w:color="auto"/>
                                        <w:left w:val="none" w:sz="0" w:space="0" w:color="auto"/>
                                        <w:bottom w:val="none" w:sz="0" w:space="0" w:color="auto"/>
                                        <w:right w:val="none" w:sz="0" w:space="0" w:color="auto"/>
                                      </w:divBdr>
                                      <w:divsChild>
                                        <w:div w:id="1327896548">
                                          <w:marLeft w:val="0"/>
                                          <w:marRight w:val="0"/>
                                          <w:marTop w:val="0"/>
                                          <w:marBottom w:val="0"/>
                                          <w:divBdr>
                                            <w:top w:val="none" w:sz="0" w:space="0" w:color="auto"/>
                                            <w:left w:val="none" w:sz="0" w:space="0" w:color="auto"/>
                                            <w:bottom w:val="none" w:sz="0" w:space="0" w:color="auto"/>
                                            <w:right w:val="none" w:sz="0" w:space="0" w:color="auto"/>
                                          </w:divBdr>
                                          <w:divsChild>
                                            <w:div w:id="256207451">
                                              <w:marLeft w:val="0"/>
                                              <w:marRight w:val="0"/>
                                              <w:marTop w:val="0"/>
                                              <w:marBottom w:val="0"/>
                                              <w:divBdr>
                                                <w:top w:val="none" w:sz="0" w:space="0" w:color="auto"/>
                                                <w:left w:val="none" w:sz="0" w:space="0" w:color="auto"/>
                                                <w:bottom w:val="none" w:sz="0" w:space="0" w:color="auto"/>
                                                <w:right w:val="none" w:sz="0" w:space="0" w:color="auto"/>
                                              </w:divBdr>
                                              <w:divsChild>
                                                <w:div w:id="878276553">
                                                  <w:marLeft w:val="0"/>
                                                  <w:marRight w:val="0"/>
                                                  <w:marTop w:val="0"/>
                                                  <w:marBottom w:val="0"/>
                                                  <w:divBdr>
                                                    <w:top w:val="none" w:sz="0" w:space="0" w:color="auto"/>
                                                    <w:left w:val="none" w:sz="0" w:space="0" w:color="auto"/>
                                                    <w:bottom w:val="none" w:sz="0" w:space="0" w:color="auto"/>
                                                    <w:right w:val="none" w:sz="0" w:space="0" w:color="auto"/>
                                                  </w:divBdr>
                                                  <w:divsChild>
                                                    <w:div w:id="2104448791">
                                                      <w:marLeft w:val="0"/>
                                                      <w:marRight w:val="0"/>
                                                      <w:marTop w:val="0"/>
                                                      <w:marBottom w:val="0"/>
                                                      <w:divBdr>
                                                        <w:top w:val="none" w:sz="0" w:space="0" w:color="auto"/>
                                                        <w:left w:val="none" w:sz="0" w:space="0" w:color="auto"/>
                                                        <w:bottom w:val="none" w:sz="0" w:space="0" w:color="auto"/>
                                                        <w:right w:val="none" w:sz="0" w:space="0" w:color="auto"/>
                                                      </w:divBdr>
                                                      <w:divsChild>
                                                        <w:div w:id="1531527002">
                                                          <w:marLeft w:val="0"/>
                                                          <w:marRight w:val="0"/>
                                                          <w:marTop w:val="0"/>
                                                          <w:marBottom w:val="0"/>
                                                          <w:divBdr>
                                                            <w:top w:val="none" w:sz="0" w:space="0" w:color="auto"/>
                                                            <w:left w:val="none" w:sz="0" w:space="0" w:color="auto"/>
                                                            <w:bottom w:val="none" w:sz="0" w:space="0" w:color="auto"/>
                                                            <w:right w:val="none" w:sz="0" w:space="0" w:color="auto"/>
                                                          </w:divBdr>
                                                          <w:divsChild>
                                                            <w:div w:id="285083681">
                                                              <w:marLeft w:val="0"/>
                                                              <w:marRight w:val="0"/>
                                                              <w:marTop w:val="0"/>
                                                              <w:marBottom w:val="0"/>
                                                              <w:divBdr>
                                                                <w:top w:val="none" w:sz="0" w:space="0" w:color="auto"/>
                                                                <w:left w:val="none" w:sz="0" w:space="0" w:color="auto"/>
                                                                <w:bottom w:val="none" w:sz="0" w:space="0" w:color="auto"/>
                                                                <w:right w:val="none" w:sz="0" w:space="0" w:color="auto"/>
                                                              </w:divBdr>
                                                            </w:div>
                                                            <w:div w:id="670988100">
                                                              <w:marLeft w:val="0"/>
                                                              <w:marRight w:val="0"/>
                                                              <w:marTop w:val="0"/>
                                                              <w:marBottom w:val="0"/>
                                                              <w:divBdr>
                                                                <w:top w:val="none" w:sz="0" w:space="0" w:color="auto"/>
                                                                <w:left w:val="none" w:sz="0" w:space="0" w:color="auto"/>
                                                                <w:bottom w:val="none" w:sz="0" w:space="0" w:color="auto"/>
                                                                <w:right w:val="none" w:sz="0" w:space="0" w:color="auto"/>
                                                              </w:divBdr>
                                                            </w:div>
                                                            <w:div w:id="767653128">
                                                              <w:marLeft w:val="0"/>
                                                              <w:marRight w:val="0"/>
                                                              <w:marTop w:val="0"/>
                                                              <w:marBottom w:val="0"/>
                                                              <w:divBdr>
                                                                <w:top w:val="none" w:sz="0" w:space="0" w:color="auto"/>
                                                                <w:left w:val="none" w:sz="0" w:space="0" w:color="auto"/>
                                                                <w:bottom w:val="none" w:sz="0" w:space="0" w:color="auto"/>
                                                                <w:right w:val="none" w:sz="0" w:space="0" w:color="auto"/>
                                                              </w:divBdr>
                                                            </w:div>
                                                            <w:div w:id="1573659912">
                                                              <w:marLeft w:val="0"/>
                                                              <w:marRight w:val="0"/>
                                                              <w:marTop w:val="0"/>
                                                              <w:marBottom w:val="0"/>
                                                              <w:divBdr>
                                                                <w:top w:val="none" w:sz="0" w:space="0" w:color="auto"/>
                                                                <w:left w:val="none" w:sz="0" w:space="0" w:color="auto"/>
                                                                <w:bottom w:val="none" w:sz="0" w:space="0" w:color="auto"/>
                                                                <w:right w:val="none" w:sz="0" w:space="0" w:color="auto"/>
                                                              </w:divBdr>
                                                            </w:div>
                                                            <w:div w:id="161895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71677108">
      <w:bodyDiv w:val="1"/>
      <w:marLeft w:val="0"/>
      <w:marRight w:val="0"/>
      <w:marTop w:val="0"/>
      <w:marBottom w:val="0"/>
      <w:divBdr>
        <w:top w:val="none" w:sz="0" w:space="0" w:color="auto"/>
        <w:left w:val="none" w:sz="0" w:space="0" w:color="auto"/>
        <w:bottom w:val="none" w:sz="0" w:space="0" w:color="auto"/>
        <w:right w:val="none" w:sz="0" w:space="0" w:color="auto"/>
      </w:divBdr>
      <w:divsChild>
        <w:div w:id="37633887">
          <w:marLeft w:val="0"/>
          <w:marRight w:val="0"/>
          <w:marTop w:val="0"/>
          <w:marBottom w:val="0"/>
          <w:divBdr>
            <w:top w:val="none" w:sz="0" w:space="0" w:color="auto"/>
            <w:left w:val="none" w:sz="0" w:space="0" w:color="auto"/>
            <w:bottom w:val="none" w:sz="0" w:space="0" w:color="auto"/>
            <w:right w:val="none" w:sz="0" w:space="0" w:color="auto"/>
          </w:divBdr>
        </w:div>
        <w:div w:id="867138154">
          <w:marLeft w:val="0"/>
          <w:marRight w:val="0"/>
          <w:marTop w:val="0"/>
          <w:marBottom w:val="0"/>
          <w:divBdr>
            <w:top w:val="none" w:sz="0" w:space="0" w:color="auto"/>
            <w:left w:val="none" w:sz="0" w:space="0" w:color="auto"/>
            <w:bottom w:val="none" w:sz="0" w:space="0" w:color="auto"/>
            <w:right w:val="none" w:sz="0" w:space="0" w:color="auto"/>
          </w:divBdr>
        </w:div>
        <w:div w:id="1114833401">
          <w:marLeft w:val="0"/>
          <w:marRight w:val="0"/>
          <w:marTop w:val="0"/>
          <w:marBottom w:val="0"/>
          <w:divBdr>
            <w:top w:val="none" w:sz="0" w:space="0" w:color="auto"/>
            <w:left w:val="none" w:sz="0" w:space="0" w:color="auto"/>
            <w:bottom w:val="none" w:sz="0" w:space="0" w:color="auto"/>
            <w:right w:val="none" w:sz="0" w:space="0" w:color="auto"/>
          </w:divBdr>
        </w:div>
        <w:div w:id="1167482919">
          <w:marLeft w:val="0"/>
          <w:marRight w:val="0"/>
          <w:marTop w:val="0"/>
          <w:marBottom w:val="0"/>
          <w:divBdr>
            <w:top w:val="none" w:sz="0" w:space="0" w:color="auto"/>
            <w:left w:val="none" w:sz="0" w:space="0" w:color="auto"/>
            <w:bottom w:val="none" w:sz="0" w:space="0" w:color="auto"/>
            <w:right w:val="none" w:sz="0" w:space="0" w:color="auto"/>
          </w:divBdr>
        </w:div>
        <w:div w:id="1420786735">
          <w:marLeft w:val="0"/>
          <w:marRight w:val="0"/>
          <w:marTop w:val="0"/>
          <w:marBottom w:val="0"/>
          <w:divBdr>
            <w:top w:val="none" w:sz="0" w:space="0" w:color="auto"/>
            <w:left w:val="none" w:sz="0" w:space="0" w:color="auto"/>
            <w:bottom w:val="none" w:sz="0" w:space="0" w:color="auto"/>
            <w:right w:val="none" w:sz="0" w:space="0" w:color="auto"/>
          </w:divBdr>
        </w:div>
        <w:div w:id="1549221783">
          <w:marLeft w:val="0"/>
          <w:marRight w:val="0"/>
          <w:marTop w:val="0"/>
          <w:marBottom w:val="0"/>
          <w:divBdr>
            <w:top w:val="none" w:sz="0" w:space="0" w:color="auto"/>
            <w:left w:val="none" w:sz="0" w:space="0" w:color="auto"/>
            <w:bottom w:val="none" w:sz="0" w:space="0" w:color="auto"/>
            <w:right w:val="none" w:sz="0" w:space="0" w:color="auto"/>
          </w:divBdr>
        </w:div>
        <w:div w:id="1847086793">
          <w:marLeft w:val="0"/>
          <w:marRight w:val="0"/>
          <w:marTop w:val="0"/>
          <w:marBottom w:val="0"/>
          <w:divBdr>
            <w:top w:val="none" w:sz="0" w:space="0" w:color="auto"/>
            <w:left w:val="none" w:sz="0" w:space="0" w:color="auto"/>
            <w:bottom w:val="none" w:sz="0" w:space="0" w:color="auto"/>
            <w:right w:val="none" w:sz="0" w:space="0" w:color="auto"/>
          </w:divBdr>
        </w:div>
      </w:divsChild>
    </w:div>
    <w:div w:id="481701294">
      <w:bodyDiv w:val="1"/>
      <w:marLeft w:val="0"/>
      <w:marRight w:val="0"/>
      <w:marTop w:val="0"/>
      <w:marBottom w:val="0"/>
      <w:divBdr>
        <w:top w:val="none" w:sz="0" w:space="0" w:color="auto"/>
        <w:left w:val="none" w:sz="0" w:space="0" w:color="auto"/>
        <w:bottom w:val="none" w:sz="0" w:space="0" w:color="auto"/>
        <w:right w:val="none" w:sz="0" w:space="0" w:color="auto"/>
      </w:divBdr>
    </w:div>
    <w:div w:id="488250333">
      <w:bodyDiv w:val="1"/>
      <w:marLeft w:val="0"/>
      <w:marRight w:val="0"/>
      <w:marTop w:val="0"/>
      <w:marBottom w:val="0"/>
      <w:divBdr>
        <w:top w:val="none" w:sz="0" w:space="0" w:color="auto"/>
        <w:left w:val="none" w:sz="0" w:space="0" w:color="auto"/>
        <w:bottom w:val="none" w:sz="0" w:space="0" w:color="auto"/>
        <w:right w:val="none" w:sz="0" w:space="0" w:color="auto"/>
      </w:divBdr>
      <w:divsChild>
        <w:div w:id="576524860">
          <w:marLeft w:val="0"/>
          <w:marRight w:val="0"/>
          <w:marTop w:val="0"/>
          <w:marBottom w:val="0"/>
          <w:divBdr>
            <w:top w:val="none" w:sz="0" w:space="0" w:color="auto"/>
            <w:left w:val="none" w:sz="0" w:space="0" w:color="auto"/>
            <w:bottom w:val="none" w:sz="0" w:space="0" w:color="auto"/>
            <w:right w:val="none" w:sz="0" w:space="0" w:color="auto"/>
          </w:divBdr>
          <w:divsChild>
            <w:div w:id="1296570327">
              <w:marLeft w:val="0"/>
              <w:marRight w:val="0"/>
              <w:marTop w:val="0"/>
              <w:marBottom w:val="0"/>
              <w:divBdr>
                <w:top w:val="none" w:sz="0" w:space="0" w:color="auto"/>
                <w:left w:val="none" w:sz="0" w:space="0" w:color="auto"/>
                <w:bottom w:val="none" w:sz="0" w:space="0" w:color="auto"/>
                <w:right w:val="none" w:sz="0" w:space="0" w:color="auto"/>
              </w:divBdr>
              <w:divsChild>
                <w:div w:id="1209679415">
                  <w:marLeft w:val="0"/>
                  <w:marRight w:val="0"/>
                  <w:marTop w:val="0"/>
                  <w:marBottom w:val="0"/>
                  <w:divBdr>
                    <w:top w:val="none" w:sz="0" w:space="0" w:color="auto"/>
                    <w:left w:val="none" w:sz="0" w:space="0" w:color="auto"/>
                    <w:bottom w:val="none" w:sz="0" w:space="0" w:color="auto"/>
                    <w:right w:val="none" w:sz="0" w:space="0" w:color="auto"/>
                  </w:divBdr>
                  <w:divsChild>
                    <w:div w:id="584145898">
                      <w:marLeft w:val="0"/>
                      <w:marRight w:val="0"/>
                      <w:marTop w:val="0"/>
                      <w:marBottom w:val="0"/>
                      <w:divBdr>
                        <w:top w:val="none" w:sz="0" w:space="0" w:color="auto"/>
                        <w:left w:val="none" w:sz="0" w:space="0" w:color="auto"/>
                        <w:bottom w:val="none" w:sz="0" w:space="0" w:color="auto"/>
                        <w:right w:val="none" w:sz="0" w:space="0" w:color="auto"/>
                      </w:divBdr>
                      <w:divsChild>
                        <w:div w:id="838620464">
                          <w:marLeft w:val="0"/>
                          <w:marRight w:val="0"/>
                          <w:marTop w:val="0"/>
                          <w:marBottom w:val="0"/>
                          <w:divBdr>
                            <w:top w:val="none" w:sz="0" w:space="0" w:color="auto"/>
                            <w:left w:val="none" w:sz="0" w:space="0" w:color="auto"/>
                            <w:bottom w:val="none" w:sz="0" w:space="0" w:color="auto"/>
                            <w:right w:val="none" w:sz="0" w:space="0" w:color="auto"/>
                          </w:divBdr>
                          <w:divsChild>
                            <w:div w:id="445198687">
                              <w:marLeft w:val="0"/>
                              <w:marRight w:val="0"/>
                              <w:marTop w:val="0"/>
                              <w:marBottom w:val="0"/>
                              <w:divBdr>
                                <w:top w:val="none" w:sz="0" w:space="0" w:color="auto"/>
                                <w:left w:val="none" w:sz="0" w:space="0" w:color="auto"/>
                                <w:bottom w:val="none" w:sz="0" w:space="0" w:color="auto"/>
                                <w:right w:val="none" w:sz="0" w:space="0" w:color="auto"/>
                              </w:divBdr>
                              <w:divsChild>
                                <w:div w:id="1629705119">
                                  <w:marLeft w:val="0"/>
                                  <w:marRight w:val="0"/>
                                  <w:marTop w:val="0"/>
                                  <w:marBottom w:val="0"/>
                                  <w:divBdr>
                                    <w:top w:val="none" w:sz="0" w:space="0" w:color="auto"/>
                                    <w:left w:val="none" w:sz="0" w:space="0" w:color="auto"/>
                                    <w:bottom w:val="none" w:sz="0" w:space="0" w:color="auto"/>
                                    <w:right w:val="none" w:sz="0" w:space="0" w:color="auto"/>
                                  </w:divBdr>
                                  <w:divsChild>
                                    <w:div w:id="421343985">
                                      <w:marLeft w:val="0"/>
                                      <w:marRight w:val="0"/>
                                      <w:marTop w:val="0"/>
                                      <w:marBottom w:val="0"/>
                                      <w:divBdr>
                                        <w:top w:val="none" w:sz="0" w:space="0" w:color="auto"/>
                                        <w:left w:val="none" w:sz="0" w:space="0" w:color="auto"/>
                                        <w:bottom w:val="none" w:sz="0" w:space="0" w:color="auto"/>
                                        <w:right w:val="none" w:sz="0" w:space="0" w:color="auto"/>
                                      </w:divBdr>
                                      <w:divsChild>
                                        <w:div w:id="826168436">
                                          <w:marLeft w:val="0"/>
                                          <w:marRight w:val="0"/>
                                          <w:marTop w:val="0"/>
                                          <w:marBottom w:val="0"/>
                                          <w:divBdr>
                                            <w:top w:val="none" w:sz="0" w:space="0" w:color="auto"/>
                                            <w:left w:val="none" w:sz="0" w:space="0" w:color="auto"/>
                                            <w:bottom w:val="none" w:sz="0" w:space="0" w:color="auto"/>
                                            <w:right w:val="none" w:sz="0" w:space="0" w:color="auto"/>
                                          </w:divBdr>
                                          <w:divsChild>
                                            <w:div w:id="2062631622">
                                              <w:marLeft w:val="0"/>
                                              <w:marRight w:val="0"/>
                                              <w:marTop w:val="0"/>
                                              <w:marBottom w:val="0"/>
                                              <w:divBdr>
                                                <w:top w:val="none" w:sz="0" w:space="0" w:color="auto"/>
                                                <w:left w:val="none" w:sz="0" w:space="0" w:color="auto"/>
                                                <w:bottom w:val="none" w:sz="0" w:space="0" w:color="auto"/>
                                                <w:right w:val="none" w:sz="0" w:space="0" w:color="auto"/>
                                              </w:divBdr>
                                              <w:divsChild>
                                                <w:div w:id="1852598699">
                                                  <w:marLeft w:val="0"/>
                                                  <w:marRight w:val="0"/>
                                                  <w:marTop w:val="0"/>
                                                  <w:marBottom w:val="0"/>
                                                  <w:divBdr>
                                                    <w:top w:val="none" w:sz="0" w:space="0" w:color="auto"/>
                                                    <w:left w:val="none" w:sz="0" w:space="0" w:color="auto"/>
                                                    <w:bottom w:val="none" w:sz="0" w:space="0" w:color="auto"/>
                                                    <w:right w:val="none" w:sz="0" w:space="0" w:color="auto"/>
                                                  </w:divBdr>
                                                  <w:divsChild>
                                                    <w:div w:id="1383752994">
                                                      <w:marLeft w:val="0"/>
                                                      <w:marRight w:val="0"/>
                                                      <w:marTop w:val="0"/>
                                                      <w:marBottom w:val="0"/>
                                                      <w:divBdr>
                                                        <w:top w:val="none" w:sz="0" w:space="0" w:color="auto"/>
                                                        <w:left w:val="none" w:sz="0" w:space="0" w:color="auto"/>
                                                        <w:bottom w:val="none" w:sz="0" w:space="0" w:color="auto"/>
                                                        <w:right w:val="none" w:sz="0" w:space="0" w:color="auto"/>
                                                      </w:divBdr>
                                                      <w:divsChild>
                                                        <w:div w:id="1927180455">
                                                          <w:marLeft w:val="0"/>
                                                          <w:marRight w:val="0"/>
                                                          <w:marTop w:val="0"/>
                                                          <w:marBottom w:val="0"/>
                                                          <w:divBdr>
                                                            <w:top w:val="none" w:sz="0" w:space="0" w:color="auto"/>
                                                            <w:left w:val="none" w:sz="0" w:space="0" w:color="auto"/>
                                                            <w:bottom w:val="none" w:sz="0" w:space="0" w:color="auto"/>
                                                            <w:right w:val="none" w:sz="0" w:space="0" w:color="auto"/>
                                                          </w:divBdr>
                                                          <w:divsChild>
                                                            <w:div w:id="173808627">
                                                              <w:marLeft w:val="0"/>
                                                              <w:marRight w:val="0"/>
                                                              <w:marTop w:val="0"/>
                                                              <w:marBottom w:val="0"/>
                                                              <w:divBdr>
                                                                <w:top w:val="none" w:sz="0" w:space="0" w:color="auto"/>
                                                                <w:left w:val="none" w:sz="0" w:space="0" w:color="auto"/>
                                                                <w:bottom w:val="none" w:sz="0" w:space="0" w:color="auto"/>
                                                                <w:right w:val="none" w:sz="0" w:space="0" w:color="auto"/>
                                                              </w:divBdr>
                                                            </w:div>
                                                            <w:div w:id="559831223">
                                                              <w:marLeft w:val="0"/>
                                                              <w:marRight w:val="0"/>
                                                              <w:marTop w:val="0"/>
                                                              <w:marBottom w:val="0"/>
                                                              <w:divBdr>
                                                                <w:top w:val="none" w:sz="0" w:space="0" w:color="auto"/>
                                                                <w:left w:val="none" w:sz="0" w:space="0" w:color="auto"/>
                                                                <w:bottom w:val="none" w:sz="0" w:space="0" w:color="auto"/>
                                                                <w:right w:val="none" w:sz="0" w:space="0" w:color="auto"/>
                                                              </w:divBdr>
                                                            </w:div>
                                                            <w:div w:id="578640351">
                                                              <w:marLeft w:val="0"/>
                                                              <w:marRight w:val="0"/>
                                                              <w:marTop w:val="0"/>
                                                              <w:marBottom w:val="0"/>
                                                              <w:divBdr>
                                                                <w:top w:val="none" w:sz="0" w:space="0" w:color="auto"/>
                                                                <w:left w:val="none" w:sz="0" w:space="0" w:color="auto"/>
                                                                <w:bottom w:val="none" w:sz="0" w:space="0" w:color="auto"/>
                                                                <w:right w:val="none" w:sz="0" w:space="0" w:color="auto"/>
                                                              </w:divBdr>
                                                            </w:div>
                                                            <w:div w:id="646008463">
                                                              <w:marLeft w:val="0"/>
                                                              <w:marRight w:val="0"/>
                                                              <w:marTop w:val="0"/>
                                                              <w:marBottom w:val="0"/>
                                                              <w:divBdr>
                                                                <w:top w:val="none" w:sz="0" w:space="0" w:color="auto"/>
                                                                <w:left w:val="none" w:sz="0" w:space="0" w:color="auto"/>
                                                                <w:bottom w:val="none" w:sz="0" w:space="0" w:color="auto"/>
                                                                <w:right w:val="none" w:sz="0" w:space="0" w:color="auto"/>
                                                              </w:divBdr>
                                                            </w:div>
                                                            <w:div w:id="932013849">
                                                              <w:marLeft w:val="0"/>
                                                              <w:marRight w:val="0"/>
                                                              <w:marTop w:val="0"/>
                                                              <w:marBottom w:val="0"/>
                                                              <w:divBdr>
                                                                <w:top w:val="none" w:sz="0" w:space="0" w:color="auto"/>
                                                                <w:left w:val="none" w:sz="0" w:space="0" w:color="auto"/>
                                                                <w:bottom w:val="none" w:sz="0" w:space="0" w:color="auto"/>
                                                                <w:right w:val="none" w:sz="0" w:space="0" w:color="auto"/>
                                                              </w:divBdr>
                                                            </w:div>
                                                            <w:div w:id="1035614740">
                                                              <w:marLeft w:val="0"/>
                                                              <w:marRight w:val="0"/>
                                                              <w:marTop w:val="0"/>
                                                              <w:marBottom w:val="0"/>
                                                              <w:divBdr>
                                                                <w:top w:val="none" w:sz="0" w:space="0" w:color="auto"/>
                                                                <w:left w:val="none" w:sz="0" w:space="0" w:color="auto"/>
                                                                <w:bottom w:val="none" w:sz="0" w:space="0" w:color="auto"/>
                                                                <w:right w:val="none" w:sz="0" w:space="0" w:color="auto"/>
                                                              </w:divBdr>
                                                            </w:div>
                                                            <w:div w:id="1212307157">
                                                              <w:marLeft w:val="0"/>
                                                              <w:marRight w:val="0"/>
                                                              <w:marTop w:val="0"/>
                                                              <w:marBottom w:val="0"/>
                                                              <w:divBdr>
                                                                <w:top w:val="none" w:sz="0" w:space="0" w:color="auto"/>
                                                                <w:left w:val="none" w:sz="0" w:space="0" w:color="auto"/>
                                                                <w:bottom w:val="none" w:sz="0" w:space="0" w:color="auto"/>
                                                                <w:right w:val="none" w:sz="0" w:space="0" w:color="auto"/>
                                                              </w:divBdr>
                                                            </w:div>
                                                            <w:div w:id="1481195148">
                                                              <w:marLeft w:val="0"/>
                                                              <w:marRight w:val="0"/>
                                                              <w:marTop w:val="0"/>
                                                              <w:marBottom w:val="0"/>
                                                              <w:divBdr>
                                                                <w:top w:val="none" w:sz="0" w:space="0" w:color="auto"/>
                                                                <w:left w:val="none" w:sz="0" w:space="0" w:color="auto"/>
                                                                <w:bottom w:val="none" w:sz="0" w:space="0" w:color="auto"/>
                                                                <w:right w:val="none" w:sz="0" w:space="0" w:color="auto"/>
                                                              </w:divBdr>
                                                            </w:div>
                                                            <w:div w:id="1748841823">
                                                              <w:marLeft w:val="0"/>
                                                              <w:marRight w:val="0"/>
                                                              <w:marTop w:val="0"/>
                                                              <w:marBottom w:val="0"/>
                                                              <w:divBdr>
                                                                <w:top w:val="none" w:sz="0" w:space="0" w:color="auto"/>
                                                                <w:left w:val="none" w:sz="0" w:space="0" w:color="auto"/>
                                                                <w:bottom w:val="none" w:sz="0" w:space="0" w:color="auto"/>
                                                                <w:right w:val="none" w:sz="0" w:space="0" w:color="auto"/>
                                                              </w:divBdr>
                                                            </w:div>
                                                            <w:div w:id="213204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4441608">
      <w:bodyDiv w:val="1"/>
      <w:marLeft w:val="0"/>
      <w:marRight w:val="0"/>
      <w:marTop w:val="0"/>
      <w:marBottom w:val="0"/>
      <w:divBdr>
        <w:top w:val="none" w:sz="0" w:space="0" w:color="auto"/>
        <w:left w:val="none" w:sz="0" w:space="0" w:color="auto"/>
        <w:bottom w:val="none" w:sz="0" w:space="0" w:color="auto"/>
        <w:right w:val="none" w:sz="0" w:space="0" w:color="auto"/>
      </w:divBdr>
      <w:divsChild>
        <w:div w:id="668562478">
          <w:marLeft w:val="0"/>
          <w:marRight w:val="0"/>
          <w:marTop w:val="0"/>
          <w:marBottom w:val="0"/>
          <w:divBdr>
            <w:top w:val="none" w:sz="0" w:space="0" w:color="auto"/>
            <w:left w:val="none" w:sz="0" w:space="0" w:color="auto"/>
            <w:bottom w:val="none" w:sz="0" w:space="0" w:color="auto"/>
            <w:right w:val="none" w:sz="0" w:space="0" w:color="auto"/>
          </w:divBdr>
        </w:div>
      </w:divsChild>
    </w:div>
    <w:div w:id="597101057">
      <w:bodyDiv w:val="1"/>
      <w:marLeft w:val="0"/>
      <w:marRight w:val="0"/>
      <w:marTop w:val="0"/>
      <w:marBottom w:val="0"/>
      <w:divBdr>
        <w:top w:val="none" w:sz="0" w:space="0" w:color="auto"/>
        <w:left w:val="none" w:sz="0" w:space="0" w:color="auto"/>
        <w:bottom w:val="none" w:sz="0" w:space="0" w:color="auto"/>
        <w:right w:val="none" w:sz="0" w:space="0" w:color="auto"/>
      </w:divBdr>
      <w:divsChild>
        <w:div w:id="1324360019">
          <w:marLeft w:val="0"/>
          <w:marRight w:val="0"/>
          <w:marTop w:val="0"/>
          <w:marBottom w:val="0"/>
          <w:divBdr>
            <w:top w:val="none" w:sz="0" w:space="0" w:color="auto"/>
            <w:left w:val="none" w:sz="0" w:space="0" w:color="auto"/>
            <w:bottom w:val="none" w:sz="0" w:space="0" w:color="auto"/>
            <w:right w:val="none" w:sz="0" w:space="0" w:color="auto"/>
          </w:divBdr>
        </w:div>
        <w:div w:id="1815637327">
          <w:marLeft w:val="0"/>
          <w:marRight w:val="0"/>
          <w:marTop w:val="0"/>
          <w:marBottom w:val="0"/>
          <w:divBdr>
            <w:top w:val="none" w:sz="0" w:space="0" w:color="auto"/>
            <w:left w:val="none" w:sz="0" w:space="0" w:color="auto"/>
            <w:bottom w:val="none" w:sz="0" w:space="0" w:color="auto"/>
            <w:right w:val="none" w:sz="0" w:space="0" w:color="auto"/>
          </w:divBdr>
        </w:div>
      </w:divsChild>
    </w:div>
    <w:div w:id="648828123">
      <w:bodyDiv w:val="1"/>
      <w:marLeft w:val="0"/>
      <w:marRight w:val="0"/>
      <w:marTop w:val="0"/>
      <w:marBottom w:val="0"/>
      <w:divBdr>
        <w:top w:val="none" w:sz="0" w:space="0" w:color="auto"/>
        <w:left w:val="none" w:sz="0" w:space="0" w:color="auto"/>
        <w:bottom w:val="none" w:sz="0" w:space="0" w:color="auto"/>
        <w:right w:val="none" w:sz="0" w:space="0" w:color="auto"/>
      </w:divBdr>
      <w:divsChild>
        <w:div w:id="946422636">
          <w:marLeft w:val="0"/>
          <w:marRight w:val="0"/>
          <w:marTop w:val="0"/>
          <w:marBottom w:val="0"/>
          <w:divBdr>
            <w:top w:val="none" w:sz="0" w:space="0" w:color="auto"/>
            <w:left w:val="none" w:sz="0" w:space="0" w:color="auto"/>
            <w:bottom w:val="none" w:sz="0" w:space="0" w:color="auto"/>
            <w:right w:val="none" w:sz="0" w:space="0" w:color="auto"/>
          </w:divBdr>
          <w:divsChild>
            <w:div w:id="1099759711">
              <w:marLeft w:val="0"/>
              <w:marRight w:val="0"/>
              <w:marTop w:val="0"/>
              <w:marBottom w:val="0"/>
              <w:divBdr>
                <w:top w:val="none" w:sz="0" w:space="0" w:color="auto"/>
                <w:left w:val="none" w:sz="0" w:space="0" w:color="auto"/>
                <w:bottom w:val="none" w:sz="0" w:space="0" w:color="auto"/>
                <w:right w:val="none" w:sz="0" w:space="0" w:color="auto"/>
              </w:divBdr>
              <w:divsChild>
                <w:div w:id="1032612730">
                  <w:marLeft w:val="0"/>
                  <w:marRight w:val="0"/>
                  <w:marTop w:val="0"/>
                  <w:marBottom w:val="0"/>
                  <w:divBdr>
                    <w:top w:val="none" w:sz="0" w:space="0" w:color="auto"/>
                    <w:left w:val="none" w:sz="0" w:space="0" w:color="auto"/>
                    <w:bottom w:val="none" w:sz="0" w:space="0" w:color="auto"/>
                    <w:right w:val="none" w:sz="0" w:space="0" w:color="auto"/>
                  </w:divBdr>
                  <w:divsChild>
                    <w:div w:id="355932380">
                      <w:marLeft w:val="0"/>
                      <w:marRight w:val="0"/>
                      <w:marTop w:val="0"/>
                      <w:marBottom w:val="0"/>
                      <w:divBdr>
                        <w:top w:val="none" w:sz="0" w:space="0" w:color="auto"/>
                        <w:left w:val="none" w:sz="0" w:space="0" w:color="auto"/>
                        <w:bottom w:val="none" w:sz="0" w:space="0" w:color="auto"/>
                        <w:right w:val="none" w:sz="0" w:space="0" w:color="auto"/>
                      </w:divBdr>
                      <w:divsChild>
                        <w:div w:id="1336956411">
                          <w:marLeft w:val="0"/>
                          <w:marRight w:val="0"/>
                          <w:marTop w:val="0"/>
                          <w:marBottom w:val="0"/>
                          <w:divBdr>
                            <w:top w:val="none" w:sz="0" w:space="0" w:color="auto"/>
                            <w:left w:val="none" w:sz="0" w:space="0" w:color="auto"/>
                            <w:bottom w:val="none" w:sz="0" w:space="0" w:color="auto"/>
                            <w:right w:val="none" w:sz="0" w:space="0" w:color="auto"/>
                          </w:divBdr>
                          <w:divsChild>
                            <w:div w:id="234701504">
                              <w:marLeft w:val="0"/>
                              <w:marRight w:val="0"/>
                              <w:marTop w:val="0"/>
                              <w:marBottom w:val="0"/>
                              <w:divBdr>
                                <w:top w:val="none" w:sz="0" w:space="0" w:color="auto"/>
                                <w:left w:val="none" w:sz="0" w:space="0" w:color="auto"/>
                                <w:bottom w:val="none" w:sz="0" w:space="0" w:color="auto"/>
                                <w:right w:val="none" w:sz="0" w:space="0" w:color="auto"/>
                              </w:divBdr>
                              <w:divsChild>
                                <w:div w:id="861163052">
                                  <w:marLeft w:val="0"/>
                                  <w:marRight w:val="0"/>
                                  <w:marTop w:val="0"/>
                                  <w:marBottom w:val="0"/>
                                  <w:divBdr>
                                    <w:top w:val="none" w:sz="0" w:space="0" w:color="auto"/>
                                    <w:left w:val="none" w:sz="0" w:space="0" w:color="auto"/>
                                    <w:bottom w:val="none" w:sz="0" w:space="0" w:color="auto"/>
                                    <w:right w:val="none" w:sz="0" w:space="0" w:color="auto"/>
                                  </w:divBdr>
                                  <w:divsChild>
                                    <w:div w:id="2026635989">
                                      <w:marLeft w:val="0"/>
                                      <w:marRight w:val="0"/>
                                      <w:marTop w:val="0"/>
                                      <w:marBottom w:val="0"/>
                                      <w:divBdr>
                                        <w:top w:val="none" w:sz="0" w:space="0" w:color="auto"/>
                                        <w:left w:val="none" w:sz="0" w:space="0" w:color="auto"/>
                                        <w:bottom w:val="none" w:sz="0" w:space="0" w:color="auto"/>
                                        <w:right w:val="none" w:sz="0" w:space="0" w:color="auto"/>
                                      </w:divBdr>
                                      <w:divsChild>
                                        <w:div w:id="269507190">
                                          <w:marLeft w:val="0"/>
                                          <w:marRight w:val="0"/>
                                          <w:marTop w:val="0"/>
                                          <w:marBottom w:val="0"/>
                                          <w:divBdr>
                                            <w:top w:val="none" w:sz="0" w:space="0" w:color="auto"/>
                                            <w:left w:val="none" w:sz="0" w:space="0" w:color="auto"/>
                                            <w:bottom w:val="none" w:sz="0" w:space="0" w:color="auto"/>
                                            <w:right w:val="none" w:sz="0" w:space="0" w:color="auto"/>
                                          </w:divBdr>
                                          <w:divsChild>
                                            <w:div w:id="472914919">
                                              <w:marLeft w:val="0"/>
                                              <w:marRight w:val="0"/>
                                              <w:marTop w:val="0"/>
                                              <w:marBottom w:val="0"/>
                                              <w:divBdr>
                                                <w:top w:val="none" w:sz="0" w:space="0" w:color="auto"/>
                                                <w:left w:val="none" w:sz="0" w:space="0" w:color="auto"/>
                                                <w:bottom w:val="none" w:sz="0" w:space="0" w:color="auto"/>
                                                <w:right w:val="none" w:sz="0" w:space="0" w:color="auto"/>
                                              </w:divBdr>
                                              <w:divsChild>
                                                <w:div w:id="1440756567">
                                                  <w:marLeft w:val="0"/>
                                                  <w:marRight w:val="0"/>
                                                  <w:marTop w:val="0"/>
                                                  <w:marBottom w:val="0"/>
                                                  <w:divBdr>
                                                    <w:top w:val="none" w:sz="0" w:space="0" w:color="auto"/>
                                                    <w:left w:val="none" w:sz="0" w:space="0" w:color="auto"/>
                                                    <w:bottom w:val="none" w:sz="0" w:space="0" w:color="auto"/>
                                                    <w:right w:val="none" w:sz="0" w:space="0" w:color="auto"/>
                                                  </w:divBdr>
                                                  <w:divsChild>
                                                    <w:div w:id="312216412">
                                                      <w:marLeft w:val="0"/>
                                                      <w:marRight w:val="0"/>
                                                      <w:marTop w:val="0"/>
                                                      <w:marBottom w:val="0"/>
                                                      <w:divBdr>
                                                        <w:top w:val="none" w:sz="0" w:space="0" w:color="auto"/>
                                                        <w:left w:val="none" w:sz="0" w:space="0" w:color="auto"/>
                                                        <w:bottom w:val="none" w:sz="0" w:space="0" w:color="auto"/>
                                                        <w:right w:val="none" w:sz="0" w:space="0" w:color="auto"/>
                                                      </w:divBdr>
                                                      <w:divsChild>
                                                        <w:div w:id="1044064756">
                                                          <w:marLeft w:val="0"/>
                                                          <w:marRight w:val="0"/>
                                                          <w:marTop w:val="0"/>
                                                          <w:marBottom w:val="0"/>
                                                          <w:divBdr>
                                                            <w:top w:val="none" w:sz="0" w:space="0" w:color="auto"/>
                                                            <w:left w:val="none" w:sz="0" w:space="0" w:color="auto"/>
                                                            <w:bottom w:val="none" w:sz="0" w:space="0" w:color="auto"/>
                                                            <w:right w:val="none" w:sz="0" w:space="0" w:color="auto"/>
                                                          </w:divBdr>
                                                          <w:divsChild>
                                                            <w:div w:id="127095126">
                                                              <w:marLeft w:val="0"/>
                                                              <w:marRight w:val="0"/>
                                                              <w:marTop w:val="0"/>
                                                              <w:marBottom w:val="0"/>
                                                              <w:divBdr>
                                                                <w:top w:val="none" w:sz="0" w:space="0" w:color="auto"/>
                                                                <w:left w:val="none" w:sz="0" w:space="0" w:color="auto"/>
                                                                <w:bottom w:val="none" w:sz="0" w:space="0" w:color="auto"/>
                                                                <w:right w:val="none" w:sz="0" w:space="0" w:color="auto"/>
                                                              </w:divBdr>
                                                            </w:div>
                                                            <w:div w:id="1135417641">
                                                              <w:marLeft w:val="0"/>
                                                              <w:marRight w:val="0"/>
                                                              <w:marTop w:val="0"/>
                                                              <w:marBottom w:val="0"/>
                                                              <w:divBdr>
                                                                <w:top w:val="none" w:sz="0" w:space="0" w:color="auto"/>
                                                                <w:left w:val="none" w:sz="0" w:space="0" w:color="auto"/>
                                                                <w:bottom w:val="none" w:sz="0" w:space="0" w:color="auto"/>
                                                                <w:right w:val="none" w:sz="0" w:space="0" w:color="auto"/>
                                                              </w:divBdr>
                                                            </w:div>
                                                            <w:div w:id="193261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2777361">
      <w:bodyDiv w:val="1"/>
      <w:marLeft w:val="0"/>
      <w:marRight w:val="0"/>
      <w:marTop w:val="0"/>
      <w:marBottom w:val="0"/>
      <w:divBdr>
        <w:top w:val="none" w:sz="0" w:space="0" w:color="auto"/>
        <w:left w:val="none" w:sz="0" w:space="0" w:color="auto"/>
        <w:bottom w:val="none" w:sz="0" w:space="0" w:color="auto"/>
        <w:right w:val="none" w:sz="0" w:space="0" w:color="auto"/>
      </w:divBdr>
      <w:divsChild>
        <w:div w:id="586576194">
          <w:marLeft w:val="0"/>
          <w:marRight w:val="0"/>
          <w:marTop w:val="0"/>
          <w:marBottom w:val="0"/>
          <w:divBdr>
            <w:top w:val="none" w:sz="0" w:space="0" w:color="auto"/>
            <w:left w:val="none" w:sz="0" w:space="0" w:color="auto"/>
            <w:bottom w:val="none" w:sz="0" w:space="0" w:color="auto"/>
            <w:right w:val="none" w:sz="0" w:space="0" w:color="auto"/>
          </w:divBdr>
          <w:divsChild>
            <w:div w:id="130712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02034">
      <w:bodyDiv w:val="1"/>
      <w:marLeft w:val="0"/>
      <w:marRight w:val="0"/>
      <w:marTop w:val="0"/>
      <w:marBottom w:val="0"/>
      <w:divBdr>
        <w:top w:val="none" w:sz="0" w:space="0" w:color="auto"/>
        <w:left w:val="none" w:sz="0" w:space="0" w:color="auto"/>
        <w:bottom w:val="none" w:sz="0" w:space="0" w:color="auto"/>
        <w:right w:val="none" w:sz="0" w:space="0" w:color="auto"/>
      </w:divBdr>
      <w:divsChild>
        <w:div w:id="176189662">
          <w:marLeft w:val="0"/>
          <w:marRight w:val="0"/>
          <w:marTop w:val="0"/>
          <w:marBottom w:val="0"/>
          <w:divBdr>
            <w:top w:val="none" w:sz="0" w:space="0" w:color="auto"/>
            <w:left w:val="none" w:sz="0" w:space="0" w:color="auto"/>
            <w:bottom w:val="none" w:sz="0" w:space="0" w:color="auto"/>
            <w:right w:val="none" w:sz="0" w:space="0" w:color="auto"/>
          </w:divBdr>
          <w:divsChild>
            <w:div w:id="1874880189">
              <w:marLeft w:val="0"/>
              <w:marRight w:val="0"/>
              <w:marTop w:val="0"/>
              <w:marBottom w:val="0"/>
              <w:divBdr>
                <w:top w:val="none" w:sz="0" w:space="0" w:color="auto"/>
                <w:left w:val="none" w:sz="0" w:space="0" w:color="auto"/>
                <w:bottom w:val="none" w:sz="0" w:space="0" w:color="auto"/>
                <w:right w:val="none" w:sz="0" w:space="0" w:color="auto"/>
              </w:divBdr>
              <w:divsChild>
                <w:div w:id="1914699889">
                  <w:marLeft w:val="0"/>
                  <w:marRight w:val="0"/>
                  <w:marTop w:val="0"/>
                  <w:marBottom w:val="0"/>
                  <w:divBdr>
                    <w:top w:val="none" w:sz="0" w:space="0" w:color="auto"/>
                    <w:left w:val="none" w:sz="0" w:space="0" w:color="auto"/>
                    <w:bottom w:val="none" w:sz="0" w:space="0" w:color="auto"/>
                    <w:right w:val="none" w:sz="0" w:space="0" w:color="auto"/>
                  </w:divBdr>
                  <w:divsChild>
                    <w:div w:id="901477294">
                      <w:marLeft w:val="0"/>
                      <w:marRight w:val="0"/>
                      <w:marTop w:val="0"/>
                      <w:marBottom w:val="0"/>
                      <w:divBdr>
                        <w:top w:val="none" w:sz="0" w:space="0" w:color="auto"/>
                        <w:left w:val="none" w:sz="0" w:space="0" w:color="auto"/>
                        <w:bottom w:val="none" w:sz="0" w:space="0" w:color="auto"/>
                        <w:right w:val="none" w:sz="0" w:space="0" w:color="auto"/>
                      </w:divBdr>
                      <w:divsChild>
                        <w:div w:id="814689064">
                          <w:marLeft w:val="0"/>
                          <w:marRight w:val="0"/>
                          <w:marTop w:val="0"/>
                          <w:marBottom w:val="0"/>
                          <w:divBdr>
                            <w:top w:val="none" w:sz="0" w:space="0" w:color="auto"/>
                            <w:left w:val="none" w:sz="0" w:space="0" w:color="auto"/>
                            <w:bottom w:val="none" w:sz="0" w:space="0" w:color="auto"/>
                            <w:right w:val="none" w:sz="0" w:space="0" w:color="auto"/>
                          </w:divBdr>
                          <w:divsChild>
                            <w:div w:id="546601233">
                              <w:marLeft w:val="0"/>
                              <w:marRight w:val="0"/>
                              <w:marTop w:val="0"/>
                              <w:marBottom w:val="0"/>
                              <w:divBdr>
                                <w:top w:val="none" w:sz="0" w:space="0" w:color="auto"/>
                                <w:left w:val="none" w:sz="0" w:space="0" w:color="auto"/>
                                <w:bottom w:val="none" w:sz="0" w:space="0" w:color="auto"/>
                                <w:right w:val="none" w:sz="0" w:space="0" w:color="auto"/>
                              </w:divBdr>
                              <w:divsChild>
                                <w:div w:id="1036347537">
                                  <w:marLeft w:val="0"/>
                                  <w:marRight w:val="0"/>
                                  <w:marTop w:val="0"/>
                                  <w:marBottom w:val="0"/>
                                  <w:divBdr>
                                    <w:top w:val="none" w:sz="0" w:space="0" w:color="auto"/>
                                    <w:left w:val="none" w:sz="0" w:space="0" w:color="auto"/>
                                    <w:bottom w:val="none" w:sz="0" w:space="0" w:color="auto"/>
                                    <w:right w:val="none" w:sz="0" w:space="0" w:color="auto"/>
                                  </w:divBdr>
                                  <w:divsChild>
                                    <w:div w:id="2072148592">
                                      <w:marLeft w:val="0"/>
                                      <w:marRight w:val="0"/>
                                      <w:marTop w:val="0"/>
                                      <w:marBottom w:val="0"/>
                                      <w:divBdr>
                                        <w:top w:val="none" w:sz="0" w:space="0" w:color="auto"/>
                                        <w:left w:val="none" w:sz="0" w:space="0" w:color="auto"/>
                                        <w:bottom w:val="none" w:sz="0" w:space="0" w:color="auto"/>
                                        <w:right w:val="none" w:sz="0" w:space="0" w:color="auto"/>
                                      </w:divBdr>
                                      <w:divsChild>
                                        <w:div w:id="221722264">
                                          <w:marLeft w:val="0"/>
                                          <w:marRight w:val="0"/>
                                          <w:marTop w:val="0"/>
                                          <w:marBottom w:val="0"/>
                                          <w:divBdr>
                                            <w:top w:val="none" w:sz="0" w:space="0" w:color="auto"/>
                                            <w:left w:val="none" w:sz="0" w:space="0" w:color="auto"/>
                                            <w:bottom w:val="none" w:sz="0" w:space="0" w:color="auto"/>
                                            <w:right w:val="none" w:sz="0" w:space="0" w:color="auto"/>
                                          </w:divBdr>
                                          <w:divsChild>
                                            <w:div w:id="348413232">
                                              <w:marLeft w:val="0"/>
                                              <w:marRight w:val="0"/>
                                              <w:marTop w:val="0"/>
                                              <w:marBottom w:val="0"/>
                                              <w:divBdr>
                                                <w:top w:val="none" w:sz="0" w:space="0" w:color="auto"/>
                                                <w:left w:val="none" w:sz="0" w:space="0" w:color="auto"/>
                                                <w:bottom w:val="none" w:sz="0" w:space="0" w:color="auto"/>
                                                <w:right w:val="none" w:sz="0" w:space="0" w:color="auto"/>
                                              </w:divBdr>
                                              <w:divsChild>
                                                <w:div w:id="821771866">
                                                  <w:marLeft w:val="0"/>
                                                  <w:marRight w:val="0"/>
                                                  <w:marTop w:val="0"/>
                                                  <w:marBottom w:val="0"/>
                                                  <w:divBdr>
                                                    <w:top w:val="none" w:sz="0" w:space="0" w:color="auto"/>
                                                    <w:left w:val="none" w:sz="0" w:space="0" w:color="auto"/>
                                                    <w:bottom w:val="none" w:sz="0" w:space="0" w:color="auto"/>
                                                    <w:right w:val="none" w:sz="0" w:space="0" w:color="auto"/>
                                                  </w:divBdr>
                                                  <w:divsChild>
                                                    <w:div w:id="2126073015">
                                                      <w:marLeft w:val="0"/>
                                                      <w:marRight w:val="0"/>
                                                      <w:marTop w:val="0"/>
                                                      <w:marBottom w:val="0"/>
                                                      <w:divBdr>
                                                        <w:top w:val="none" w:sz="0" w:space="0" w:color="auto"/>
                                                        <w:left w:val="none" w:sz="0" w:space="0" w:color="auto"/>
                                                        <w:bottom w:val="none" w:sz="0" w:space="0" w:color="auto"/>
                                                        <w:right w:val="none" w:sz="0" w:space="0" w:color="auto"/>
                                                      </w:divBdr>
                                                      <w:divsChild>
                                                        <w:div w:id="1639451111">
                                                          <w:marLeft w:val="0"/>
                                                          <w:marRight w:val="0"/>
                                                          <w:marTop w:val="0"/>
                                                          <w:marBottom w:val="0"/>
                                                          <w:divBdr>
                                                            <w:top w:val="none" w:sz="0" w:space="0" w:color="auto"/>
                                                            <w:left w:val="none" w:sz="0" w:space="0" w:color="auto"/>
                                                            <w:bottom w:val="none" w:sz="0" w:space="0" w:color="auto"/>
                                                            <w:right w:val="none" w:sz="0" w:space="0" w:color="auto"/>
                                                          </w:divBdr>
                                                          <w:divsChild>
                                                            <w:div w:id="676931970">
                                                              <w:marLeft w:val="0"/>
                                                              <w:marRight w:val="0"/>
                                                              <w:marTop w:val="0"/>
                                                              <w:marBottom w:val="0"/>
                                                              <w:divBdr>
                                                                <w:top w:val="none" w:sz="0" w:space="0" w:color="auto"/>
                                                                <w:left w:val="none" w:sz="0" w:space="0" w:color="auto"/>
                                                                <w:bottom w:val="none" w:sz="0" w:space="0" w:color="auto"/>
                                                                <w:right w:val="none" w:sz="0" w:space="0" w:color="auto"/>
                                                              </w:divBdr>
                                                            </w:div>
                                                            <w:div w:id="863710557">
                                                              <w:marLeft w:val="0"/>
                                                              <w:marRight w:val="0"/>
                                                              <w:marTop w:val="0"/>
                                                              <w:marBottom w:val="0"/>
                                                              <w:divBdr>
                                                                <w:top w:val="none" w:sz="0" w:space="0" w:color="auto"/>
                                                                <w:left w:val="none" w:sz="0" w:space="0" w:color="auto"/>
                                                                <w:bottom w:val="none" w:sz="0" w:space="0" w:color="auto"/>
                                                                <w:right w:val="none" w:sz="0" w:space="0" w:color="auto"/>
                                                              </w:divBdr>
                                                            </w:div>
                                                            <w:div w:id="1444151677">
                                                              <w:marLeft w:val="0"/>
                                                              <w:marRight w:val="0"/>
                                                              <w:marTop w:val="0"/>
                                                              <w:marBottom w:val="0"/>
                                                              <w:divBdr>
                                                                <w:top w:val="none" w:sz="0" w:space="0" w:color="auto"/>
                                                                <w:left w:val="none" w:sz="0" w:space="0" w:color="auto"/>
                                                                <w:bottom w:val="none" w:sz="0" w:space="0" w:color="auto"/>
                                                                <w:right w:val="none" w:sz="0" w:space="0" w:color="auto"/>
                                                              </w:divBdr>
                                                            </w:div>
                                                            <w:div w:id="1742940939">
                                                              <w:marLeft w:val="0"/>
                                                              <w:marRight w:val="0"/>
                                                              <w:marTop w:val="0"/>
                                                              <w:marBottom w:val="0"/>
                                                              <w:divBdr>
                                                                <w:top w:val="none" w:sz="0" w:space="0" w:color="auto"/>
                                                                <w:left w:val="none" w:sz="0" w:space="0" w:color="auto"/>
                                                                <w:bottom w:val="none" w:sz="0" w:space="0" w:color="auto"/>
                                                                <w:right w:val="none" w:sz="0" w:space="0" w:color="auto"/>
                                                              </w:divBdr>
                                                            </w:div>
                                                            <w:div w:id="193339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92014844">
      <w:bodyDiv w:val="1"/>
      <w:marLeft w:val="0"/>
      <w:marRight w:val="0"/>
      <w:marTop w:val="0"/>
      <w:marBottom w:val="0"/>
      <w:divBdr>
        <w:top w:val="none" w:sz="0" w:space="0" w:color="auto"/>
        <w:left w:val="none" w:sz="0" w:space="0" w:color="auto"/>
        <w:bottom w:val="none" w:sz="0" w:space="0" w:color="auto"/>
        <w:right w:val="none" w:sz="0" w:space="0" w:color="auto"/>
      </w:divBdr>
      <w:divsChild>
        <w:div w:id="138424166">
          <w:marLeft w:val="0"/>
          <w:marRight w:val="0"/>
          <w:marTop w:val="0"/>
          <w:marBottom w:val="0"/>
          <w:divBdr>
            <w:top w:val="none" w:sz="0" w:space="0" w:color="auto"/>
            <w:left w:val="none" w:sz="0" w:space="0" w:color="auto"/>
            <w:bottom w:val="none" w:sz="0" w:space="0" w:color="auto"/>
            <w:right w:val="none" w:sz="0" w:space="0" w:color="auto"/>
          </w:divBdr>
        </w:div>
        <w:div w:id="668607327">
          <w:marLeft w:val="0"/>
          <w:marRight w:val="0"/>
          <w:marTop w:val="0"/>
          <w:marBottom w:val="0"/>
          <w:divBdr>
            <w:top w:val="none" w:sz="0" w:space="0" w:color="auto"/>
            <w:left w:val="none" w:sz="0" w:space="0" w:color="auto"/>
            <w:bottom w:val="none" w:sz="0" w:space="0" w:color="auto"/>
            <w:right w:val="none" w:sz="0" w:space="0" w:color="auto"/>
          </w:divBdr>
        </w:div>
        <w:div w:id="1376855897">
          <w:marLeft w:val="0"/>
          <w:marRight w:val="0"/>
          <w:marTop w:val="0"/>
          <w:marBottom w:val="0"/>
          <w:divBdr>
            <w:top w:val="none" w:sz="0" w:space="0" w:color="auto"/>
            <w:left w:val="none" w:sz="0" w:space="0" w:color="auto"/>
            <w:bottom w:val="none" w:sz="0" w:space="0" w:color="auto"/>
            <w:right w:val="none" w:sz="0" w:space="0" w:color="auto"/>
          </w:divBdr>
        </w:div>
        <w:div w:id="1524509967">
          <w:marLeft w:val="0"/>
          <w:marRight w:val="0"/>
          <w:marTop w:val="0"/>
          <w:marBottom w:val="0"/>
          <w:divBdr>
            <w:top w:val="none" w:sz="0" w:space="0" w:color="auto"/>
            <w:left w:val="none" w:sz="0" w:space="0" w:color="auto"/>
            <w:bottom w:val="none" w:sz="0" w:space="0" w:color="auto"/>
            <w:right w:val="none" w:sz="0" w:space="0" w:color="auto"/>
          </w:divBdr>
        </w:div>
        <w:div w:id="1554346338">
          <w:marLeft w:val="0"/>
          <w:marRight w:val="0"/>
          <w:marTop w:val="0"/>
          <w:marBottom w:val="0"/>
          <w:divBdr>
            <w:top w:val="none" w:sz="0" w:space="0" w:color="auto"/>
            <w:left w:val="none" w:sz="0" w:space="0" w:color="auto"/>
            <w:bottom w:val="none" w:sz="0" w:space="0" w:color="auto"/>
            <w:right w:val="none" w:sz="0" w:space="0" w:color="auto"/>
          </w:divBdr>
        </w:div>
        <w:div w:id="1755011177">
          <w:marLeft w:val="0"/>
          <w:marRight w:val="0"/>
          <w:marTop w:val="0"/>
          <w:marBottom w:val="0"/>
          <w:divBdr>
            <w:top w:val="none" w:sz="0" w:space="0" w:color="auto"/>
            <w:left w:val="none" w:sz="0" w:space="0" w:color="auto"/>
            <w:bottom w:val="none" w:sz="0" w:space="0" w:color="auto"/>
            <w:right w:val="none" w:sz="0" w:space="0" w:color="auto"/>
          </w:divBdr>
        </w:div>
      </w:divsChild>
    </w:div>
    <w:div w:id="840242382">
      <w:bodyDiv w:val="1"/>
      <w:marLeft w:val="0"/>
      <w:marRight w:val="0"/>
      <w:marTop w:val="0"/>
      <w:marBottom w:val="0"/>
      <w:divBdr>
        <w:top w:val="none" w:sz="0" w:space="0" w:color="auto"/>
        <w:left w:val="none" w:sz="0" w:space="0" w:color="auto"/>
        <w:bottom w:val="none" w:sz="0" w:space="0" w:color="auto"/>
        <w:right w:val="none" w:sz="0" w:space="0" w:color="auto"/>
      </w:divBdr>
    </w:div>
    <w:div w:id="842818247">
      <w:bodyDiv w:val="1"/>
      <w:marLeft w:val="0"/>
      <w:marRight w:val="0"/>
      <w:marTop w:val="0"/>
      <w:marBottom w:val="0"/>
      <w:divBdr>
        <w:top w:val="none" w:sz="0" w:space="0" w:color="auto"/>
        <w:left w:val="none" w:sz="0" w:space="0" w:color="auto"/>
        <w:bottom w:val="none" w:sz="0" w:space="0" w:color="auto"/>
        <w:right w:val="none" w:sz="0" w:space="0" w:color="auto"/>
      </w:divBdr>
      <w:divsChild>
        <w:div w:id="1527719542">
          <w:marLeft w:val="0"/>
          <w:marRight w:val="0"/>
          <w:marTop w:val="0"/>
          <w:marBottom w:val="0"/>
          <w:divBdr>
            <w:top w:val="single" w:sz="2" w:space="0" w:color="auto"/>
            <w:left w:val="single" w:sz="2" w:space="0" w:color="auto"/>
            <w:bottom w:val="single" w:sz="2" w:space="0" w:color="auto"/>
            <w:right w:val="single" w:sz="2" w:space="0" w:color="auto"/>
          </w:divBdr>
          <w:divsChild>
            <w:div w:id="1401489381">
              <w:marLeft w:val="0"/>
              <w:marRight w:val="0"/>
              <w:marTop w:val="0"/>
              <w:marBottom w:val="0"/>
              <w:divBdr>
                <w:top w:val="single" w:sz="2" w:space="0" w:color="auto"/>
                <w:left w:val="single" w:sz="2" w:space="0" w:color="auto"/>
                <w:bottom w:val="single" w:sz="2" w:space="0" w:color="auto"/>
                <w:right w:val="single" w:sz="2" w:space="0" w:color="auto"/>
              </w:divBdr>
              <w:divsChild>
                <w:div w:id="1592740261">
                  <w:marLeft w:val="0"/>
                  <w:marRight w:val="0"/>
                  <w:marTop w:val="0"/>
                  <w:marBottom w:val="0"/>
                  <w:divBdr>
                    <w:top w:val="single" w:sz="2" w:space="0" w:color="auto"/>
                    <w:left w:val="single" w:sz="2" w:space="0" w:color="auto"/>
                    <w:bottom w:val="single" w:sz="2" w:space="0" w:color="auto"/>
                    <w:right w:val="single" w:sz="2" w:space="0" w:color="auto"/>
                  </w:divBdr>
                  <w:divsChild>
                    <w:div w:id="611324395">
                      <w:marLeft w:val="0"/>
                      <w:marRight w:val="0"/>
                      <w:marTop w:val="0"/>
                      <w:marBottom w:val="0"/>
                      <w:divBdr>
                        <w:top w:val="single" w:sz="2" w:space="0" w:color="auto"/>
                        <w:left w:val="single" w:sz="2" w:space="0" w:color="auto"/>
                        <w:bottom w:val="single" w:sz="2" w:space="0" w:color="auto"/>
                        <w:right w:val="single" w:sz="2" w:space="0" w:color="auto"/>
                      </w:divBdr>
                      <w:divsChild>
                        <w:div w:id="1106123592">
                          <w:marLeft w:val="0"/>
                          <w:marRight w:val="0"/>
                          <w:marTop w:val="180"/>
                          <w:marBottom w:val="0"/>
                          <w:divBdr>
                            <w:top w:val="single" w:sz="2" w:space="0" w:color="auto"/>
                            <w:left w:val="single" w:sz="2" w:space="6" w:color="auto"/>
                            <w:bottom w:val="single" w:sz="2" w:space="0" w:color="auto"/>
                            <w:right w:val="single" w:sz="2" w:space="6" w:color="auto"/>
                          </w:divBdr>
                          <w:divsChild>
                            <w:div w:id="62340906">
                              <w:marLeft w:val="0"/>
                              <w:marRight w:val="0"/>
                              <w:marTop w:val="0"/>
                              <w:marBottom w:val="0"/>
                              <w:divBdr>
                                <w:top w:val="single" w:sz="2" w:space="0" w:color="auto"/>
                                <w:left w:val="single" w:sz="2" w:space="0" w:color="auto"/>
                                <w:bottom w:val="single" w:sz="2" w:space="0" w:color="auto"/>
                                <w:right w:val="single" w:sz="2" w:space="0" w:color="auto"/>
                              </w:divBdr>
                              <w:divsChild>
                                <w:div w:id="579410809">
                                  <w:marLeft w:val="0"/>
                                  <w:marRight w:val="0"/>
                                  <w:marTop w:val="0"/>
                                  <w:marBottom w:val="0"/>
                                  <w:divBdr>
                                    <w:top w:val="single" w:sz="2" w:space="0" w:color="auto"/>
                                    <w:left w:val="single" w:sz="2" w:space="0" w:color="auto"/>
                                    <w:bottom w:val="single" w:sz="2" w:space="0" w:color="auto"/>
                                    <w:right w:val="single" w:sz="2" w:space="0" w:color="auto"/>
                                  </w:divBdr>
                                  <w:divsChild>
                                    <w:div w:id="1752311695">
                                      <w:marLeft w:val="0"/>
                                      <w:marRight w:val="0"/>
                                      <w:marTop w:val="0"/>
                                      <w:marBottom w:val="0"/>
                                      <w:divBdr>
                                        <w:top w:val="single" w:sz="2" w:space="0" w:color="auto"/>
                                        <w:left w:val="single" w:sz="2" w:space="0" w:color="auto"/>
                                        <w:bottom w:val="single" w:sz="2" w:space="0" w:color="auto"/>
                                        <w:right w:val="single" w:sz="2" w:space="0" w:color="auto"/>
                                      </w:divBdr>
                                      <w:divsChild>
                                        <w:div w:id="1080563379">
                                          <w:marLeft w:val="0"/>
                                          <w:marRight w:val="0"/>
                                          <w:marTop w:val="0"/>
                                          <w:marBottom w:val="0"/>
                                          <w:divBdr>
                                            <w:top w:val="single" w:sz="2" w:space="0" w:color="auto"/>
                                            <w:left w:val="single" w:sz="2" w:space="0" w:color="auto"/>
                                            <w:bottom w:val="single" w:sz="2" w:space="0" w:color="auto"/>
                                            <w:right w:val="single" w:sz="2" w:space="0" w:color="auto"/>
                                          </w:divBdr>
                                          <w:divsChild>
                                            <w:div w:id="1194269753">
                                              <w:marLeft w:val="0"/>
                                              <w:marRight w:val="0"/>
                                              <w:marTop w:val="0"/>
                                              <w:marBottom w:val="0"/>
                                              <w:divBdr>
                                                <w:top w:val="single" w:sz="2" w:space="0" w:color="auto"/>
                                                <w:left w:val="single" w:sz="2" w:space="0" w:color="auto"/>
                                                <w:bottom w:val="single" w:sz="2" w:space="0" w:color="auto"/>
                                                <w:right w:val="single" w:sz="2" w:space="0" w:color="auto"/>
                                              </w:divBdr>
                                              <w:divsChild>
                                                <w:div w:id="1918397513">
                                                  <w:marLeft w:val="0"/>
                                                  <w:marRight w:val="0"/>
                                                  <w:marTop w:val="0"/>
                                                  <w:marBottom w:val="0"/>
                                                  <w:divBdr>
                                                    <w:top w:val="single" w:sz="2" w:space="0" w:color="auto"/>
                                                    <w:left w:val="single" w:sz="2" w:space="0" w:color="auto"/>
                                                    <w:bottom w:val="single" w:sz="2" w:space="0" w:color="auto"/>
                                                    <w:right w:val="single" w:sz="2" w:space="0" w:color="auto"/>
                                                  </w:divBdr>
                                                  <w:divsChild>
                                                    <w:div w:id="23483407">
                                                      <w:marLeft w:val="0"/>
                                                      <w:marRight w:val="0"/>
                                                      <w:marTop w:val="0"/>
                                                      <w:marBottom w:val="0"/>
                                                      <w:divBdr>
                                                        <w:top w:val="single" w:sz="2" w:space="0" w:color="auto"/>
                                                        <w:left w:val="single" w:sz="2" w:space="0" w:color="auto"/>
                                                        <w:bottom w:val="single" w:sz="2" w:space="0" w:color="auto"/>
                                                        <w:right w:val="single" w:sz="2" w:space="0" w:color="auto"/>
                                                      </w:divBdr>
                                                    </w:div>
                                                    <w:div w:id="116262592">
                                                      <w:marLeft w:val="0"/>
                                                      <w:marRight w:val="0"/>
                                                      <w:marTop w:val="0"/>
                                                      <w:marBottom w:val="0"/>
                                                      <w:divBdr>
                                                        <w:top w:val="single" w:sz="2" w:space="0" w:color="auto"/>
                                                        <w:left w:val="single" w:sz="2" w:space="0" w:color="auto"/>
                                                        <w:bottom w:val="single" w:sz="2" w:space="0" w:color="auto"/>
                                                        <w:right w:val="single" w:sz="2" w:space="0" w:color="auto"/>
                                                      </w:divBdr>
                                                    </w:div>
                                                    <w:div w:id="997004536">
                                                      <w:marLeft w:val="0"/>
                                                      <w:marRight w:val="0"/>
                                                      <w:marTop w:val="0"/>
                                                      <w:marBottom w:val="0"/>
                                                      <w:divBdr>
                                                        <w:top w:val="single" w:sz="2" w:space="0" w:color="auto"/>
                                                        <w:left w:val="single" w:sz="2" w:space="0" w:color="auto"/>
                                                        <w:bottom w:val="single" w:sz="2" w:space="0" w:color="auto"/>
                                                        <w:right w:val="single" w:sz="2" w:space="0" w:color="auto"/>
                                                      </w:divBdr>
                                                    </w:div>
                                                    <w:div w:id="1218322336">
                                                      <w:marLeft w:val="0"/>
                                                      <w:marRight w:val="0"/>
                                                      <w:marTop w:val="0"/>
                                                      <w:marBottom w:val="0"/>
                                                      <w:divBdr>
                                                        <w:top w:val="single" w:sz="2" w:space="0" w:color="auto"/>
                                                        <w:left w:val="single" w:sz="2" w:space="0" w:color="auto"/>
                                                        <w:bottom w:val="single" w:sz="2" w:space="0" w:color="auto"/>
                                                        <w:right w:val="single" w:sz="2" w:space="0" w:color="auto"/>
                                                      </w:divBdr>
                                                    </w:div>
                                                    <w:div w:id="1318072768">
                                                      <w:marLeft w:val="0"/>
                                                      <w:marRight w:val="0"/>
                                                      <w:marTop w:val="0"/>
                                                      <w:marBottom w:val="0"/>
                                                      <w:divBdr>
                                                        <w:top w:val="single" w:sz="2" w:space="0" w:color="auto"/>
                                                        <w:left w:val="single" w:sz="2" w:space="0" w:color="auto"/>
                                                        <w:bottom w:val="single" w:sz="2" w:space="0" w:color="auto"/>
                                                        <w:right w:val="single" w:sz="2" w:space="0" w:color="auto"/>
                                                      </w:divBdr>
                                                    </w:div>
                                                    <w:div w:id="1641112523">
                                                      <w:marLeft w:val="0"/>
                                                      <w:marRight w:val="0"/>
                                                      <w:marTop w:val="0"/>
                                                      <w:marBottom w:val="0"/>
                                                      <w:divBdr>
                                                        <w:top w:val="single" w:sz="2" w:space="0" w:color="auto"/>
                                                        <w:left w:val="single" w:sz="2" w:space="0" w:color="auto"/>
                                                        <w:bottom w:val="single" w:sz="2" w:space="0" w:color="auto"/>
                                                        <w:right w:val="single" w:sz="2" w:space="0" w:color="auto"/>
                                                      </w:divBdr>
                                                    </w:div>
                                                    <w:div w:id="1840189978">
                                                      <w:marLeft w:val="0"/>
                                                      <w:marRight w:val="0"/>
                                                      <w:marTop w:val="0"/>
                                                      <w:marBottom w:val="0"/>
                                                      <w:divBdr>
                                                        <w:top w:val="single" w:sz="2" w:space="0" w:color="auto"/>
                                                        <w:left w:val="single" w:sz="2" w:space="0" w:color="auto"/>
                                                        <w:bottom w:val="single" w:sz="2" w:space="0" w:color="auto"/>
                                                        <w:right w:val="single" w:sz="2" w:space="0" w:color="auto"/>
                                                      </w:divBdr>
                                                    </w:div>
                                                    <w:div w:id="1976059795">
                                                      <w:marLeft w:val="0"/>
                                                      <w:marRight w:val="0"/>
                                                      <w:marTop w:val="0"/>
                                                      <w:marBottom w:val="0"/>
                                                      <w:divBdr>
                                                        <w:top w:val="single" w:sz="2" w:space="0" w:color="auto"/>
                                                        <w:left w:val="single" w:sz="2" w:space="0" w:color="auto"/>
                                                        <w:bottom w:val="single" w:sz="2" w:space="0" w:color="auto"/>
                                                        <w:right w:val="single" w:sz="2" w:space="0" w:color="auto"/>
                                                      </w:divBdr>
                                                    </w:div>
                                                    <w:div w:id="201480097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sChild>
        </w:div>
      </w:divsChild>
    </w:div>
    <w:div w:id="909582288">
      <w:bodyDiv w:val="1"/>
      <w:marLeft w:val="0"/>
      <w:marRight w:val="0"/>
      <w:marTop w:val="0"/>
      <w:marBottom w:val="0"/>
      <w:divBdr>
        <w:top w:val="none" w:sz="0" w:space="0" w:color="auto"/>
        <w:left w:val="none" w:sz="0" w:space="0" w:color="auto"/>
        <w:bottom w:val="none" w:sz="0" w:space="0" w:color="auto"/>
        <w:right w:val="none" w:sz="0" w:space="0" w:color="auto"/>
      </w:divBdr>
      <w:divsChild>
        <w:div w:id="1633245033">
          <w:marLeft w:val="0"/>
          <w:marRight w:val="0"/>
          <w:marTop w:val="0"/>
          <w:marBottom w:val="0"/>
          <w:divBdr>
            <w:top w:val="none" w:sz="0" w:space="0" w:color="auto"/>
            <w:left w:val="none" w:sz="0" w:space="0" w:color="auto"/>
            <w:bottom w:val="none" w:sz="0" w:space="0" w:color="auto"/>
            <w:right w:val="none" w:sz="0" w:space="0" w:color="auto"/>
          </w:divBdr>
        </w:div>
        <w:div w:id="2062241355">
          <w:marLeft w:val="0"/>
          <w:marRight w:val="0"/>
          <w:marTop w:val="0"/>
          <w:marBottom w:val="0"/>
          <w:divBdr>
            <w:top w:val="none" w:sz="0" w:space="0" w:color="auto"/>
            <w:left w:val="none" w:sz="0" w:space="0" w:color="auto"/>
            <w:bottom w:val="none" w:sz="0" w:space="0" w:color="auto"/>
            <w:right w:val="none" w:sz="0" w:space="0" w:color="auto"/>
          </w:divBdr>
        </w:div>
      </w:divsChild>
    </w:div>
    <w:div w:id="910194566">
      <w:bodyDiv w:val="1"/>
      <w:marLeft w:val="0"/>
      <w:marRight w:val="0"/>
      <w:marTop w:val="0"/>
      <w:marBottom w:val="0"/>
      <w:divBdr>
        <w:top w:val="none" w:sz="0" w:space="0" w:color="auto"/>
        <w:left w:val="none" w:sz="0" w:space="0" w:color="auto"/>
        <w:bottom w:val="none" w:sz="0" w:space="0" w:color="auto"/>
        <w:right w:val="none" w:sz="0" w:space="0" w:color="auto"/>
      </w:divBdr>
      <w:divsChild>
        <w:div w:id="263730618">
          <w:marLeft w:val="0"/>
          <w:marRight w:val="0"/>
          <w:marTop w:val="0"/>
          <w:marBottom w:val="0"/>
          <w:divBdr>
            <w:top w:val="none" w:sz="0" w:space="0" w:color="auto"/>
            <w:left w:val="none" w:sz="0" w:space="0" w:color="auto"/>
            <w:bottom w:val="none" w:sz="0" w:space="0" w:color="auto"/>
            <w:right w:val="none" w:sz="0" w:space="0" w:color="auto"/>
          </w:divBdr>
        </w:div>
        <w:div w:id="1138061871">
          <w:marLeft w:val="0"/>
          <w:marRight w:val="0"/>
          <w:marTop w:val="0"/>
          <w:marBottom w:val="0"/>
          <w:divBdr>
            <w:top w:val="none" w:sz="0" w:space="0" w:color="auto"/>
            <w:left w:val="none" w:sz="0" w:space="0" w:color="auto"/>
            <w:bottom w:val="none" w:sz="0" w:space="0" w:color="auto"/>
            <w:right w:val="none" w:sz="0" w:space="0" w:color="auto"/>
          </w:divBdr>
        </w:div>
        <w:div w:id="2119326888">
          <w:marLeft w:val="0"/>
          <w:marRight w:val="0"/>
          <w:marTop w:val="0"/>
          <w:marBottom w:val="0"/>
          <w:divBdr>
            <w:top w:val="none" w:sz="0" w:space="0" w:color="auto"/>
            <w:left w:val="none" w:sz="0" w:space="0" w:color="auto"/>
            <w:bottom w:val="none" w:sz="0" w:space="0" w:color="auto"/>
            <w:right w:val="none" w:sz="0" w:space="0" w:color="auto"/>
          </w:divBdr>
        </w:div>
      </w:divsChild>
    </w:div>
    <w:div w:id="950161268">
      <w:bodyDiv w:val="1"/>
      <w:marLeft w:val="0"/>
      <w:marRight w:val="0"/>
      <w:marTop w:val="0"/>
      <w:marBottom w:val="0"/>
      <w:divBdr>
        <w:top w:val="none" w:sz="0" w:space="0" w:color="auto"/>
        <w:left w:val="none" w:sz="0" w:space="0" w:color="auto"/>
        <w:bottom w:val="none" w:sz="0" w:space="0" w:color="auto"/>
        <w:right w:val="none" w:sz="0" w:space="0" w:color="auto"/>
      </w:divBdr>
    </w:div>
    <w:div w:id="980110730">
      <w:bodyDiv w:val="1"/>
      <w:marLeft w:val="0"/>
      <w:marRight w:val="0"/>
      <w:marTop w:val="0"/>
      <w:marBottom w:val="0"/>
      <w:divBdr>
        <w:top w:val="none" w:sz="0" w:space="0" w:color="auto"/>
        <w:left w:val="none" w:sz="0" w:space="0" w:color="auto"/>
        <w:bottom w:val="none" w:sz="0" w:space="0" w:color="auto"/>
        <w:right w:val="none" w:sz="0" w:space="0" w:color="auto"/>
      </w:divBdr>
    </w:div>
    <w:div w:id="983242255">
      <w:bodyDiv w:val="1"/>
      <w:marLeft w:val="0"/>
      <w:marRight w:val="0"/>
      <w:marTop w:val="0"/>
      <w:marBottom w:val="0"/>
      <w:divBdr>
        <w:top w:val="none" w:sz="0" w:space="0" w:color="auto"/>
        <w:left w:val="none" w:sz="0" w:space="0" w:color="auto"/>
        <w:bottom w:val="none" w:sz="0" w:space="0" w:color="auto"/>
        <w:right w:val="none" w:sz="0" w:space="0" w:color="auto"/>
      </w:divBdr>
    </w:div>
    <w:div w:id="985552308">
      <w:bodyDiv w:val="1"/>
      <w:marLeft w:val="0"/>
      <w:marRight w:val="0"/>
      <w:marTop w:val="0"/>
      <w:marBottom w:val="0"/>
      <w:divBdr>
        <w:top w:val="none" w:sz="0" w:space="0" w:color="auto"/>
        <w:left w:val="none" w:sz="0" w:space="0" w:color="auto"/>
        <w:bottom w:val="none" w:sz="0" w:space="0" w:color="auto"/>
        <w:right w:val="none" w:sz="0" w:space="0" w:color="auto"/>
      </w:divBdr>
      <w:divsChild>
        <w:div w:id="282422771">
          <w:marLeft w:val="0"/>
          <w:marRight w:val="0"/>
          <w:marTop w:val="0"/>
          <w:marBottom w:val="0"/>
          <w:divBdr>
            <w:top w:val="none" w:sz="0" w:space="0" w:color="auto"/>
            <w:left w:val="none" w:sz="0" w:space="0" w:color="auto"/>
            <w:bottom w:val="none" w:sz="0" w:space="0" w:color="auto"/>
            <w:right w:val="none" w:sz="0" w:space="0" w:color="auto"/>
          </w:divBdr>
        </w:div>
        <w:div w:id="1547065454">
          <w:marLeft w:val="0"/>
          <w:marRight w:val="0"/>
          <w:marTop w:val="0"/>
          <w:marBottom w:val="0"/>
          <w:divBdr>
            <w:top w:val="none" w:sz="0" w:space="0" w:color="auto"/>
            <w:left w:val="none" w:sz="0" w:space="0" w:color="auto"/>
            <w:bottom w:val="none" w:sz="0" w:space="0" w:color="auto"/>
            <w:right w:val="none" w:sz="0" w:space="0" w:color="auto"/>
          </w:divBdr>
        </w:div>
      </w:divsChild>
    </w:div>
    <w:div w:id="987130233">
      <w:bodyDiv w:val="1"/>
      <w:marLeft w:val="0"/>
      <w:marRight w:val="0"/>
      <w:marTop w:val="0"/>
      <w:marBottom w:val="0"/>
      <w:divBdr>
        <w:top w:val="none" w:sz="0" w:space="0" w:color="auto"/>
        <w:left w:val="none" w:sz="0" w:space="0" w:color="auto"/>
        <w:bottom w:val="none" w:sz="0" w:space="0" w:color="auto"/>
        <w:right w:val="none" w:sz="0" w:space="0" w:color="auto"/>
      </w:divBdr>
      <w:divsChild>
        <w:div w:id="487719126">
          <w:marLeft w:val="0"/>
          <w:marRight w:val="0"/>
          <w:marTop w:val="0"/>
          <w:marBottom w:val="0"/>
          <w:divBdr>
            <w:top w:val="none" w:sz="0" w:space="0" w:color="auto"/>
            <w:left w:val="none" w:sz="0" w:space="0" w:color="auto"/>
            <w:bottom w:val="none" w:sz="0" w:space="0" w:color="auto"/>
            <w:right w:val="none" w:sz="0" w:space="0" w:color="auto"/>
          </w:divBdr>
        </w:div>
        <w:div w:id="522208329">
          <w:marLeft w:val="0"/>
          <w:marRight w:val="0"/>
          <w:marTop w:val="0"/>
          <w:marBottom w:val="0"/>
          <w:divBdr>
            <w:top w:val="none" w:sz="0" w:space="0" w:color="auto"/>
            <w:left w:val="none" w:sz="0" w:space="0" w:color="auto"/>
            <w:bottom w:val="none" w:sz="0" w:space="0" w:color="auto"/>
            <w:right w:val="none" w:sz="0" w:space="0" w:color="auto"/>
          </w:divBdr>
        </w:div>
        <w:div w:id="794366706">
          <w:marLeft w:val="0"/>
          <w:marRight w:val="0"/>
          <w:marTop w:val="0"/>
          <w:marBottom w:val="0"/>
          <w:divBdr>
            <w:top w:val="none" w:sz="0" w:space="0" w:color="auto"/>
            <w:left w:val="none" w:sz="0" w:space="0" w:color="auto"/>
            <w:bottom w:val="none" w:sz="0" w:space="0" w:color="auto"/>
            <w:right w:val="none" w:sz="0" w:space="0" w:color="auto"/>
          </w:divBdr>
        </w:div>
        <w:div w:id="1400130073">
          <w:marLeft w:val="0"/>
          <w:marRight w:val="0"/>
          <w:marTop w:val="0"/>
          <w:marBottom w:val="0"/>
          <w:divBdr>
            <w:top w:val="none" w:sz="0" w:space="0" w:color="auto"/>
            <w:left w:val="none" w:sz="0" w:space="0" w:color="auto"/>
            <w:bottom w:val="none" w:sz="0" w:space="0" w:color="auto"/>
            <w:right w:val="none" w:sz="0" w:space="0" w:color="auto"/>
          </w:divBdr>
        </w:div>
        <w:div w:id="1419520914">
          <w:marLeft w:val="0"/>
          <w:marRight w:val="0"/>
          <w:marTop w:val="0"/>
          <w:marBottom w:val="0"/>
          <w:divBdr>
            <w:top w:val="none" w:sz="0" w:space="0" w:color="auto"/>
            <w:left w:val="none" w:sz="0" w:space="0" w:color="auto"/>
            <w:bottom w:val="none" w:sz="0" w:space="0" w:color="auto"/>
            <w:right w:val="none" w:sz="0" w:space="0" w:color="auto"/>
          </w:divBdr>
        </w:div>
        <w:div w:id="1457287802">
          <w:marLeft w:val="0"/>
          <w:marRight w:val="0"/>
          <w:marTop w:val="0"/>
          <w:marBottom w:val="0"/>
          <w:divBdr>
            <w:top w:val="none" w:sz="0" w:space="0" w:color="auto"/>
            <w:left w:val="none" w:sz="0" w:space="0" w:color="auto"/>
            <w:bottom w:val="none" w:sz="0" w:space="0" w:color="auto"/>
            <w:right w:val="none" w:sz="0" w:space="0" w:color="auto"/>
          </w:divBdr>
        </w:div>
      </w:divsChild>
    </w:div>
    <w:div w:id="995493358">
      <w:bodyDiv w:val="1"/>
      <w:marLeft w:val="0"/>
      <w:marRight w:val="0"/>
      <w:marTop w:val="0"/>
      <w:marBottom w:val="0"/>
      <w:divBdr>
        <w:top w:val="none" w:sz="0" w:space="0" w:color="auto"/>
        <w:left w:val="none" w:sz="0" w:space="0" w:color="auto"/>
        <w:bottom w:val="none" w:sz="0" w:space="0" w:color="auto"/>
        <w:right w:val="none" w:sz="0" w:space="0" w:color="auto"/>
      </w:divBdr>
      <w:divsChild>
        <w:div w:id="828523724">
          <w:marLeft w:val="0"/>
          <w:marRight w:val="0"/>
          <w:marTop w:val="0"/>
          <w:marBottom w:val="0"/>
          <w:divBdr>
            <w:top w:val="none" w:sz="0" w:space="0" w:color="auto"/>
            <w:left w:val="none" w:sz="0" w:space="0" w:color="auto"/>
            <w:bottom w:val="none" w:sz="0" w:space="0" w:color="auto"/>
            <w:right w:val="none" w:sz="0" w:space="0" w:color="auto"/>
          </w:divBdr>
        </w:div>
        <w:div w:id="1908026045">
          <w:marLeft w:val="0"/>
          <w:marRight w:val="0"/>
          <w:marTop w:val="0"/>
          <w:marBottom w:val="0"/>
          <w:divBdr>
            <w:top w:val="none" w:sz="0" w:space="0" w:color="auto"/>
            <w:left w:val="none" w:sz="0" w:space="0" w:color="auto"/>
            <w:bottom w:val="none" w:sz="0" w:space="0" w:color="auto"/>
            <w:right w:val="none" w:sz="0" w:space="0" w:color="auto"/>
          </w:divBdr>
        </w:div>
        <w:div w:id="1962220840">
          <w:marLeft w:val="0"/>
          <w:marRight w:val="0"/>
          <w:marTop w:val="0"/>
          <w:marBottom w:val="0"/>
          <w:divBdr>
            <w:top w:val="none" w:sz="0" w:space="0" w:color="auto"/>
            <w:left w:val="none" w:sz="0" w:space="0" w:color="auto"/>
            <w:bottom w:val="none" w:sz="0" w:space="0" w:color="auto"/>
            <w:right w:val="none" w:sz="0" w:space="0" w:color="auto"/>
          </w:divBdr>
        </w:div>
      </w:divsChild>
    </w:div>
    <w:div w:id="1039864449">
      <w:bodyDiv w:val="1"/>
      <w:marLeft w:val="0"/>
      <w:marRight w:val="0"/>
      <w:marTop w:val="0"/>
      <w:marBottom w:val="0"/>
      <w:divBdr>
        <w:top w:val="none" w:sz="0" w:space="0" w:color="auto"/>
        <w:left w:val="none" w:sz="0" w:space="0" w:color="auto"/>
        <w:bottom w:val="none" w:sz="0" w:space="0" w:color="auto"/>
        <w:right w:val="none" w:sz="0" w:space="0" w:color="auto"/>
      </w:divBdr>
      <w:divsChild>
        <w:div w:id="899174487">
          <w:marLeft w:val="0"/>
          <w:marRight w:val="0"/>
          <w:marTop w:val="0"/>
          <w:marBottom w:val="0"/>
          <w:divBdr>
            <w:top w:val="none" w:sz="0" w:space="0" w:color="auto"/>
            <w:left w:val="none" w:sz="0" w:space="0" w:color="auto"/>
            <w:bottom w:val="none" w:sz="0" w:space="0" w:color="auto"/>
            <w:right w:val="none" w:sz="0" w:space="0" w:color="auto"/>
          </w:divBdr>
        </w:div>
      </w:divsChild>
    </w:div>
    <w:div w:id="1046638387">
      <w:bodyDiv w:val="1"/>
      <w:marLeft w:val="0"/>
      <w:marRight w:val="0"/>
      <w:marTop w:val="0"/>
      <w:marBottom w:val="0"/>
      <w:divBdr>
        <w:top w:val="none" w:sz="0" w:space="0" w:color="auto"/>
        <w:left w:val="none" w:sz="0" w:space="0" w:color="auto"/>
        <w:bottom w:val="none" w:sz="0" w:space="0" w:color="auto"/>
        <w:right w:val="none" w:sz="0" w:space="0" w:color="auto"/>
      </w:divBdr>
      <w:divsChild>
        <w:div w:id="307587665">
          <w:marLeft w:val="0"/>
          <w:marRight w:val="0"/>
          <w:marTop w:val="0"/>
          <w:marBottom w:val="0"/>
          <w:divBdr>
            <w:top w:val="none" w:sz="0" w:space="0" w:color="auto"/>
            <w:left w:val="none" w:sz="0" w:space="0" w:color="auto"/>
            <w:bottom w:val="none" w:sz="0" w:space="0" w:color="auto"/>
            <w:right w:val="none" w:sz="0" w:space="0" w:color="auto"/>
          </w:divBdr>
        </w:div>
        <w:div w:id="850922525">
          <w:marLeft w:val="0"/>
          <w:marRight w:val="0"/>
          <w:marTop w:val="0"/>
          <w:marBottom w:val="0"/>
          <w:divBdr>
            <w:top w:val="none" w:sz="0" w:space="0" w:color="auto"/>
            <w:left w:val="none" w:sz="0" w:space="0" w:color="auto"/>
            <w:bottom w:val="none" w:sz="0" w:space="0" w:color="auto"/>
            <w:right w:val="none" w:sz="0" w:space="0" w:color="auto"/>
          </w:divBdr>
        </w:div>
        <w:div w:id="1214656709">
          <w:marLeft w:val="0"/>
          <w:marRight w:val="0"/>
          <w:marTop w:val="0"/>
          <w:marBottom w:val="0"/>
          <w:divBdr>
            <w:top w:val="none" w:sz="0" w:space="0" w:color="auto"/>
            <w:left w:val="none" w:sz="0" w:space="0" w:color="auto"/>
            <w:bottom w:val="none" w:sz="0" w:space="0" w:color="auto"/>
            <w:right w:val="none" w:sz="0" w:space="0" w:color="auto"/>
          </w:divBdr>
        </w:div>
        <w:div w:id="1418601696">
          <w:marLeft w:val="0"/>
          <w:marRight w:val="0"/>
          <w:marTop w:val="0"/>
          <w:marBottom w:val="0"/>
          <w:divBdr>
            <w:top w:val="none" w:sz="0" w:space="0" w:color="auto"/>
            <w:left w:val="none" w:sz="0" w:space="0" w:color="auto"/>
            <w:bottom w:val="none" w:sz="0" w:space="0" w:color="auto"/>
            <w:right w:val="none" w:sz="0" w:space="0" w:color="auto"/>
          </w:divBdr>
        </w:div>
        <w:div w:id="1854487898">
          <w:marLeft w:val="0"/>
          <w:marRight w:val="0"/>
          <w:marTop w:val="0"/>
          <w:marBottom w:val="0"/>
          <w:divBdr>
            <w:top w:val="none" w:sz="0" w:space="0" w:color="auto"/>
            <w:left w:val="none" w:sz="0" w:space="0" w:color="auto"/>
            <w:bottom w:val="none" w:sz="0" w:space="0" w:color="auto"/>
            <w:right w:val="none" w:sz="0" w:space="0" w:color="auto"/>
          </w:divBdr>
        </w:div>
      </w:divsChild>
    </w:div>
    <w:div w:id="1077440160">
      <w:bodyDiv w:val="1"/>
      <w:marLeft w:val="0"/>
      <w:marRight w:val="0"/>
      <w:marTop w:val="0"/>
      <w:marBottom w:val="0"/>
      <w:divBdr>
        <w:top w:val="none" w:sz="0" w:space="0" w:color="auto"/>
        <w:left w:val="none" w:sz="0" w:space="0" w:color="auto"/>
        <w:bottom w:val="none" w:sz="0" w:space="0" w:color="auto"/>
        <w:right w:val="none" w:sz="0" w:space="0" w:color="auto"/>
      </w:divBdr>
      <w:divsChild>
        <w:div w:id="234826831">
          <w:marLeft w:val="0"/>
          <w:marRight w:val="0"/>
          <w:marTop w:val="0"/>
          <w:marBottom w:val="0"/>
          <w:divBdr>
            <w:top w:val="none" w:sz="0" w:space="0" w:color="auto"/>
            <w:left w:val="none" w:sz="0" w:space="0" w:color="auto"/>
            <w:bottom w:val="none" w:sz="0" w:space="0" w:color="auto"/>
            <w:right w:val="none" w:sz="0" w:space="0" w:color="auto"/>
          </w:divBdr>
        </w:div>
        <w:div w:id="938148901">
          <w:marLeft w:val="0"/>
          <w:marRight w:val="0"/>
          <w:marTop w:val="0"/>
          <w:marBottom w:val="0"/>
          <w:divBdr>
            <w:top w:val="none" w:sz="0" w:space="0" w:color="auto"/>
            <w:left w:val="none" w:sz="0" w:space="0" w:color="auto"/>
            <w:bottom w:val="none" w:sz="0" w:space="0" w:color="auto"/>
            <w:right w:val="none" w:sz="0" w:space="0" w:color="auto"/>
          </w:divBdr>
        </w:div>
        <w:div w:id="1308974102">
          <w:marLeft w:val="0"/>
          <w:marRight w:val="0"/>
          <w:marTop w:val="0"/>
          <w:marBottom w:val="0"/>
          <w:divBdr>
            <w:top w:val="none" w:sz="0" w:space="0" w:color="auto"/>
            <w:left w:val="none" w:sz="0" w:space="0" w:color="auto"/>
            <w:bottom w:val="none" w:sz="0" w:space="0" w:color="auto"/>
            <w:right w:val="none" w:sz="0" w:space="0" w:color="auto"/>
          </w:divBdr>
        </w:div>
        <w:div w:id="1396659981">
          <w:marLeft w:val="0"/>
          <w:marRight w:val="0"/>
          <w:marTop w:val="0"/>
          <w:marBottom w:val="0"/>
          <w:divBdr>
            <w:top w:val="none" w:sz="0" w:space="0" w:color="auto"/>
            <w:left w:val="none" w:sz="0" w:space="0" w:color="auto"/>
            <w:bottom w:val="none" w:sz="0" w:space="0" w:color="auto"/>
            <w:right w:val="none" w:sz="0" w:space="0" w:color="auto"/>
          </w:divBdr>
        </w:div>
        <w:div w:id="1638097575">
          <w:marLeft w:val="0"/>
          <w:marRight w:val="0"/>
          <w:marTop w:val="0"/>
          <w:marBottom w:val="0"/>
          <w:divBdr>
            <w:top w:val="none" w:sz="0" w:space="0" w:color="auto"/>
            <w:left w:val="none" w:sz="0" w:space="0" w:color="auto"/>
            <w:bottom w:val="none" w:sz="0" w:space="0" w:color="auto"/>
            <w:right w:val="none" w:sz="0" w:space="0" w:color="auto"/>
          </w:divBdr>
        </w:div>
        <w:div w:id="1891958985">
          <w:marLeft w:val="0"/>
          <w:marRight w:val="0"/>
          <w:marTop w:val="0"/>
          <w:marBottom w:val="0"/>
          <w:divBdr>
            <w:top w:val="none" w:sz="0" w:space="0" w:color="auto"/>
            <w:left w:val="none" w:sz="0" w:space="0" w:color="auto"/>
            <w:bottom w:val="none" w:sz="0" w:space="0" w:color="auto"/>
            <w:right w:val="none" w:sz="0" w:space="0" w:color="auto"/>
          </w:divBdr>
        </w:div>
      </w:divsChild>
    </w:div>
    <w:div w:id="1080054206">
      <w:bodyDiv w:val="1"/>
      <w:marLeft w:val="0"/>
      <w:marRight w:val="0"/>
      <w:marTop w:val="0"/>
      <w:marBottom w:val="0"/>
      <w:divBdr>
        <w:top w:val="none" w:sz="0" w:space="0" w:color="auto"/>
        <w:left w:val="none" w:sz="0" w:space="0" w:color="auto"/>
        <w:bottom w:val="none" w:sz="0" w:space="0" w:color="auto"/>
        <w:right w:val="none" w:sz="0" w:space="0" w:color="auto"/>
      </w:divBdr>
      <w:divsChild>
        <w:div w:id="19791907">
          <w:marLeft w:val="0"/>
          <w:marRight w:val="0"/>
          <w:marTop w:val="0"/>
          <w:marBottom w:val="0"/>
          <w:divBdr>
            <w:top w:val="none" w:sz="0" w:space="0" w:color="auto"/>
            <w:left w:val="none" w:sz="0" w:space="0" w:color="auto"/>
            <w:bottom w:val="none" w:sz="0" w:space="0" w:color="auto"/>
            <w:right w:val="none" w:sz="0" w:space="0" w:color="auto"/>
          </w:divBdr>
        </w:div>
        <w:div w:id="449476503">
          <w:marLeft w:val="0"/>
          <w:marRight w:val="0"/>
          <w:marTop w:val="0"/>
          <w:marBottom w:val="0"/>
          <w:divBdr>
            <w:top w:val="none" w:sz="0" w:space="0" w:color="auto"/>
            <w:left w:val="none" w:sz="0" w:space="0" w:color="auto"/>
            <w:bottom w:val="none" w:sz="0" w:space="0" w:color="auto"/>
            <w:right w:val="none" w:sz="0" w:space="0" w:color="auto"/>
          </w:divBdr>
        </w:div>
        <w:div w:id="736822879">
          <w:marLeft w:val="0"/>
          <w:marRight w:val="0"/>
          <w:marTop w:val="0"/>
          <w:marBottom w:val="0"/>
          <w:divBdr>
            <w:top w:val="none" w:sz="0" w:space="0" w:color="auto"/>
            <w:left w:val="none" w:sz="0" w:space="0" w:color="auto"/>
            <w:bottom w:val="none" w:sz="0" w:space="0" w:color="auto"/>
            <w:right w:val="none" w:sz="0" w:space="0" w:color="auto"/>
          </w:divBdr>
        </w:div>
        <w:div w:id="1607619017">
          <w:marLeft w:val="0"/>
          <w:marRight w:val="0"/>
          <w:marTop w:val="0"/>
          <w:marBottom w:val="0"/>
          <w:divBdr>
            <w:top w:val="none" w:sz="0" w:space="0" w:color="auto"/>
            <w:left w:val="none" w:sz="0" w:space="0" w:color="auto"/>
            <w:bottom w:val="none" w:sz="0" w:space="0" w:color="auto"/>
            <w:right w:val="none" w:sz="0" w:space="0" w:color="auto"/>
          </w:divBdr>
        </w:div>
        <w:div w:id="2056272918">
          <w:marLeft w:val="0"/>
          <w:marRight w:val="0"/>
          <w:marTop w:val="0"/>
          <w:marBottom w:val="0"/>
          <w:divBdr>
            <w:top w:val="none" w:sz="0" w:space="0" w:color="auto"/>
            <w:left w:val="none" w:sz="0" w:space="0" w:color="auto"/>
            <w:bottom w:val="none" w:sz="0" w:space="0" w:color="auto"/>
            <w:right w:val="none" w:sz="0" w:space="0" w:color="auto"/>
          </w:divBdr>
        </w:div>
      </w:divsChild>
    </w:div>
    <w:div w:id="1207790249">
      <w:bodyDiv w:val="1"/>
      <w:marLeft w:val="0"/>
      <w:marRight w:val="0"/>
      <w:marTop w:val="0"/>
      <w:marBottom w:val="0"/>
      <w:divBdr>
        <w:top w:val="none" w:sz="0" w:space="0" w:color="auto"/>
        <w:left w:val="none" w:sz="0" w:space="0" w:color="auto"/>
        <w:bottom w:val="none" w:sz="0" w:space="0" w:color="auto"/>
        <w:right w:val="none" w:sz="0" w:space="0" w:color="auto"/>
      </w:divBdr>
    </w:div>
    <w:div w:id="1209998361">
      <w:bodyDiv w:val="1"/>
      <w:marLeft w:val="0"/>
      <w:marRight w:val="0"/>
      <w:marTop w:val="0"/>
      <w:marBottom w:val="0"/>
      <w:divBdr>
        <w:top w:val="none" w:sz="0" w:space="0" w:color="auto"/>
        <w:left w:val="none" w:sz="0" w:space="0" w:color="auto"/>
        <w:bottom w:val="none" w:sz="0" w:space="0" w:color="auto"/>
        <w:right w:val="none" w:sz="0" w:space="0" w:color="auto"/>
      </w:divBdr>
    </w:div>
    <w:div w:id="1291859572">
      <w:bodyDiv w:val="1"/>
      <w:marLeft w:val="0"/>
      <w:marRight w:val="0"/>
      <w:marTop w:val="0"/>
      <w:marBottom w:val="0"/>
      <w:divBdr>
        <w:top w:val="none" w:sz="0" w:space="0" w:color="auto"/>
        <w:left w:val="none" w:sz="0" w:space="0" w:color="auto"/>
        <w:bottom w:val="none" w:sz="0" w:space="0" w:color="auto"/>
        <w:right w:val="none" w:sz="0" w:space="0" w:color="auto"/>
      </w:divBdr>
    </w:div>
    <w:div w:id="1362130887">
      <w:bodyDiv w:val="1"/>
      <w:marLeft w:val="0"/>
      <w:marRight w:val="0"/>
      <w:marTop w:val="0"/>
      <w:marBottom w:val="0"/>
      <w:divBdr>
        <w:top w:val="none" w:sz="0" w:space="0" w:color="auto"/>
        <w:left w:val="none" w:sz="0" w:space="0" w:color="auto"/>
        <w:bottom w:val="none" w:sz="0" w:space="0" w:color="auto"/>
        <w:right w:val="none" w:sz="0" w:space="0" w:color="auto"/>
      </w:divBdr>
      <w:divsChild>
        <w:div w:id="524906353">
          <w:marLeft w:val="0"/>
          <w:marRight w:val="0"/>
          <w:marTop w:val="0"/>
          <w:marBottom w:val="0"/>
          <w:divBdr>
            <w:top w:val="none" w:sz="0" w:space="0" w:color="auto"/>
            <w:left w:val="none" w:sz="0" w:space="0" w:color="auto"/>
            <w:bottom w:val="none" w:sz="0" w:space="0" w:color="auto"/>
            <w:right w:val="none" w:sz="0" w:space="0" w:color="auto"/>
          </w:divBdr>
        </w:div>
        <w:div w:id="1269116626">
          <w:marLeft w:val="0"/>
          <w:marRight w:val="0"/>
          <w:marTop w:val="0"/>
          <w:marBottom w:val="0"/>
          <w:divBdr>
            <w:top w:val="none" w:sz="0" w:space="0" w:color="auto"/>
            <w:left w:val="none" w:sz="0" w:space="0" w:color="auto"/>
            <w:bottom w:val="none" w:sz="0" w:space="0" w:color="auto"/>
            <w:right w:val="none" w:sz="0" w:space="0" w:color="auto"/>
          </w:divBdr>
          <w:divsChild>
            <w:div w:id="1156192546">
              <w:marLeft w:val="0"/>
              <w:marRight w:val="0"/>
              <w:marTop w:val="0"/>
              <w:marBottom w:val="0"/>
              <w:divBdr>
                <w:top w:val="none" w:sz="0" w:space="0" w:color="auto"/>
                <w:left w:val="none" w:sz="0" w:space="0" w:color="auto"/>
                <w:bottom w:val="none" w:sz="0" w:space="0" w:color="auto"/>
                <w:right w:val="none" w:sz="0" w:space="0" w:color="auto"/>
              </w:divBdr>
              <w:divsChild>
                <w:div w:id="547381517">
                  <w:marLeft w:val="0"/>
                  <w:marRight w:val="0"/>
                  <w:marTop w:val="0"/>
                  <w:marBottom w:val="0"/>
                  <w:divBdr>
                    <w:top w:val="none" w:sz="0" w:space="0" w:color="auto"/>
                    <w:left w:val="none" w:sz="0" w:space="0" w:color="auto"/>
                    <w:bottom w:val="none" w:sz="0" w:space="0" w:color="auto"/>
                    <w:right w:val="none" w:sz="0" w:space="0" w:color="auto"/>
                  </w:divBdr>
                </w:div>
                <w:div w:id="682129692">
                  <w:marLeft w:val="0"/>
                  <w:marRight w:val="0"/>
                  <w:marTop w:val="0"/>
                  <w:marBottom w:val="0"/>
                  <w:divBdr>
                    <w:top w:val="none" w:sz="0" w:space="0" w:color="auto"/>
                    <w:left w:val="none" w:sz="0" w:space="0" w:color="auto"/>
                    <w:bottom w:val="none" w:sz="0" w:space="0" w:color="auto"/>
                    <w:right w:val="none" w:sz="0" w:space="0" w:color="auto"/>
                  </w:divBdr>
                  <w:divsChild>
                    <w:div w:id="88683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031239">
              <w:marLeft w:val="0"/>
              <w:marRight w:val="120"/>
              <w:marTop w:val="0"/>
              <w:marBottom w:val="0"/>
              <w:divBdr>
                <w:top w:val="none" w:sz="0" w:space="0" w:color="auto"/>
                <w:left w:val="none" w:sz="0" w:space="0" w:color="auto"/>
                <w:bottom w:val="none" w:sz="0" w:space="0" w:color="auto"/>
                <w:right w:val="none" w:sz="0" w:space="0" w:color="auto"/>
              </w:divBdr>
              <w:divsChild>
                <w:div w:id="196315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228663">
          <w:marLeft w:val="0"/>
          <w:marRight w:val="0"/>
          <w:marTop w:val="0"/>
          <w:marBottom w:val="0"/>
          <w:divBdr>
            <w:top w:val="none" w:sz="0" w:space="0" w:color="auto"/>
            <w:left w:val="none" w:sz="0" w:space="0" w:color="auto"/>
            <w:bottom w:val="none" w:sz="0" w:space="0" w:color="auto"/>
            <w:right w:val="none" w:sz="0" w:space="0" w:color="auto"/>
          </w:divBdr>
          <w:divsChild>
            <w:div w:id="1437406282">
              <w:marLeft w:val="0"/>
              <w:marRight w:val="0"/>
              <w:marTop w:val="0"/>
              <w:marBottom w:val="0"/>
              <w:divBdr>
                <w:top w:val="none" w:sz="0" w:space="0" w:color="auto"/>
                <w:left w:val="none" w:sz="0" w:space="0" w:color="auto"/>
                <w:bottom w:val="none" w:sz="0" w:space="0" w:color="auto"/>
                <w:right w:val="none" w:sz="0" w:space="0" w:color="auto"/>
              </w:divBdr>
              <w:divsChild>
                <w:div w:id="2042170274">
                  <w:marLeft w:val="0"/>
                  <w:marRight w:val="0"/>
                  <w:marTop w:val="0"/>
                  <w:marBottom w:val="0"/>
                  <w:divBdr>
                    <w:top w:val="none" w:sz="0" w:space="0" w:color="auto"/>
                    <w:left w:val="none" w:sz="0" w:space="0" w:color="auto"/>
                    <w:bottom w:val="none" w:sz="0" w:space="0" w:color="auto"/>
                    <w:right w:val="none" w:sz="0" w:space="0" w:color="auto"/>
                  </w:divBdr>
                  <w:divsChild>
                    <w:div w:id="1838306126">
                      <w:marLeft w:val="0"/>
                      <w:marRight w:val="0"/>
                      <w:marTop w:val="0"/>
                      <w:marBottom w:val="0"/>
                      <w:divBdr>
                        <w:top w:val="none" w:sz="0" w:space="0" w:color="auto"/>
                        <w:left w:val="none" w:sz="0" w:space="0" w:color="auto"/>
                        <w:bottom w:val="none" w:sz="0" w:space="0" w:color="auto"/>
                        <w:right w:val="none" w:sz="0" w:space="0" w:color="auto"/>
                      </w:divBdr>
                      <w:divsChild>
                        <w:div w:id="1810975115">
                          <w:marLeft w:val="0"/>
                          <w:marRight w:val="0"/>
                          <w:marTop w:val="0"/>
                          <w:marBottom w:val="0"/>
                          <w:divBdr>
                            <w:top w:val="none" w:sz="0" w:space="0" w:color="auto"/>
                            <w:left w:val="none" w:sz="0" w:space="0" w:color="auto"/>
                            <w:bottom w:val="none" w:sz="0" w:space="0" w:color="auto"/>
                            <w:right w:val="none" w:sz="0" w:space="0" w:color="auto"/>
                          </w:divBdr>
                          <w:divsChild>
                            <w:div w:id="1209336181">
                              <w:marLeft w:val="0"/>
                              <w:marRight w:val="0"/>
                              <w:marTop w:val="0"/>
                              <w:marBottom w:val="0"/>
                              <w:divBdr>
                                <w:top w:val="none" w:sz="0" w:space="0" w:color="auto"/>
                                <w:left w:val="none" w:sz="0" w:space="0" w:color="auto"/>
                                <w:bottom w:val="none" w:sz="0" w:space="0" w:color="auto"/>
                                <w:right w:val="none" w:sz="0" w:space="0" w:color="auto"/>
                              </w:divBdr>
                              <w:divsChild>
                                <w:div w:id="1292322306">
                                  <w:marLeft w:val="0"/>
                                  <w:marRight w:val="0"/>
                                  <w:marTop w:val="0"/>
                                  <w:marBottom w:val="0"/>
                                  <w:divBdr>
                                    <w:top w:val="none" w:sz="0" w:space="0" w:color="auto"/>
                                    <w:left w:val="none" w:sz="0" w:space="0" w:color="auto"/>
                                    <w:bottom w:val="none" w:sz="0" w:space="0" w:color="auto"/>
                                    <w:right w:val="none" w:sz="0" w:space="0" w:color="auto"/>
                                  </w:divBdr>
                                  <w:divsChild>
                                    <w:div w:id="1538853754">
                                      <w:marLeft w:val="0"/>
                                      <w:marRight w:val="0"/>
                                      <w:marTop w:val="0"/>
                                      <w:marBottom w:val="0"/>
                                      <w:divBdr>
                                        <w:top w:val="none" w:sz="0" w:space="0" w:color="auto"/>
                                        <w:left w:val="none" w:sz="0" w:space="0" w:color="auto"/>
                                        <w:bottom w:val="none" w:sz="0" w:space="0" w:color="auto"/>
                                        <w:right w:val="none" w:sz="0" w:space="0" w:color="auto"/>
                                      </w:divBdr>
                                      <w:divsChild>
                                        <w:div w:id="1464468769">
                                          <w:marLeft w:val="0"/>
                                          <w:marRight w:val="0"/>
                                          <w:marTop w:val="0"/>
                                          <w:marBottom w:val="0"/>
                                          <w:divBdr>
                                            <w:top w:val="none" w:sz="0" w:space="0" w:color="auto"/>
                                            <w:left w:val="none" w:sz="0" w:space="0" w:color="auto"/>
                                            <w:bottom w:val="none" w:sz="0" w:space="0" w:color="auto"/>
                                            <w:right w:val="none" w:sz="0" w:space="0" w:color="auto"/>
                                          </w:divBdr>
                                          <w:divsChild>
                                            <w:div w:id="542711602">
                                              <w:marLeft w:val="0"/>
                                              <w:marRight w:val="0"/>
                                              <w:marTop w:val="0"/>
                                              <w:marBottom w:val="0"/>
                                              <w:divBdr>
                                                <w:top w:val="none" w:sz="0" w:space="0" w:color="auto"/>
                                                <w:left w:val="none" w:sz="0" w:space="0" w:color="auto"/>
                                                <w:bottom w:val="none" w:sz="0" w:space="0" w:color="auto"/>
                                                <w:right w:val="none" w:sz="0" w:space="0" w:color="auto"/>
                                              </w:divBdr>
                                              <w:divsChild>
                                                <w:div w:id="1155411008">
                                                  <w:marLeft w:val="0"/>
                                                  <w:marRight w:val="0"/>
                                                  <w:marTop w:val="0"/>
                                                  <w:marBottom w:val="0"/>
                                                  <w:divBdr>
                                                    <w:top w:val="none" w:sz="0" w:space="0" w:color="auto"/>
                                                    <w:left w:val="none" w:sz="0" w:space="0" w:color="auto"/>
                                                    <w:bottom w:val="none" w:sz="0" w:space="0" w:color="auto"/>
                                                    <w:right w:val="none" w:sz="0" w:space="0" w:color="auto"/>
                                                  </w:divBdr>
                                                  <w:divsChild>
                                                    <w:div w:id="348486306">
                                                      <w:marLeft w:val="0"/>
                                                      <w:marRight w:val="0"/>
                                                      <w:marTop w:val="0"/>
                                                      <w:marBottom w:val="0"/>
                                                      <w:divBdr>
                                                        <w:top w:val="none" w:sz="0" w:space="0" w:color="auto"/>
                                                        <w:left w:val="none" w:sz="0" w:space="0" w:color="auto"/>
                                                        <w:bottom w:val="none" w:sz="0" w:space="0" w:color="auto"/>
                                                        <w:right w:val="none" w:sz="0" w:space="0" w:color="auto"/>
                                                      </w:divBdr>
                                                      <w:divsChild>
                                                        <w:div w:id="1045447955">
                                                          <w:marLeft w:val="0"/>
                                                          <w:marRight w:val="0"/>
                                                          <w:marTop w:val="0"/>
                                                          <w:marBottom w:val="0"/>
                                                          <w:divBdr>
                                                            <w:top w:val="none" w:sz="0" w:space="0" w:color="auto"/>
                                                            <w:left w:val="none" w:sz="0" w:space="0" w:color="auto"/>
                                                            <w:bottom w:val="none" w:sz="0" w:space="0" w:color="auto"/>
                                                            <w:right w:val="none" w:sz="0" w:space="0" w:color="auto"/>
                                                          </w:divBdr>
                                                          <w:divsChild>
                                                            <w:div w:id="504249637">
                                                              <w:marLeft w:val="0"/>
                                                              <w:marRight w:val="0"/>
                                                              <w:marTop w:val="0"/>
                                                              <w:marBottom w:val="0"/>
                                                              <w:divBdr>
                                                                <w:top w:val="none" w:sz="0" w:space="0" w:color="auto"/>
                                                                <w:left w:val="none" w:sz="0" w:space="0" w:color="auto"/>
                                                                <w:bottom w:val="none" w:sz="0" w:space="0" w:color="auto"/>
                                                                <w:right w:val="none" w:sz="0" w:space="0" w:color="auto"/>
                                                              </w:divBdr>
                                                              <w:divsChild>
                                                                <w:div w:id="1513836807">
                                                                  <w:marLeft w:val="0"/>
                                                                  <w:marRight w:val="0"/>
                                                                  <w:marTop w:val="0"/>
                                                                  <w:marBottom w:val="0"/>
                                                                  <w:divBdr>
                                                                    <w:top w:val="none" w:sz="0" w:space="0" w:color="auto"/>
                                                                    <w:left w:val="none" w:sz="0" w:space="0" w:color="auto"/>
                                                                    <w:bottom w:val="none" w:sz="0" w:space="0" w:color="auto"/>
                                                                    <w:right w:val="none" w:sz="0" w:space="0" w:color="auto"/>
                                                                  </w:divBdr>
                                                                </w:div>
                                                              </w:divsChild>
                                                            </w:div>
                                                            <w:div w:id="2090496941">
                                                              <w:marLeft w:val="0"/>
                                                              <w:marRight w:val="0"/>
                                                              <w:marTop w:val="0"/>
                                                              <w:marBottom w:val="0"/>
                                                              <w:divBdr>
                                                                <w:top w:val="none" w:sz="0" w:space="0" w:color="auto"/>
                                                                <w:left w:val="none" w:sz="0" w:space="0" w:color="auto"/>
                                                                <w:bottom w:val="none" w:sz="0" w:space="0" w:color="auto"/>
                                                                <w:right w:val="none" w:sz="0" w:space="0" w:color="auto"/>
                                                              </w:divBdr>
                                                              <w:divsChild>
                                                                <w:div w:id="1436287088">
                                                                  <w:marLeft w:val="0"/>
                                                                  <w:marRight w:val="0"/>
                                                                  <w:marTop w:val="0"/>
                                                                  <w:marBottom w:val="0"/>
                                                                  <w:divBdr>
                                                                    <w:top w:val="none" w:sz="0" w:space="0" w:color="auto"/>
                                                                    <w:left w:val="none" w:sz="0" w:space="0" w:color="auto"/>
                                                                    <w:bottom w:val="none" w:sz="0" w:space="0" w:color="auto"/>
                                                                    <w:right w:val="none" w:sz="0" w:space="0" w:color="auto"/>
                                                                  </w:divBdr>
                                                                  <w:divsChild>
                                                                    <w:div w:id="662926570">
                                                                      <w:marLeft w:val="0"/>
                                                                      <w:marRight w:val="0"/>
                                                                      <w:marTop w:val="0"/>
                                                                      <w:marBottom w:val="0"/>
                                                                      <w:divBdr>
                                                                        <w:top w:val="none" w:sz="0" w:space="0" w:color="auto"/>
                                                                        <w:left w:val="none" w:sz="0" w:space="0" w:color="auto"/>
                                                                        <w:bottom w:val="none" w:sz="0" w:space="0" w:color="auto"/>
                                                                        <w:right w:val="none" w:sz="0" w:space="0" w:color="auto"/>
                                                                      </w:divBdr>
                                                                    </w:div>
                                                                  </w:divsChild>
                                                                </w:div>
                                                                <w:div w:id="1526795001">
                                                                  <w:marLeft w:val="0"/>
                                                                  <w:marRight w:val="0"/>
                                                                  <w:marTop w:val="0"/>
                                                                  <w:marBottom w:val="0"/>
                                                                  <w:divBdr>
                                                                    <w:top w:val="none" w:sz="0" w:space="0" w:color="auto"/>
                                                                    <w:left w:val="none" w:sz="0" w:space="0" w:color="auto"/>
                                                                    <w:bottom w:val="none" w:sz="0" w:space="0" w:color="auto"/>
                                                                    <w:right w:val="none" w:sz="0" w:space="0" w:color="auto"/>
                                                                  </w:divBdr>
                                                                  <w:divsChild>
                                                                    <w:div w:id="198596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243206">
                                                          <w:marLeft w:val="0"/>
                                                          <w:marRight w:val="0"/>
                                                          <w:marTop w:val="0"/>
                                                          <w:marBottom w:val="0"/>
                                                          <w:divBdr>
                                                            <w:top w:val="none" w:sz="0" w:space="0" w:color="auto"/>
                                                            <w:left w:val="none" w:sz="0" w:space="0" w:color="auto"/>
                                                            <w:bottom w:val="none" w:sz="0" w:space="0" w:color="auto"/>
                                                            <w:right w:val="none" w:sz="0" w:space="0" w:color="auto"/>
                                                          </w:divBdr>
                                                          <w:divsChild>
                                                            <w:div w:id="646864505">
                                                              <w:marLeft w:val="0"/>
                                                              <w:marRight w:val="0"/>
                                                              <w:marTop w:val="0"/>
                                                              <w:marBottom w:val="0"/>
                                                              <w:divBdr>
                                                                <w:top w:val="none" w:sz="0" w:space="0" w:color="auto"/>
                                                                <w:left w:val="none" w:sz="0" w:space="0" w:color="auto"/>
                                                                <w:bottom w:val="none" w:sz="0" w:space="0" w:color="auto"/>
                                                                <w:right w:val="none" w:sz="0" w:space="0" w:color="auto"/>
                                                              </w:divBdr>
                                                              <w:divsChild>
                                                                <w:div w:id="242421524">
                                                                  <w:marLeft w:val="0"/>
                                                                  <w:marRight w:val="0"/>
                                                                  <w:marTop w:val="0"/>
                                                                  <w:marBottom w:val="0"/>
                                                                  <w:divBdr>
                                                                    <w:top w:val="none" w:sz="0" w:space="0" w:color="auto"/>
                                                                    <w:left w:val="none" w:sz="0" w:space="0" w:color="auto"/>
                                                                    <w:bottom w:val="none" w:sz="0" w:space="0" w:color="auto"/>
                                                                    <w:right w:val="none" w:sz="0" w:space="0" w:color="auto"/>
                                                                  </w:divBdr>
                                                                </w:div>
                                                                <w:div w:id="958950165">
                                                                  <w:marLeft w:val="0"/>
                                                                  <w:marRight w:val="0"/>
                                                                  <w:marTop w:val="0"/>
                                                                  <w:marBottom w:val="0"/>
                                                                  <w:divBdr>
                                                                    <w:top w:val="none" w:sz="0" w:space="0" w:color="auto"/>
                                                                    <w:left w:val="none" w:sz="0" w:space="0" w:color="auto"/>
                                                                    <w:bottom w:val="none" w:sz="0" w:space="0" w:color="auto"/>
                                                                    <w:right w:val="none" w:sz="0" w:space="0" w:color="auto"/>
                                                                  </w:divBdr>
                                                                </w:div>
                                                                <w:div w:id="1181507638">
                                                                  <w:marLeft w:val="0"/>
                                                                  <w:marRight w:val="0"/>
                                                                  <w:marTop w:val="0"/>
                                                                  <w:marBottom w:val="0"/>
                                                                  <w:divBdr>
                                                                    <w:top w:val="none" w:sz="0" w:space="0" w:color="auto"/>
                                                                    <w:left w:val="none" w:sz="0" w:space="0" w:color="auto"/>
                                                                    <w:bottom w:val="none" w:sz="0" w:space="0" w:color="auto"/>
                                                                    <w:right w:val="none" w:sz="0" w:space="0" w:color="auto"/>
                                                                  </w:divBdr>
                                                                  <w:divsChild>
                                                                    <w:div w:id="171114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963308">
                                                          <w:marLeft w:val="0"/>
                                                          <w:marRight w:val="0"/>
                                                          <w:marTop w:val="0"/>
                                                          <w:marBottom w:val="0"/>
                                                          <w:divBdr>
                                                            <w:top w:val="none" w:sz="0" w:space="0" w:color="auto"/>
                                                            <w:left w:val="none" w:sz="0" w:space="0" w:color="auto"/>
                                                            <w:bottom w:val="none" w:sz="0" w:space="0" w:color="auto"/>
                                                            <w:right w:val="none" w:sz="0" w:space="0" w:color="auto"/>
                                                          </w:divBdr>
                                                          <w:divsChild>
                                                            <w:div w:id="1255941202">
                                                              <w:marLeft w:val="0"/>
                                                              <w:marRight w:val="0"/>
                                                              <w:marTop w:val="0"/>
                                                              <w:marBottom w:val="0"/>
                                                              <w:divBdr>
                                                                <w:top w:val="none" w:sz="0" w:space="0" w:color="auto"/>
                                                                <w:left w:val="none" w:sz="0" w:space="0" w:color="auto"/>
                                                                <w:bottom w:val="none" w:sz="0" w:space="0" w:color="auto"/>
                                                                <w:right w:val="none" w:sz="0" w:space="0" w:color="auto"/>
                                                              </w:divBdr>
                                                              <w:divsChild>
                                                                <w:div w:id="475757742">
                                                                  <w:marLeft w:val="0"/>
                                                                  <w:marRight w:val="0"/>
                                                                  <w:marTop w:val="0"/>
                                                                  <w:marBottom w:val="0"/>
                                                                  <w:divBdr>
                                                                    <w:top w:val="none" w:sz="0" w:space="0" w:color="auto"/>
                                                                    <w:left w:val="none" w:sz="0" w:space="0" w:color="auto"/>
                                                                    <w:bottom w:val="none" w:sz="0" w:space="0" w:color="auto"/>
                                                                    <w:right w:val="none" w:sz="0" w:space="0" w:color="auto"/>
                                                                  </w:divBdr>
                                                                  <w:divsChild>
                                                                    <w:div w:id="1285428823">
                                                                      <w:marLeft w:val="0"/>
                                                                      <w:marRight w:val="0"/>
                                                                      <w:marTop w:val="0"/>
                                                                      <w:marBottom w:val="0"/>
                                                                      <w:divBdr>
                                                                        <w:top w:val="none" w:sz="0" w:space="0" w:color="auto"/>
                                                                        <w:left w:val="none" w:sz="0" w:space="0" w:color="auto"/>
                                                                        <w:bottom w:val="none" w:sz="0" w:space="0" w:color="auto"/>
                                                                        <w:right w:val="none" w:sz="0" w:space="0" w:color="auto"/>
                                                                      </w:divBdr>
                                                                    </w:div>
                                                                  </w:divsChild>
                                                                </w:div>
                                                                <w:div w:id="1158690000">
                                                                  <w:marLeft w:val="0"/>
                                                                  <w:marRight w:val="0"/>
                                                                  <w:marTop w:val="0"/>
                                                                  <w:marBottom w:val="0"/>
                                                                  <w:divBdr>
                                                                    <w:top w:val="none" w:sz="0" w:space="0" w:color="auto"/>
                                                                    <w:left w:val="none" w:sz="0" w:space="0" w:color="auto"/>
                                                                    <w:bottom w:val="none" w:sz="0" w:space="0" w:color="auto"/>
                                                                    <w:right w:val="none" w:sz="0" w:space="0" w:color="auto"/>
                                                                  </w:divBdr>
                                                                </w:div>
                                                                <w:div w:id="202555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279506">
                                                  <w:marLeft w:val="0"/>
                                                  <w:marRight w:val="0"/>
                                                  <w:marTop w:val="0"/>
                                                  <w:marBottom w:val="0"/>
                                                  <w:divBdr>
                                                    <w:top w:val="none" w:sz="0" w:space="0" w:color="auto"/>
                                                    <w:left w:val="none" w:sz="0" w:space="0" w:color="auto"/>
                                                    <w:bottom w:val="none" w:sz="0" w:space="0" w:color="auto"/>
                                                    <w:right w:val="none" w:sz="0" w:space="0" w:color="auto"/>
                                                  </w:divBdr>
                                                  <w:divsChild>
                                                    <w:div w:id="156070428">
                                                      <w:marLeft w:val="0"/>
                                                      <w:marRight w:val="0"/>
                                                      <w:marTop w:val="0"/>
                                                      <w:marBottom w:val="0"/>
                                                      <w:divBdr>
                                                        <w:top w:val="none" w:sz="0" w:space="0" w:color="auto"/>
                                                        <w:left w:val="none" w:sz="0" w:space="0" w:color="auto"/>
                                                        <w:bottom w:val="none" w:sz="0" w:space="0" w:color="auto"/>
                                                        <w:right w:val="none" w:sz="0" w:space="0" w:color="auto"/>
                                                      </w:divBdr>
                                                      <w:divsChild>
                                                        <w:div w:id="177044305">
                                                          <w:marLeft w:val="0"/>
                                                          <w:marRight w:val="0"/>
                                                          <w:marTop w:val="0"/>
                                                          <w:marBottom w:val="0"/>
                                                          <w:divBdr>
                                                            <w:top w:val="none" w:sz="0" w:space="0" w:color="auto"/>
                                                            <w:left w:val="none" w:sz="0" w:space="0" w:color="auto"/>
                                                            <w:bottom w:val="none" w:sz="0" w:space="0" w:color="auto"/>
                                                            <w:right w:val="none" w:sz="0" w:space="0" w:color="auto"/>
                                                          </w:divBdr>
                                                          <w:divsChild>
                                                            <w:div w:id="215286476">
                                                              <w:marLeft w:val="0"/>
                                                              <w:marRight w:val="0"/>
                                                              <w:marTop w:val="0"/>
                                                              <w:marBottom w:val="0"/>
                                                              <w:divBdr>
                                                                <w:top w:val="none" w:sz="0" w:space="0" w:color="auto"/>
                                                                <w:left w:val="none" w:sz="0" w:space="0" w:color="auto"/>
                                                                <w:bottom w:val="none" w:sz="0" w:space="0" w:color="auto"/>
                                                                <w:right w:val="none" w:sz="0" w:space="0" w:color="auto"/>
                                                              </w:divBdr>
                                                              <w:divsChild>
                                                                <w:div w:id="386271299">
                                                                  <w:marLeft w:val="0"/>
                                                                  <w:marRight w:val="0"/>
                                                                  <w:marTop w:val="0"/>
                                                                  <w:marBottom w:val="0"/>
                                                                  <w:divBdr>
                                                                    <w:top w:val="none" w:sz="0" w:space="0" w:color="auto"/>
                                                                    <w:left w:val="none" w:sz="0" w:space="0" w:color="auto"/>
                                                                    <w:bottom w:val="none" w:sz="0" w:space="0" w:color="auto"/>
                                                                    <w:right w:val="none" w:sz="0" w:space="0" w:color="auto"/>
                                                                  </w:divBdr>
                                                                </w:div>
                                                              </w:divsChild>
                                                            </w:div>
                                                            <w:div w:id="1875732507">
                                                              <w:marLeft w:val="0"/>
                                                              <w:marRight w:val="0"/>
                                                              <w:marTop w:val="0"/>
                                                              <w:marBottom w:val="0"/>
                                                              <w:divBdr>
                                                                <w:top w:val="none" w:sz="0" w:space="0" w:color="auto"/>
                                                                <w:left w:val="none" w:sz="0" w:space="0" w:color="auto"/>
                                                                <w:bottom w:val="none" w:sz="0" w:space="0" w:color="auto"/>
                                                                <w:right w:val="none" w:sz="0" w:space="0" w:color="auto"/>
                                                              </w:divBdr>
                                                            </w:div>
                                                            <w:div w:id="2081901289">
                                                              <w:marLeft w:val="0"/>
                                                              <w:marRight w:val="0"/>
                                                              <w:marTop w:val="0"/>
                                                              <w:marBottom w:val="0"/>
                                                              <w:divBdr>
                                                                <w:top w:val="none" w:sz="0" w:space="0" w:color="auto"/>
                                                                <w:left w:val="none" w:sz="0" w:space="0" w:color="auto"/>
                                                                <w:bottom w:val="none" w:sz="0" w:space="0" w:color="auto"/>
                                                                <w:right w:val="none" w:sz="0" w:space="0" w:color="auto"/>
                                                              </w:divBdr>
                                                              <w:divsChild>
                                                                <w:div w:id="143207362">
                                                                  <w:marLeft w:val="0"/>
                                                                  <w:marRight w:val="0"/>
                                                                  <w:marTop w:val="0"/>
                                                                  <w:marBottom w:val="0"/>
                                                                  <w:divBdr>
                                                                    <w:top w:val="none" w:sz="0" w:space="0" w:color="auto"/>
                                                                    <w:left w:val="none" w:sz="0" w:space="0" w:color="auto"/>
                                                                    <w:bottom w:val="none" w:sz="0" w:space="0" w:color="auto"/>
                                                                    <w:right w:val="none" w:sz="0" w:space="0" w:color="auto"/>
                                                                  </w:divBdr>
                                                                  <w:divsChild>
                                                                    <w:div w:id="325208239">
                                                                      <w:marLeft w:val="0"/>
                                                                      <w:marRight w:val="0"/>
                                                                      <w:marTop w:val="0"/>
                                                                      <w:marBottom w:val="0"/>
                                                                      <w:divBdr>
                                                                        <w:top w:val="none" w:sz="0" w:space="0" w:color="auto"/>
                                                                        <w:left w:val="none" w:sz="0" w:space="0" w:color="auto"/>
                                                                        <w:bottom w:val="none" w:sz="0" w:space="0" w:color="auto"/>
                                                                        <w:right w:val="none" w:sz="0" w:space="0" w:color="auto"/>
                                                                      </w:divBdr>
                                                                      <w:divsChild>
                                                                        <w:div w:id="1628273296">
                                                                          <w:marLeft w:val="0"/>
                                                                          <w:marRight w:val="0"/>
                                                                          <w:marTop w:val="0"/>
                                                                          <w:marBottom w:val="0"/>
                                                                          <w:divBdr>
                                                                            <w:top w:val="none" w:sz="0" w:space="0" w:color="auto"/>
                                                                            <w:left w:val="none" w:sz="0" w:space="0" w:color="auto"/>
                                                                            <w:bottom w:val="none" w:sz="0" w:space="0" w:color="auto"/>
                                                                            <w:right w:val="none" w:sz="0" w:space="0" w:color="auto"/>
                                                                          </w:divBdr>
                                                                          <w:divsChild>
                                                                            <w:div w:id="2044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572761">
                                                                  <w:marLeft w:val="0"/>
                                                                  <w:marRight w:val="0"/>
                                                                  <w:marTop w:val="0"/>
                                                                  <w:marBottom w:val="0"/>
                                                                  <w:divBdr>
                                                                    <w:top w:val="none" w:sz="0" w:space="0" w:color="auto"/>
                                                                    <w:left w:val="none" w:sz="0" w:space="0" w:color="auto"/>
                                                                    <w:bottom w:val="none" w:sz="0" w:space="0" w:color="auto"/>
                                                                    <w:right w:val="none" w:sz="0" w:space="0" w:color="auto"/>
                                                                  </w:divBdr>
                                                                  <w:divsChild>
                                                                    <w:div w:id="164369243">
                                                                      <w:marLeft w:val="0"/>
                                                                      <w:marRight w:val="0"/>
                                                                      <w:marTop w:val="0"/>
                                                                      <w:marBottom w:val="0"/>
                                                                      <w:divBdr>
                                                                        <w:top w:val="none" w:sz="0" w:space="0" w:color="auto"/>
                                                                        <w:left w:val="none" w:sz="0" w:space="0" w:color="auto"/>
                                                                        <w:bottom w:val="none" w:sz="0" w:space="0" w:color="auto"/>
                                                                        <w:right w:val="none" w:sz="0" w:space="0" w:color="auto"/>
                                                                      </w:divBdr>
                                                                      <w:divsChild>
                                                                        <w:div w:id="1528176700">
                                                                          <w:marLeft w:val="0"/>
                                                                          <w:marRight w:val="0"/>
                                                                          <w:marTop w:val="0"/>
                                                                          <w:marBottom w:val="0"/>
                                                                          <w:divBdr>
                                                                            <w:top w:val="none" w:sz="0" w:space="0" w:color="auto"/>
                                                                            <w:left w:val="none" w:sz="0" w:space="0" w:color="auto"/>
                                                                            <w:bottom w:val="none" w:sz="0" w:space="0" w:color="auto"/>
                                                                            <w:right w:val="none" w:sz="0" w:space="0" w:color="auto"/>
                                                                          </w:divBdr>
                                                                          <w:divsChild>
                                                                            <w:div w:id="1348482985">
                                                                              <w:marLeft w:val="0"/>
                                                                              <w:marRight w:val="0"/>
                                                                              <w:marTop w:val="0"/>
                                                                              <w:marBottom w:val="0"/>
                                                                              <w:divBdr>
                                                                                <w:top w:val="single" w:sz="12" w:space="3" w:color="FFFFFF"/>
                                                                                <w:left w:val="single" w:sz="12" w:space="3" w:color="FFFFFF"/>
                                                                                <w:bottom w:val="single" w:sz="12" w:space="3" w:color="FFFFFF"/>
                                                                                <w:right w:val="single" w:sz="12" w:space="3" w:color="FFFFFF"/>
                                                                              </w:divBdr>
                                                                              <w:divsChild>
                                                                                <w:div w:id="1070079507">
                                                                                  <w:marLeft w:val="0"/>
                                                                                  <w:marRight w:val="0"/>
                                                                                  <w:marTop w:val="0"/>
                                                                                  <w:marBottom w:val="0"/>
                                                                                  <w:divBdr>
                                                                                    <w:top w:val="none" w:sz="0" w:space="0" w:color="auto"/>
                                                                                    <w:left w:val="none" w:sz="0" w:space="0" w:color="auto"/>
                                                                                    <w:bottom w:val="none" w:sz="0" w:space="0" w:color="auto"/>
                                                                                    <w:right w:val="none" w:sz="0" w:space="0" w:color="auto"/>
                                                                                  </w:divBdr>
                                                                                </w:div>
                                                                              </w:divsChild>
                                                                            </w:div>
                                                                            <w:div w:id="2006010763">
                                                                              <w:marLeft w:val="0"/>
                                                                              <w:marRight w:val="0"/>
                                                                              <w:marTop w:val="0"/>
                                                                              <w:marBottom w:val="0"/>
                                                                              <w:divBdr>
                                                                                <w:top w:val="single" w:sz="12" w:space="3" w:color="FFFFFF"/>
                                                                                <w:left w:val="single" w:sz="12" w:space="3" w:color="FFFFFF"/>
                                                                                <w:bottom w:val="single" w:sz="12" w:space="3" w:color="FFFFFF"/>
                                                                                <w:right w:val="single" w:sz="12" w:space="3" w:color="FFFFFF"/>
                                                                              </w:divBdr>
                                                                              <w:divsChild>
                                                                                <w:div w:id="9275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83251">
                                                                          <w:marLeft w:val="0"/>
                                                                          <w:marRight w:val="0"/>
                                                                          <w:marTop w:val="0"/>
                                                                          <w:marBottom w:val="0"/>
                                                                          <w:divBdr>
                                                                            <w:top w:val="single" w:sz="12" w:space="2" w:color="FFFFFF"/>
                                                                            <w:left w:val="single" w:sz="12" w:space="3" w:color="FFFFFF"/>
                                                                            <w:bottom w:val="single" w:sz="12" w:space="2" w:color="FFFFFF"/>
                                                                            <w:right w:val="single" w:sz="12" w:space="6" w:color="FFFFFF"/>
                                                                          </w:divBdr>
                                                                          <w:divsChild>
                                                                            <w:div w:id="93660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060974">
                                                                  <w:marLeft w:val="0"/>
                                                                  <w:marRight w:val="0"/>
                                                                  <w:marTop w:val="0"/>
                                                                  <w:marBottom w:val="0"/>
                                                                  <w:divBdr>
                                                                    <w:top w:val="none" w:sz="0" w:space="0" w:color="auto"/>
                                                                    <w:left w:val="none" w:sz="0" w:space="0" w:color="auto"/>
                                                                    <w:bottom w:val="none" w:sz="0" w:space="0" w:color="auto"/>
                                                                    <w:right w:val="none" w:sz="0" w:space="0" w:color="auto"/>
                                                                  </w:divBdr>
                                                                </w:div>
                                                                <w:div w:id="460073110">
                                                                  <w:marLeft w:val="0"/>
                                                                  <w:marRight w:val="0"/>
                                                                  <w:marTop w:val="0"/>
                                                                  <w:marBottom w:val="0"/>
                                                                  <w:divBdr>
                                                                    <w:top w:val="none" w:sz="0" w:space="0" w:color="auto"/>
                                                                    <w:left w:val="none" w:sz="0" w:space="0" w:color="auto"/>
                                                                    <w:bottom w:val="none" w:sz="0" w:space="0" w:color="auto"/>
                                                                    <w:right w:val="none" w:sz="0" w:space="0" w:color="auto"/>
                                                                  </w:divBdr>
                                                                  <w:divsChild>
                                                                    <w:div w:id="1996717869">
                                                                      <w:marLeft w:val="0"/>
                                                                      <w:marRight w:val="0"/>
                                                                      <w:marTop w:val="0"/>
                                                                      <w:marBottom w:val="0"/>
                                                                      <w:divBdr>
                                                                        <w:top w:val="none" w:sz="0" w:space="0" w:color="auto"/>
                                                                        <w:left w:val="none" w:sz="0" w:space="0" w:color="auto"/>
                                                                        <w:bottom w:val="none" w:sz="0" w:space="0" w:color="auto"/>
                                                                        <w:right w:val="none" w:sz="0" w:space="0" w:color="auto"/>
                                                                      </w:divBdr>
                                                                      <w:divsChild>
                                                                        <w:div w:id="342241183">
                                                                          <w:marLeft w:val="0"/>
                                                                          <w:marRight w:val="0"/>
                                                                          <w:marTop w:val="0"/>
                                                                          <w:marBottom w:val="0"/>
                                                                          <w:divBdr>
                                                                            <w:top w:val="single" w:sz="12" w:space="2" w:color="FFFFFF"/>
                                                                            <w:left w:val="single" w:sz="12" w:space="3" w:color="FFFFFF"/>
                                                                            <w:bottom w:val="single" w:sz="12" w:space="2" w:color="FFFFFF"/>
                                                                            <w:right w:val="single" w:sz="12" w:space="6" w:color="FFFFFF"/>
                                                                          </w:divBdr>
                                                                          <w:divsChild>
                                                                            <w:div w:id="1049770269">
                                                                              <w:marLeft w:val="0"/>
                                                                              <w:marRight w:val="0"/>
                                                                              <w:marTop w:val="0"/>
                                                                              <w:marBottom w:val="0"/>
                                                                              <w:divBdr>
                                                                                <w:top w:val="none" w:sz="0" w:space="0" w:color="auto"/>
                                                                                <w:left w:val="none" w:sz="0" w:space="0" w:color="auto"/>
                                                                                <w:bottom w:val="none" w:sz="0" w:space="0" w:color="auto"/>
                                                                                <w:right w:val="none" w:sz="0" w:space="0" w:color="auto"/>
                                                                              </w:divBdr>
                                                                            </w:div>
                                                                          </w:divsChild>
                                                                        </w:div>
                                                                        <w:div w:id="1188561188">
                                                                          <w:marLeft w:val="0"/>
                                                                          <w:marRight w:val="0"/>
                                                                          <w:marTop w:val="0"/>
                                                                          <w:marBottom w:val="0"/>
                                                                          <w:divBdr>
                                                                            <w:top w:val="none" w:sz="0" w:space="0" w:color="auto"/>
                                                                            <w:left w:val="none" w:sz="0" w:space="0" w:color="auto"/>
                                                                            <w:bottom w:val="none" w:sz="0" w:space="0" w:color="auto"/>
                                                                            <w:right w:val="none" w:sz="0" w:space="0" w:color="auto"/>
                                                                          </w:divBdr>
                                                                          <w:divsChild>
                                                                            <w:div w:id="1285884580">
                                                                              <w:marLeft w:val="0"/>
                                                                              <w:marRight w:val="0"/>
                                                                              <w:marTop w:val="0"/>
                                                                              <w:marBottom w:val="0"/>
                                                                              <w:divBdr>
                                                                                <w:top w:val="single" w:sz="12" w:space="3" w:color="FFFFFF"/>
                                                                                <w:left w:val="single" w:sz="12" w:space="3" w:color="FFFFFF"/>
                                                                                <w:bottom w:val="single" w:sz="12" w:space="3" w:color="FFFFFF"/>
                                                                                <w:right w:val="single" w:sz="12" w:space="3" w:color="FFFFFF"/>
                                                                              </w:divBdr>
                                                                              <w:divsChild>
                                                                                <w:div w:id="16065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6609923">
                                                                  <w:marLeft w:val="0"/>
                                                                  <w:marRight w:val="0"/>
                                                                  <w:marTop w:val="0"/>
                                                                  <w:marBottom w:val="0"/>
                                                                  <w:divBdr>
                                                                    <w:top w:val="none" w:sz="0" w:space="0" w:color="auto"/>
                                                                    <w:left w:val="none" w:sz="0" w:space="0" w:color="auto"/>
                                                                    <w:bottom w:val="none" w:sz="0" w:space="0" w:color="auto"/>
                                                                    <w:right w:val="none" w:sz="0" w:space="0" w:color="auto"/>
                                                                  </w:divBdr>
                                                                  <w:divsChild>
                                                                    <w:div w:id="287442263">
                                                                      <w:marLeft w:val="0"/>
                                                                      <w:marRight w:val="0"/>
                                                                      <w:marTop w:val="0"/>
                                                                      <w:marBottom w:val="0"/>
                                                                      <w:divBdr>
                                                                        <w:top w:val="none" w:sz="0" w:space="0" w:color="auto"/>
                                                                        <w:left w:val="none" w:sz="0" w:space="0" w:color="auto"/>
                                                                        <w:bottom w:val="none" w:sz="0" w:space="0" w:color="auto"/>
                                                                        <w:right w:val="none" w:sz="0" w:space="0" w:color="auto"/>
                                                                      </w:divBdr>
                                                                      <w:divsChild>
                                                                        <w:div w:id="836261427">
                                                                          <w:marLeft w:val="0"/>
                                                                          <w:marRight w:val="0"/>
                                                                          <w:marTop w:val="0"/>
                                                                          <w:marBottom w:val="0"/>
                                                                          <w:divBdr>
                                                                            <w:top w:val="none" w:sz="0" w:space="0" w:color="auto"/>
                                                                            <w:left w:val="none" w:sz="0" w:space="0" w:color="auto"/>
                                                                            <w:bottom w:val="none" w:sz="0" w:space="0" w:color="auto"/>
                                                                            <w:right w:val="none" w:sz="0" w:space="0" w:color="auto"/>
                                                                          </w:divBdr>
                                                                          <w:divsChild>
                                                                            <w:div w:id="11333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568276">
                                                                  <w:marLeft w:val="0"/>
                                                                  <w:marRight w:val="0"/>
                                                                  <w:marTop w:val="0"/>
                                                                  <w:marBottom w:val="0"/>
                                                                  <w:divBdr>
                                                                    <w:top w:val="none" w:sz="0" w:space="0" w:color="auto"/>
                                                                    <w:left w:val="none" w:sz="0" w:space="0" w:color="auto"/>
                                                                    <w:bottom w:val="none" w:sz="0" w:space="0" w:color="auto"/>
                                                                    <w:right w:val="none" w:sz="0" w:space="0" w:color="auto"/>
                                                                  </w:divBdr>
                                                                  <w:divsChild>
                                                                    <w:div w:id="98914402">
                                                                      <w:marLeft w:val="0"/>
                                                                      <w:marRight w:val="0"/>
                                                                      <w:marTop w:val="0"/>
                                                                      <w:marBottom w:val="0"/>
                                                                      <w:divBdr>
                                                                        <w:top w:val="none" w:sz="0" w:space="0" w:color="auto"/>
                                                                        <w:left w:val="none" w:sz="0" w:space="0" w:color="auto"/>
                                                                        <w:bottom w:val="none" w:sz="0" w:space="0" w:color="auto"/>
                                                                        <w:right w:val="none" w:sz="0" w:space="0" w:color="auto"/>
                                                                      </w:divBdr>
                                                                      <w:divsChild>
                                                                        <w:div w:id="1260212300">
                                                                          <w:marLeft w:val="0"/>
                                                                          <w:marRight w:val="0"/>
                                                                          <w:marTop w:val="0"/>
                                                                          <w:marBottom w:val="0"/>
                                                                          <w:divBdr>
                                                                            <w:top w:val="none" w:sz="0" w:space="0" w:color="auto"/>
                                                                            <w:left w:val="none" w:sz="0" w:space="0" w:color="auto"/>
                                                                            <w:bottom w:val="none" w:sz="0" w:space="0" w:color="auto"/>
                                                                            <w:right w:val="none" w:sz="0" w:space="0" w:color="auto"/>
                                                                          </w:divBdr>
                                                                          <w:divsChild>
                                                                            <w:div w:id="1605578517">
                                                                              <w:marLeft w:val="0"/>
                                                                              <w:marRight w:val="0"/>
                                                                              <w:marTop w:val="0"/>
                                                                              <w:marBottom w:val="0"/>
                                                                              <w:divBdr>
                                                                                <w:top w:val="single" w:sz="12" w:space="3" w:color="FFFFFF"/>
                                                                                <w:left w:val="single" w:sz="12" w:space="3" w:color="FFFFFF"/>
                                                                                <w:bottom w:val="single" w:sz="12" w:space="3" w:color="FFFFFF"/>
                                                                                <w:right w:val="single" w:sz="12" w:space="3" w:color="FFFFFF"/>
                                                                              </w:divBdr>
                                                                              <w:divsChild>
                                                                                <w:div w:id="138564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82693">
                                                                          <w:marLeft w:val="0"/>
                                                                          <w:marRight w:val="0"/>
                                                                          <w:marTop w:val="0"/>
                                                                          <w:marBottom w:val="0"/>
                                                                          <w:divBdr>
                                                                            <w:top w:val="single" w:sz="12" w:space="2" w:color="FFFFFF"/>
                                                                            <w:left w:val="single" w:sz="12" w:space="3" w:color="FFFFFF"/>
                                                                            <w:bottom w:val="single" w:sz="12" w:space="2" w:color="FFFFFF"/>
                                                                            <w:right w:val="single" w:sz="12" w:space="6" w:color="FFFFFF"/>
                                                                          </w:divBdr>
                                                                          <w:divsChild>
                                                                            <w:div w:id="57339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074522">
                                                                  <w:marLeft w:val="0"/>
                                                                  <w:marRight w:val="0"/>
                                                                  <w:marTop w:val="0"/>
                                                                  <w:marBottom w:val="0"/>
                                                                  <w:divBdr>
                                                                    <w:top w:val="none" w:sz="0" w:space="0" w:color="auto"/>
                                                                    <w:left w:val="none" w:sz="0" w:space="0" w:color="auto"/>
                                                                    <w:bottom w:val="none" w:sz="0" w:space="0" w:color="auto"/>
                                                                    <w:right w:val="none" w:sz="0" w:space="0" w:color="auto"/>
                                                                  </w:divBdr>
                                                                </w:div>
                                                                <w:div w:id="1754204851">
                                                                  <w:marLeft w:val="0"/>
                                                                  <w:marRight w:val="0"/>
                                                                  <w:marTop w:val="0"/>
                                                                  <w:marBottom w:val="0"/>
                                                                  <w:divBdr>
                                                                    <w:top w:val="none" w:sz="0" w:space="0" w:color="auto"/>
                                                                    <w:left w:val="none" w:sz="0" w:space="0" w:color="auto"/>
                                                                    <w:bottom w:val="none" w:sz="0" w:space="0" w:color="auto"/>
                                                                    <w:right w:val="none" w:sz="0" w:space="0" w:color="auto"/>
                                                                  </w:divBdr>
                                                                  <w:divsChild>
                                                                    <w:div w:id="1788307469">
                                                                      <w:marLeft w:val="0"/>
                                                                      <w:marRight w:val="0"/>
                                                                      <w:marTop w:val="0"/>
                                                                      <w:marBottom w:val="0"/>
                                                                      <w:divBdr>
                                                                        <w:top w:val="none" w:sz="0" w:space="0" w:color="auto"/>
                                                                        <w:left w:val="none" w:sz="0" w:space="0" w:color="auto"/>
                                                                        <w:bottom w:val="none" w:sz="0" w:space="0" w:color="auto"/>
                                                                        <w:right w:val="none" w:sz="0" w:space="0" w:color="auto"/>
                                                                      </w:divBdr>
                                                                      <w:divsChild>
                                                                        <w:div w:id="784344613">
                                                                          <w:marLeft w:val="0"/>
                                                                          <w:marRight w:val="0"/>
                                                                          <w:marTop w:val="0"/>
                                                                          <w:marBottom w:val="0"/>
                                                                          <w:divBdr>
                                                                            <w:top w:val="none" w:sz="0" w:space="0" w:color="auto"/>
                                                                            <w:left w:val="none" w:sz="0" w:space="0" w:color="auto"/>
                                                                            <w:bottom w:val="none" w:sz="0" w:space="0" w:color="auto"/>
                                                                            <w:right w:val="none" w:sz="0" w:space="0" w:color="auto"/>
                                                                          </w:divBdr>
                                                                          <w:divsChild>
                                                                            <w:div w:id="143189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265398">
                                                                  <w:marLeft w:val="0"/>
                                                                  <w:marRight w:val="0"/>
                                                                  <w:marTop w:val="0"/>
                                                                  <w:marBottom w:val="0"/>
                                                                  <w:divBdr>
                                                                    <w:top w:val="none" w:sz="0" w:space="0" w:color="auto"/>
                                                                    <w:left w:val="none" w:sz="0" w:space="0" w:color="auto"/>
                                                                    <w:bottom w:val="none" w:sz="0" w:space="0" w:color="auto"/>
                                                                    <w:right w:val="none" w:sz="0" w:space="0" w:color="auto"/>
                                                                  </w:divBdr>
                                                                  <w:divsChild>
                                                                    <w:div w:id="1335373240">
                                                                      <w:marLeft w:val="0"/>
                                                                      <w:marRight w:val="0"/>
                                                                      <w:marTop w:val="0"/>
                                                                      <w:marBottom w:val="0"/>
                                                                      <w:divBdr>
                                                                        <w:top w:val="none" w:sz="0" w:space="0" w:color="auto"/>
                                                                        <w:left w:val="none" w:sz="0" w:space="0" w:color="auto"/>
                                                                        <w:bottom w:val="none" w:sz="0" w:space="0" w:color="auto"/>
                                                                        <w:right w:val="none" w:sz="0" w:space="0" w:color="auto"/>
                                                                      </w:divBdr>
                                                                      <w:divsChild>
                                                                        <w:div w:id="1633707120">
                                                                          <w:marLeft w:val="0"/>
                                                                          <w:marRight w:val="0"/>
                                                                          <w:marTop w:val="0"/>
                                                                          <w:marBottom w:val="0"/>
                                                                          <w:divBdr>
                                                                            <w:top w:val="none" w:sz="0" w:space="0" w:color="auto"/>
                                                                            <w:left w:val="none" w:sz="0" w:space="0" w:color="auto"/>
                                                                            <w:bottom w:val="none" w:sz="0" w:space="0" w:color="auto"/>
                                                                            <w:right w:val="none" w:sz="0" w:space="0" w:color="auto"/>
                                                                          </w:divBdr>
                                                                          <w:divsChild>
                                                                            <w:div w:id="93678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0708849">
      <w:bodyDiv w:val="1"/>
      <w:marLeft w:val="0"/>
      <w:marRight w:val="0"/>
      <w:marTop w:val="0"/>
      <w:marBottom w:val="0"/>
      <w:divBdr>
        <w:top w:val="none" w:sz="0" w:space="0" w:color="auto"/>
        <w:left w:val="none" w:sz="0" w:space="0" w:color="auto"/>
        <w:bottom w:val="none" w:sz="0" w:space="0" w:color="auto"/>
        <w:right w:val="none" w:sz="0" w:space="0" w:color="auto"/>
      </w:divBdr>
      <w:divsChild>
        <w:div w:id="1116560900">
          <w:marLeft w:val="0"/>
          <w:marRight w:val="0"/>
          <w:marTop w:val="0"/>
          <w:marBottom w:val="0"/>
          <w:divBdr>
            <w:top w:val="none" w:sz="0" w:space="0" w:color="auto"/>
            <w:left w:val="none" w:sz="0" w:space="0" w:color="auto"/>
            <w:bottom w:val="none" w:sz="0" w:space="0" w:color="auto"/>
            <w:right w:val="none" w:sz="0" w:space="0" w:color="auto"/>
          </w:divBdr>
        </w:div>
        <w:div w:id="1191798897">
          <w:marLeft w:val="0"/>
          <w:marRight w:val="0"/>
          <w:marTop w:val="0"/>
          <w:marBottom w:val="0"/>
          <w:divBdr>
            <w:top w:val="none" w:sz="0" w:space="0" w:color="auto"/>
            <w:left w:val="none" w:sz="0" w:space="0" w:color="auto"/>
            <w:bottom w:val="none" w:sz="0" w:space="0" w:color="auto"/>
            <w:right w:val="none" w:sz="0" w:space="0" w:color="auto"/>
          </w:divBdr>
        </w:div>
        <w:div w:id="1321343927">
          <w:marLeft w:val="0"/>
          <w:marRight w:val="0"/>
          <w:marTop w:val="0"/>
          <w:marBottom w:val="0"/>
          <w:divBdr>
            <w:top w:val="none" w:sz="0" w:space="0" w:color="auto"/>
            <w:left w:val="none" w:sz="0" w:space="0" w:color="auto"/>
            <w:bottom w:val="none" w:sz="0" w:space="0" w:color="auto"/>
            <w:right w:val="none" w:sz="0" w:space="0" w:color="auto"/>
          </w:divBdr>
        </w:div>
        <w:div w:id="1771852261">
          <w:marLeft w:val="0"/>
          <w:marRight w:val="0"/>
          <w:marTop w:val="0"/>
          <w:marBottom w:val="0"/>
          <w:divBdr>
            <w:top w:val="none" w:sz="0" w:space="0" w:color="auto"/>
            <w:left w:val="none" w:sz="0" w:space="0" w:color="auto"/>
            <w:bottom w:val="none" w:sz="0" w:space="0" w:color="auto"/>
            <w:right w:val="none" w:sz="0" w:space="0" w:color="auto"/>
          </w:divBdr>
        </w:div>
        <w:div w:id="1993950027">
          <w:marLeft w:val="0"/>
          <w:marRight w:val="0"/>
          <w:marTop w:val="0"/>
          <w:marBottom w:val="0"/>
          <w:divBdr>
            <w:top w:val="none" w:sz="0" w:space="0" w:color="auto"/>
            <w:left w:val="none" w:sz="0" w:space="0" w:color="auto"/>
            <w:bottom w:val="none" w:sz="0" w:space="0" w:color="auto"/>
            <w:right w:val="none" w:sz="0" w:space="0" w:color="auto"/>
          </w:divBdr>
        </w:div>
      </w:divsChild>
    </w:div>
    <w:div w:id="1404646166">
      <w:bodyDiv w:val="1"/>
      <w:marLeft w:val="0"/>
      <w:marRight w:val="0"/>
      <w:marTop w:val="0"/>
      <w:marBottom w:val="0"/>
      <w:divBdr>
        <w:top w:val="none" w:sz="0" w:space="0" w:color="auto"/>
        <w:left w:val="none" w:sz="0" w:space="0" w:color="auto"/>
        <w:bottom w:val="none" w:sz="0" w:space="0" w:color="auto"/>
        <w:right w:val="none" w:sz="0" w:space="0" w:color="auto"/>
      </w:divBdr>
      <w:divsChild>
        <w:div w:id="179004735">
          <w:marLeft w:val="0"/>
          <w:marRight w:val="0"/>
          <w:marTop w:val="0"/>
          <w:marBottom w:val="0"/>
          <w:divBdr>
            <w:top w:val="none" w:sz="0" w:space="0" w:color="auto"/>
            <w:left w:val="none" w:sz="0" w:space="0" w:color="auto"/>
            <w:bottom w:val="none" w:sz="0" w:space="0" w:color="auto"/>
            <w:right w:val="none" w:sz="0" w:space="0" w:color="auto"/>
          </w:divBdr>
          <w:divsChild>
            <w:div w:id="867645317">
              <w:marLeft w:val="0"/>
              <w:marRight w:val="0"/>
              <w:marTop w:val="0"/>
              <w:marBottom w:val="0"/>
              <w:divBdr>
                <w:top w:val="none" w:sz="0" w:space="0" w:color="auto"/>
                <w:left w:val="none" w:sz="0" w:space="0" w:color="auto"/>
                <w:bottom w:val="none" w:sz="0" w:space="0" w:color="auto"/>
                <w:right w:val="none" w:sz="0" w:space="0" w:color="auto"/>
              </w:divBdr>
              <w:divsChild>
                <w:div w:id="1634023266">
                  <w:marLeft w:val="0"/>
                  <w:marRight w:val="0"/>
                  <w:marTop w:val="0"/>
                  <w:marBottom w:val="0"/>
                  <w:divBdr>
                    <w:top w:val="none" w:sz="0" w:space="0" w:color="auto"/>
                    <w:left w:val="none" w:sz="0" w:space="0" w:color="auto"/>
                    <w:bottom w:val="none" w:sz="0" w:space="0" w:color="auto"/>
                    <w:right w:val="none" w:sz="0" w:space="0" w:color="auto"/>
                  </w:divBdr>
                  <w:divsChild>
                    <w:div w:id="1403942883">
                      <w:marLeft w:val="0"/>
                      <w:marRight w:val="0"/>
                      <w:marTop w:val="0"/>
                      <w:marBottom w:val="0"/>
                      <w:divBdr>
                        <w:top w:val="none" w:sz="0" w:space="0" w:color="auto"/>
                        <w:left w:val="none" w:sz="0" w:space="0" w:color="auto"/>
                        <w:bottom w:val="none" w:sz="0" w:space="0" w:color="auto"/>
                        <w:right w:val="none" w:sz="0" w:space="0" w:color="auto"/>
                      </w:divBdr>
                      <w:divsChild>
                        <w:div w:id="899364523">
                          <w:marLeft w:val="0"/>
                          <w:marRight w:val="0"/>
                          <w:marTop w:val="0"/>
                          <w:marBottom w:val="0"/>
                          <w:divBdr>
                            <w:top w:val="none" w:sz="0" w:space="0" w:color="auto"/>
                            <w:left w:val="none" w:sz="0" w:space="0" w:color="auto"/>
                            <w:bottom w:val="none" w:sz="0" w:space="0" w:color="auto"/>
                            <w:right w:val="none" w:sz="0" w:space="0" w:color="auto"/>
                          </w:divBdr>
                          <w:divsChild>
                            <w:div w:id="865556704">
                              <w:marLeft w:val="0"/>
                              <w:marRight w:val="0"/>
                              <w:marTop w:val="0"/>
                              <w:marBottom w:val="0"/>
                              <w:divBdr>
                                <w:top w:val="none" w:sz="0" w:space="0" w:color="auto"/>
                                <w:left w:val="none" w:sz="0" w:space="0" w:color="auto"/>
                                <w:bottom w:val="none" w:sz="0" w:space="0" w:color="auto"/>
                                <w:right w:val="none" w:sz="0" w:space="0" w:color="auto"/>
                              </w:divBdr>
                              <w:divsChild>
                                <w:div w:id="1197545522">
                                  <w:marLeft w:val="0"/>
                                  <w:marRight w:val="0"/>
                                  <w:marTop w:val="0"/>
                                  <w:marBottom w:val="0"/>
                                  <w:divBdr>
                                    <w:top w:val="none" w:sz="0" w:space="0" w:color="auto"/>
                                    <w:left w:val="none" w:sz="0" w:space="0" w:color="auto"/>
                                    <w:bottom w:val="none" w:sz="0" w:space="0" w:color="auto"/>
                                    <w:right w:val="none" w:sz="0" w:space="0" w:color="auto"/>
                                  </w:divBdr>
                                  <w:divsChild>
                                    <w:div w:id="724371495">
                                      <w:marLeft w:val="0"/>
                                      <w:marRight w:val="0"/>
                                      <w:marTop w:val="0"/>
                                      <w:marBottom w:val="0"/>
                                      <w:divBdr>
                                        <w:top w:val="none" w:sz="0" w:space="0" w:color="auto"/>
                                        <w:left w:val="none" w:sz="0" w:space="0" w:color="auto"/>
                                        <w:bottom w:val="none" w:sz="0" w:space="0" w:color="auto"/>
                                        <w:right w:val="none" w:sz="0" w:space="0" w:color="auto"/>
                                      </w:divBdr>
                                      <w:divsChild>
                                        <w:div w:id="1398045275">
                                          <w:marLeft w:val="0"/>
                                          <w:marRight w:val="0"/>
                                          <w:marTop w:val="0"/>
                                          <w:marBottom w:val="0"/>
                                          <w:divBdr>
                                            <w:top w:val="none" w:sz="0" w:space="0" w:color="auto"/>
                                            <w:left w:val="none" w:sz="0" w:space="0" w:color="auto"/>
                                            <w:bottom w:val="none" w:sz="0" w:space="0" w:color="auto"/>
                                            <w:right w:val="none" w:sz="0" w:space="0" w:color="auto"/>
                                          </w:divBdr>
                                          <w:divsChild>
                                            <w:div w:id="2052024680">
                                              <w:marLeft w:val="0"/>
                                              <w:marRight w:val="0"/>
                                              <w:marTop w:val="0"/>
                                              <w:marBottom w:val="0"/>
                                              <w:divBdr>
                                                <w:top w:val="none" w:sz="0" w:space="0" w:color="auto"/>
                                                <w:left w:val="none" w:sz="0" w:space="0" w:color="auto"/>
                                                <w:bottom w:val="none" w:sz="0" w:space="0" w:color="auto"/>
                                                <w:right w:val="none" w:sz="0" w:space="0" w:color="auto"/>
                                              </w:divBdr>
                                              <w:divsChild>
                                                <w:div w:id="1576209208">
                                                  <w:marLeft w:val="0"/>
                                                  <w:marRight w:val="0"/>
                                                  <w:marTop w:val="0"/>
                                                  <w:marBottom w:val="0"/>
                                                  <w:divBdr>
                                                    <w:top w:val="none" w:sz="0" w:space="0" w:color="auto"/>
                                                    <w:left w:val="none" w:sz="0" w:space="0" w:color="auto"/>
                                                    <w:bottom w:val="none" w:sz="0" w:space="0" w:color="auto"/>
                                                    <w:right w:val="none" w:sz="0" w:space="0" w:color="auto"/>
                                                  </w:divBdr>
                                                  <w:divsChild>
                                                    <w:div w:id="1758865984">
                                                      <w:marLeft w:val="0"/>
                                                      <w:marRight w:val="0"/>
                                                      <w:marTop w:val="0"/>
                                                      <w:marBottom w:val="0"/>
                                                      <w:divBdr>
                                                        <w:top w:val="none" w:sz="0" w:space="0" w:color="auto"/>
                                                        <w:left w:val="none" w:sz="0" w:space="0" w:color="auto"/>
                                                        <w:bottom w:val="none" w:sz="0" w:space="0" w:color="auto"/>
                                                        <w:right w:val="none" w:sz="0" w:space="0" w:color="auto"/>
                                                      </w:divBdr>
                                                      <w:divsChild>
                                                        <w:div w:id="507838914">
                                                          <w:marLeft w:val="0"/>
                                                          <w:marRight w:val="0"/>
                                                          <w:marTop w:val="0"/>
                                                          <w:marBottom w:val="0"/>
                                                          <w:divBdr>
                                                            <w:top w:val="none" w:sz="0" w:space="0" w:color="auto"/>
                                                            <w:left w:val="none" w:sz="0" w:space="0" w:color="auto"/>
                                                            <w:bottom w:val="none" w:sz="0" w:space="0" w:color="auto"/>
                                                            <w:right w:val="none" w:sz="0" w:space="0" w:color="auto"/>
                                                          </w:divBdr>
                                                          <w:divsChild>
                                                            <w:div w:id="107735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2964629">
      <w:bodyDiv w:val="1"/>
      <w:marLeft w:val="0"/>
      <w:marRight w:val="0"/>
      <w:marTop w:val="0"/>
      <w:marBottom w:val="0"/>
      <w:divBdr>
        <w:top w:val="none" w:sz="0" w:space="0" w:color="auto"/>
        <w:left w:val="none" w:sz="0" w:space="0" w:color="auto"/>
        <w:bottom w:val="none" w:sz="0" w:space="0" w:color="auto"/>
        <w:right w:val="none" w:sz="0" w:space="0" w:color="auto"/>
      </w:divBdr>
      <w:divsChild>
        <w:div w:id="193350027">
          <w:marLeft w:val="0"/>
          <w:marRight w:val="0"/>
          <w:marTop w:val="0"/>
          <w:marBottom w:val="0"/>
          <w:divBdr>
            <w:top w:val="none" w:sz="0" w:space="0" w:color="auto"/>
            <w:left w:val="none" w:sz="0" w:space="0" w:color="auto"/>
            <w:bottom w:val="none" w:sz="0" w:space="0" w:color="auto"/>
            <w:right w:val="none" w:sz="0" w:space="0" w:color="auto"/>
          </w:divBdr>
        </w:div>
        <w:div w:id="307562408">
          <w:marLeft w:val="0"/>
          <w:marRight w:val="0"/>
          <w:marTop w:val="0"/>
          <w:marBottom w:val="0"/>
          <w:divBdr>
            <w:top w:val="none" w:sz="0" w:space="0" w:color="auto"/>
            <w:left w:val="none" w:sz="0" w:space="0" w:color="auto"/>
            <w:bottom w:val="none" w:sz="0" w:space="0" w:color="auto"/>
            <w:right w:val="none" w:sz="0" w:space="0" w:color="auto"/>
          </w:divBdr>
        </w:div>
        <w:div w:id="1663700162">
          <w:marLeft w:val="0"/>
          <w:marRight w:val="0"/>
          <w:marTop w:val="0"/>
          <w:marBottom w:val="0"/>
          <w:divBdr>
            <w:top w:val="none" w:sz="0" w:space="0" w:color="auto"/>
            <w:left w:val="none" w:sz="0" w:space="0" w:color="auto"/>
            <w:bottom w:val="none" w:sz="0" w:space="0" w:color="auto"/>
            <w:right w:val="none" w:sz="0" w:space="0" w:color="auto"/>
          </w:divBdr>
        </w:div>
        <w:div w:id="1865360534">
          <w:marLeft w:val="0"/>
          <w:marRight w:val="0"/>
          <w:marTop w:val="0"/>
          <w:marBottom w:val="0"/>
          <w:divBdr>
            <w:top w:val="none" w:sz="0" w:space="0" w:color="auto"/>
            <w:left w:val="none" w:sz="0" w:space="0" w:color="auto"/>
            <w:bottom w:val="none" w:sz="0" w:space="0" w:color="auto"/>
            <w:right w:val="none" w:sz="0" w:space="0" w:color="auto"/>
          </w:divBdr>
        </w:div>
        <w:div w:id="2087873893">
          <w:marLeft w:val="0"/>
          <w:marRight w:val="0"/>
          <w:marTop w:val="0"/>
          <w:marBottom w:val="0"/>
          <w:divBdr>
            <w:top w:val="none" w:sz="0" w:space="0" w:color="auto"/>
            <w:left w:val="none" w:sz="0" w:space="0" w:color="auto"/>
            <w:bottom w:val="none" w:sz="0" w:space="0" w:color="auto"/>
            <w:right w:val="none" w:sz="0" w:space="0" w:color="auto"/>
          </w:divBdr>
        </w:div>
      </w:divsChild>
    </w:div>
    <w:div w:id="1414935696">
      <w:bodyDiv w:val="1"/>
      <w:marLeft w:val="0"/>
      <w:marRight w:val="0"/>
      <w:marTop w:val="0"/>
      <w:marBottom w:val="0"/>
      <w:divBdr>
        <w:top w:val="none" w:sz="0" w:space="0" w:color="auto"/>
        <w:left w:val="none" w:sz="0" w:space="0" w:color="auto"/>
        <w:bottom w:val="none" w:sz="0" w:space="0" w:color="auto"/>
        <w:right w:val="none" w:sz="0" w:space="0" w:color="auto"/>
      </w:divBdr>
      <w:divsChild>
        <w:div w:id="1111045966">
          <w:marLeft w:val="0"/>
          <w:marRight w:val="0"/>
          <w:marTop w:val="0"/>
          <w:marBottom w:val="0"/>
          <w:divBdr>
            <w:top w:val="none" w:sz="0" w:space="0" w:color="auto"/>
            <w:left w:val="none" w:sz="0" w:space="0" w:color="auto"/>
            <w:bottom w:val="none" w:sz="0" w:space="0" w:color="auto"/>
            <w:right w:val="none" w:sz="0" w:space="0" w:color="auto"/>
          </w:divBdr>
          <w:divsChild>
            <w:div w:id="603920471">
              <w:marLeft w:val="0"/>
              <w:marRight w:val="0"/>
              <w:marTop w:val="0"/>
              <w:marBottom w:val="0"/>
              <w:divBdr>
                <w:top w:val="none" w:sz="0" w:space="0" w:color="auto"/>
                <w:left w:val="none" w:sz="0" w:space="0" w:color="auto"/>
                <w:bottom w:val="none" w:sz="0" w:space="0" w:color="auto"/>
                <w:right w:val="none" w:sz="0" w:space="0" w:color="auto"/>
              </w:divBdr>
              <w:divsChild>
                <w:div w:id="1106578881">
                  <w:marLeft w:val="0"/>
                  <w:marRight w:val="0"/>
                  <w:marTop w:val="0"/>
                  <w:marBottom w:val="0"/>
                  <w:divBdr>
                    <w:top w:val="none" w:sz="0" w:space="0" w:color="auto"/>
                    <w:left w:val="none" w:sz="0" w:space="0" w:color="auto"/>
                    <w:bottom w:val="none" w:sz="0" w:space="0" w:color="auto"/>
                    <w:right w:val="none" w:sz="0" w:space="0" w:color="auto"/>
                  </w:divBdr>
                  <w:divsChild>
                    <w:div w:id="566454247">
                      <w:marLeft w:val="0"/>
                      <w:marRight w:val="0"/>
                      <w:marTop w:val="0"/>
                      <w:marBottom w:val="0"/>
                      <w:divBdr>
                        <w:top w:val="none" w:sz="0" w:space="0" w:color="auto"/>
                        <w:left w:val="none" w:sz="0" w:space="0" w:color="auto"/>
                        <w:bottom w:val="none" w:sz="0" w:space="0" w:color="auto"/>
                        <w:right w:val="none" w:sz="0" w:space="0" w:color="auto"/>
                      </w:divBdr>
                      <w:divsChild>
                        <w:div w:id="1963344788">
                          <w:marLeft w:val="0"/>
                          <w:marRight w:val="0"/>
                          <w:marTop w:val="0"/>
                          <w:marBottom w:val="0"/>
                          <w:divBdr>
                            <w:top w:val="none" w:sz="0" w:space="0" w:color="auto"/>
                            <w:left w:val="none" w:sz="0" w:space="0" w:color="auto"/>
                            <w:bottom w:val="none" w:sz="0" w:space="0" w:color="auto"/>
                            <w:right w:val="none" w:sz="0" w:space="0" w:color="auto"/>
                          </w:divBdr>
                          <w:divsChild>
                            <w:div w:id="1765149636">
                              <w:marLeft w:val="0"/>
                              <w:marRight w:val="0"/>
                              <w:marTop w:val="0"/>
                              <w:marBottom w:val="0"/>
                              <w:divBdr>
                                <w:top w:val="none" w:sz="0" w:space="0" w:color="auto"/>
                                <w:left w:val="none" w:sz="0" w:space="0" w:color="auto"/>
                                <w:bottom w:val="none" w:sz="0" w:space="0" w:color="auto"/>
                                <w:right w:val="none" w:sz="0" w:space="0" w:color="auto"/>
                              </w:divBdr>
                              <w:divsChild>
                                <w:div w:id="1086419121">
                                  <w:marLeft w:val="0"/>
                                  <w:marRight w:val="0"/>
                                  <w:marTop w:val="0"/>
                                  <w:marBottom w:val="0"/>
                                  <w:divBdr>
                                    <w:top w:val="none" w:sz="0" w:space="0" w:color="auto"/>
                                    <w:left w:val="none" w:sz="0" w:space="0" w:color="auto"/>
                                    <w:bottom w:val="none" w:sz="0" w:space="0" w:color="auto"/>
                                    <w:right w:val="none" w:sz="0" w:space="0" w:color="auto"/>
                                  </w:divBdr>
                                  <w:divsChild>
                                    <w:div w:id="1131941577">
                                      <w:marLeft w:val="0"/>
                                      <w:marRight w:val="0"/>
                                      <w:marTop w:val="0"/>
                                      <w:marBottom w:val="0"/>
                                      <w:divBdr>
                                        <w:top w:val="none" w:sz="0" w:space="0" w:color="auto"/>
                                        <w:left w:val="none" w:sz="0" w:space="0" w:color="auto"/>
                                        <w:bottom w:val="none" w:sz="0" w:space="0" w:color="auto"/>
                                        <w:right w:val="none" w:sz="0" w:space="0" w:color="auto"/>
                                      </w:divBdr>
                                      <w:divsChild>
                                        <w:div w:id="1489443049">
                                          <w:marLeft w:val="0"/>
                                          <w:marRight w:val="0"/>
                                          <w:marTop w:val="0"/>
                                          <w:marBottom w:val="0"/>
                                          <w:divBdr>
                                            <w:top w:val="none" w:sz="0" w:space="0" w:color="auto"/>
                                            <w:left w:val="none" w:sz="0" w:space="0" w:color="auto"/>
                                            <w:bottom w:val="none" w:sz="0" w:space="0" w:color="auto"/>
                                            <w:right w:val="none" w:sz="0" w:space="0" w:color="auto"/>
                                          </w:divBdr>
                                          <w:divsChild>
                                            <w:div w:id="473568633">
                                              <w:marLeft w:val="0"/>
                                              <w:marRight w:val="0"/>
                                              <w:marTop w:val="0"/>
                                              <w:marBottom w:val="0"/>
                                              <w:divBdr>
                                                <w:top w:val="none" w:sz="0" w:space="0" w:color="auto"/>
                                                <w:left w:val="none" w:sz="0" w:space="0" w:color="auto"/>
                                                <w:bottom w:val="none" w:sz="0" w:space="0" w:color="auto"/>
                                                <w:right w:val="none" w:sz="0" w:space="0" w:color="auto"/>
                                              </w:divBdr>
                                              <w:divsChild>
                                                <w:div w:id="1454443965">
                                                  <w:marLeft w:val="0"/>
                                                  <w:marRight w:val="0"/>
                                                  <w:marTop w:val="0"/>
                                                  <w:marBottom w:val="0"/>
                                                  <w:divBdr>
                                                    <w:top w:val="none" w:sz="0" w:space="0" w:color="auto"/>
                                                    <w:left w:val="none" w:sz="0" w:space="0" w:color="auto"/>
                                                    <w:bottom w:val="none" w:sz="0" w:space="0" w:color="auto"/>
                                                    <w:right w:val="none" w:sz="0" w:space="0" w:color="auto"/>
                                                  </w:divBdr>
                                                  <w:divsChild>
                                                    <w:div w:id="1449662975">
                                                      <w:marLeft w:val="0"/>
                                                      <w:marRight w:val="0"/>
                                                      <w:marTop w:val="0"/>
                                                      <w:marBottom w:val="0"/>
                                                      <w:divBdr>
                                                        <w:top w:val="none" w:sz="0" w:space="0" w:color="auto"/>
                                                        <w:left w:val="none" w:sz="0" w:space="0" w:color="auto"/>
                                                        <w:bottom w:val="none" w:sz="0" w:space="0" w:color="auto"/>
                                                        <w:right w:val="none" w:sz="0" w:space="0" w:color="auto"/>
                                                      </w:divBdr>
                                                      <w:divsChild>
                                                        <w:div w:id="194904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38481443">
      <w:bodyDiv w:val="1"/>
      <w:marLeft w:val="0"/>
      <w:marRight w:val="0"/>
      <w:marTop w:val="0"/>
      <w:marBottom w:val="0"/>
      <w:divBdr>
        <w:top w:val="none" w:sz="0" w:space="0" w:color="auto"/>
        <w:left w:val="none" w:sz="0" w:space="0" w:color="auto"/>
        <w:bottom w:val="none" w:sz="0" w:space="0" w:color="auto"/>
        <w:right w:val="none" w:sz="0" w:space="0" w:color="auto"/>
      </w:divBdr>
      <w:divsChild>
        <w:div w:id="200627865">
          <w:marLeft w:val="0"/>
          <w:marRight w:val="0"/>
          <w:marTop w:val="0"/>
          <w:marBottom w:val="0"/>
          <w:divBdr>
            <w:top w:val="none" w:sz="0" w:space="0" w:color="auto"/>
            <w:left w:val="none" w:sz="0" w:space="0" w:color="auto"/>
            <w:bottom w:val="none" w:sz="0" w:space="0" w:color="auto"/>
            <w:right w:val="none" w:sz="0" w:space="0" w:color="auto"/>
          </w:divBdr>
        </w:div>
        <w:div w:id="377902479">
          <w:marLeft w:val="0"/>
          <w:marRight w:val="0"/>
          <w:marTop w:val="0"/>
          <w:marBottom w:val="0"/>
          <w:divBdr>
            <w:top w:val="none" w:sz="0" w:space="0" w:color="auto"/>
            <w:left w:val="none" w:sz="0" w:space="0" w:color="auto"/>
            <w:bottom w:val="none" w:sz="0" w:space="0" w:color="auto"/>
            <w:right w:val="none" w:sz="0" w:space="0" w:color="auto"/>
          </w:divBdr>
        </w:div>
        <w:div w:id="684940674">
          <w:marLeft w:val="0"/>
          <w:marRight w:val="0"/>
          <w:marTop w:val="0"/>
          <w:marBottom w:val="0"/>
          <w:divBdr>
            <w:top w:val="none" w:sz="0" w:space="0" w:color="auto"/>
            <w:left w:val="none" w:sz="0" w:space="0" w:color="auto"/>
            <w:bottom w:val="none" w:sz="0" w:space="0" w:color="auto"/>
            <w:right w:val="none" w:sz="0" w:space="0" w:color="auto"/>
          </w:divBdr>
        </w:div>
        <w:div w:id="871577905">
          <w:marLeft w:val="0"/>
          <w:marRight w:val="0"/>
          <w:marTop w:val="0"/>
          <w:marBottom w:val="0"/>
          <w:divBdr>
            <w:top w:val="none" w:sz="0" w:space="0" w:color="auto"/>
            <w:left w:val="none" w:sz="0" w:space="0" w:color="auto"/>
            <w:bottom w:val="none" w:sz="0" w:space="0" w:color="auto"/>
            <w:right w:val="none" w:sz="0" w:space="0" w:color="auto"/>
          </w:divBdr>
        </w:div>
        <w:div w:id="923152624">
          <w:marLeft w:val="0"/>
          <w:marRight w:val="0"/>
          <w:marTop w:val="0"/>
          <w:marBottom w:val="0"/>
          <w:divBdr>
            <w:top w:val="none" w:sz="0" w:space="0" w:color="auto"/>
            <w:left w:val="none" w:sz="0" w:space="0" w:color="auto"/>
            <w:bottom w:val="none" w:sz="0" w:space="0" w:color="auto"/>
            <w:right w:val="none" w:sz="0" w:space="0" w:color="auto"/>
          </w:divBdr>
        </w:div>
        <w:div w:id="956838454">
          <w:marLeft w:val="0"/>
          <w:marRight w:val="0"/>
          <w:marTop w:val="0"/>
          <w:marBottom w:val="0"/>
          <w:divBdr>
            <w:top w:val="none" w:sz="0" w:space="0" w:color="auto"/>
            <w:left w:val="none" w:sz="0" w:space="0" w:color="auto"/>
            <w:bottom w:val="none" w:sz="0" w:space="0" w:color="auto"/>
            <w:right w:val="none" w:sz="0" w:space="0" w:color="auto"/>
          </w:divBdr>
        </w:div>
        <w:div w:id="1002120965">
          <w:marLeft w:val="0"/>
          <w:marRight w:val="0"/>
          <w:marTop w:val="0"/>
          <w:marBottom w:val="0"/>
          <w:divBdr>
            <w:top w:val="none" w:sz="0" w:space="0" w:color="auto"/>
            <w:left w:val="none" w:sz="0" w:space="0" w:color="auto"/>
            <w:bottom w:val="none" w:sz="0" w:space="0" w:color="auto"/>
            <w:right w:val="none" w:sz="0" w:space="0" w:color="auto"/>
          </w:divBdr>
        </w:div>
        <w:div w:id="1289120557">
          <w:marLeft w:val="0"/>
          <w:marRight w:val="0"/>
          <w:marTop w:val="0"/>
          <w:marBottom w:val="0"/>
          <w:divBdr>
            <w:top w:val="none" w:sz="0" w:space="0" w:color="auto"/>
            <w:left w:val="none" w:sz="0" w:space="0" w:color="auto"/>
            <w:bottom w:val="none" w:sz="0" w:space="0" w:color="auto"/>
            <w:right w:val="none" w:sz="0" w:space="0" w:color="auto"/>
          </w:divBdr>
        </w:div>
        <w:div w:id="1306813119">
          <w:marLeft w:val="0"/>
          <w:marRight w:val="0"/>
          <w:marTop w:val="0"/>
          <w:marBottom w:val="0"/>
          <w:divBdr>
            <w:top w:val="none" w:sz="0" w:space="0" w:color="auto"/>
            <w:left w:val="none" w:sz="0" w:space="0" w:color="auto"/>
            <w:bottom w:val="none" w:sz="0" w:space="0" w:color="auto"/>
            <w:right w:val="none" w:sz="0" w:space="0" w:color="auto"/>
          </w:divBdr>
        </w:div>
        <w:div w:id="1323700209">
          <w:marLeft w:val="0"/>
          <w:marRight w:val="0"/>
          <w:marTop w:val="0"/>
          <w:marBottom w:val="0"/>
          <w:divBdr>
            <w:top w:val="none" w:sz="0" w:space="0" w:color="auto"/>
            <w:left w:val="none" w:sz="0" w:space="0" w:color="auto"/>
            <w:bottom w:val="none" w:sz="0" w:space="0" w:color="auto"/>
            <w:right w:val="none" w:sz="0" w:space="0" w:color="auto"/>
          </w:divBdr>
        </w:div>
        <w:div w:id="1330599312">
          <w:marLeft w:val="0"/>
          <w:marRight w:val="0"/>
          <w:marTop w:val="0"/>
          <w:marBottom w:val="0"/>
          <w:divBdr>
            <w:top w:val="none" w:sz="0" w:space="0" w:color="auto"/>
            <w:left w:val="none" w:sz="0" w:space="0" w:color="auto"/>
            <w:bottom w:val="none" w:sz="0" w:space="0" w:color="auto"/>
            <w:right w:val="none" w:sz="0" w:space="0" w:color="auto"/>
          </w:divBdr>
        </w:div>
        <w:div w:id="1552225397">
          <w:marLeft w:val="0"/>
          <w:marRight w:val="0"/>
          <w:marTop w:val="0"/>
          <w:marBottom w:val="0"/>
          <w:divBdr>
            <w:top w:val="none" w:sz="0" w:space="0" w:color="auto"/>
            <w:left w:val="none" w:sz="0" w:space="0" w:color="auto"/>
            <w:bottom w:val="none" w:sz="0" w:space="0" w:color="auto"/>
            <w:right w:val="none" w:sz="0" w:space="0" w:color="auto"/>
          </w:divBdr>
        </w:div>
        <w:div w:id="1583637699">
          <w:marLeft w:val="0"/>
          <w:marRight w:val="0"/>
          <w:marTop w:val="0"/>
          <w:marBottom w:val="0"/>
          <w:divBdr>
            <w:top w:val="none" w:sz="0" w:space="0" w:color="auto"/>
            <w:left w:val="none" w:sz="0" w:space="0" w:color="auto"/>
            <w:bottom w:val="none" w:sz="0" w:space="0" w:color="auto"/>
            <w:right w:val="none" w:sz="0" w:space="0" w:color="auto"/>
          </w:divBdr>
        </w:div>
        <w:div w:id="1633361164">
          <w:marLeft w:val="0"/>
          <w:marRight w:val="0"/>
          <w:marTop w:val="0"/>
          <w:marBottom w:val="0"/>
          <w:divBdr>
            <w:top w:val="none" w:sz="0" w:space="0" w:color="auto"/>
            <w:left w:val="none" w:sz="0" w:space="0" w:color="auto"/>
            <w:bottom w:val="none" w:sz="0" w:space="0" w:color="auto"/>
            <w:right w:val="none" w:sz="0" w:space="0" w:color="auto"/>
          </w:divBdr>
        </w:div>
        <w:div w:id="1783645397">
          <w:marLeft w:val="0"/>
          <w:marRight w:val="0"/>
          <w:marTop w:val="0"/>
          <w:marBottom w:val="0"/>
          <w:divBdr>
            <w:top w:val="none" w:sz="0" w:space="0" w:color="auto"/>
            <w:left w:val="none" w:sz="0" w:space="0" w:color="auto"/>
            <w:bottom w:val="none" w:sz="0" w:space="0" w:color="auto"/>
            <w:right w:val="none" w:sz="0" w:space="0" w:color="auto"/>
          </w:divBdr>
        </w:div>
        <w:div w:id="1866092979">
          <w:marLeft w:val="0"/>
          <w:marRight w:val="0"/>
          <w:marTop w:val="0"/>
          <w:marBottom w:val="0"/>
          <w:divBdr>
            <w:top w:val="none" w:sz="0" w:space="0" w:color="auto"/>
            <w:left w:val="none" w:sz="0" w:space="0" w:color="auto"/>
            <w:bottom w:val="none" w:sz="0" w:space="0" w:color="auto"/>
            <w:right w:val="none" w:sz="0" w:space="0" w:color="auto"/>
          </w:divBdr>
        </w:div>
        <w:div w:id="1885630641">
          <w:marLeft w:val="0"/>
          <w:marRight w:val="0"/>
          <w:marTop w:val="0"/>
          <w:marBottom w:val="0"/>
          <w:divBdr>
            <w:top w:val="none" w:sz="0" w:space="0" w:color="auto"/>
            <w:left w:val="none" w:sz="0" w:space="0" w:color="auto"/>
            <w:bottom w:val="none" w:sz="0" w:space="0" w:color="auto"/>
            <w:right w:val="none" w:sz="0" w:space="0" w:color="auto"/>
          </w:divBdr>
        </w:div>
        <w:div w:id="1928035718">
          <w:marLeft w:val="0"/>
          <w:marRight w:val="0"/>
          <w:marTop w:val="0"/>
          <w:marBottom w:val="0"/>
          <w:divBdr>
            <w:top w:val="none" w:sz="0" w:space="0" w:color="auto"/>
            <w:left w:val="none" w:sz="0" w:space="0" w:color="auto"/>
            <w:bottom w:val="none" w:sz="0" w:space="0" w:color="auto"/>
            <w:right w:val="none" w:sz="0" w:space="0" w:color="auto"/>
          </w:divBdr>
        </w:div>
      </w:divsChild>
    </w:div>
    <w:div w:id="1474983674">
      <w:bodyDiv w:val="1"/>
      <w:marLeft w:val="0"/>
      <w:marRight w:val="0"/>
      <w:marTop w:val="0"/>
      <w:marBottom w:val="0"/>
      <w:divBdr>
        <w:top w:val="none" w:sz="0" w:space="0" w:color="auto"/>
        <w:left w:val="none" w:sz="0" w:space="0" w:color="auto"/>
        <w:bottom w:val="none" w:sz="0" w:space="0" w:color="auto"/>
        <w:right w:val="none" w:sz="0" w:space="0" w:color="auto"/>
      </w:divBdr>
      <w:divsChild>
        <w:div w:id="797334723">
          <w:marLeft w:val="0"/>
          <w:marRight w:val="0"/>
          <w:marTop w:val="0"/>
          <w:marBottom w:val="0"/>
          <w:divBdr>
            <w:top w:val="none" w:sz="0" w:space="0" w:color="auto"/>
            <w:left w:val="none" w:sz="0" w:space="0" w:color="auto"/>
            <w:bottom w:val="none" w:sz="0" w:space="0" w:color="auto"/>
            <w:right w:val="none" w:sz="0" w:space="0" w:color="auto"/>
          </w:divBdr>
        </w:div>
      </w:divsChild>
    </w:div>
    <w:div w:id="1495532530">
      <w:bodyDiv w:val="1"/>
      <w:marLeft w:val="0"/>
      <w:marRight w:val="0"/>
      <w:marTop w:val="0"/>
      <w:marBottom w:val="0"/>
      <w:divBdr>
        <w:top w:val="none" w:sz="0" w:space="0" w:color="auto"/>
        <w:left w:val="none" w:sz="0" w:space="0" w:color="auto"/>
        <w:bottom w:val="none" w:sz="0" w:space="0" w:color="auto"/>
        <w:right w:val="none" w:sz="0" w:space="0" w:color="auto"/>
      </w:divBdr>
      <w:divsChild>
        <w:div w:id="861432315">
          <w:marLeft w:val="0"/>
          <w:marRight w:val="0"/>
          <w:marTop w:val="0"/>
          <w:marBottom w:val="0"/>
          <w:divBdr>
            <w:top w:val="none" w:sz="0" w:space="0" w:color="auto"/>
            <w:left w:val="none" w:sz="0" w:space="0" w:color="auto"/>
            <w:bottom w:val="none" w:sz="0" w:space="0" w:color="auto"/>
            <w:right w:val="none" w:sz="0" w:space="0" w:color="auto"/>
          </w:divBdr>
        </w:div>
        <w:div w:id="1589803646">
          <w:marLeft w:val="0"/>
          <w:marRight w:val="0"/>
          <w:marTop w:val="0"/>
          <w:marBottom w:val="0"/>
          <w:divBdr>
            <w:top w:val="none" w:sz="0" w:space="0" w:color="auto"/>
            <w:left w:val="none" w:sz="0" w:space="0" w:color="auto"/>
            <w:bottom w:val="none" w:sz="0" w:space="0" w:color="auto"/>
            <w:right w:val="none" w:sz="0" w:space="0" w:color="auto"/>
          </w:divBdr>
        </w:div>
        <w:div w:id="1714307272">
          <w:marLeft w:val="0"/>
          <w:marRight w:val="0"/>
          <w:marTop w:val="0"/>
          <w:marBottom w:val="0"/>
          <w:divBdr>
            <w:top w:val="none" w:sz="0" w:space="0" w:color="auto"/>
            <w:left w:val="none" w:sz="0" w:space="0" w:color="auto"/>
            <w:bottom w:val="none" w:sz="0" w:space="0" w:color="auto"/>
            <w:right w:val="none" w:sz="0" w:space="0" w:color="auto"/>
          </w:divBdr>
        </w:div>
      </w:divsChild>
    </w:div>
    <w:div w:id="1528830585">
      <w:bodyDiv w:val="1"/>
      <w:marLeft w:val="0"/>
      <w:marRight w:val="0"/>
      <w:marTop w:val="0"/>
      <w:marBottom w:val="0"/>
      <w:divBdr>
        <w:top w:val="none" w:sz="0" w:space="0" w:color="auto"/>
        <w:left w:val="none" w:sz="0" w:space="0" w:color="auto"/>
        <w:bottom w:val="none" w:sz="0" w:space="0" w:color="auto"/>
        <w:right w:val="none" w:sz="0" w:space="0" w:color="auto"/>
      </w:divBdr>
      <w:divsChild>
        <w:div w:id="302586177">
          <w:marLeft w:val="0"/>
          <w:marRight w:val="0"/>
          <w:marTop w:val="0"/>
          <w:marBottom w:val="0"/>
          <w:divBdr>
            <w:top w:val="none" w:sz="0" w:space="0" w:color="auto"/>
            <w:left w:val="none" w:sz="0" w:space="0" w:color="auto"/>
            <w:bottom w:val="none" w:sz="0" w:space="0" w:color="auto"/>
            <w:right w:val="none" w:sz="0" w:space="0" w:color="auto"/>
          </w:divBdr>
        </w:div>
        <w:div w:id="337469919">
          <w:marLeft w:val="0"/>
          <w:marRight w:val="0"/>
          <w:marTop w:val="0"/>
          <w:marBottom w:val="0"/>
          <w:divBdr>
            <w:top w:val="none" w:sz="0" w:space="0" w:color="auto"/>
            <w:left w:val="none" w:sz="0" w:space="0" w:color="auto"/>
            <w:bottom w:val="none" w:sz="0" w:space="0" w:color="auto"/>
            <w:right w:val="none" w:sz="0" w:space="0" w:color="auto"/>
          </w:divBdr>
        </w:div>
        <w:div w:id="555052517">
          <w:marLeft w:val="0"/>
          <w:marRight w:val="0"/>
          <w:marTop w:val="0"/>
          <w:marBottom w:val="0"/>
          <w:divBdr>
            <w:top w:val="none" w:sz="0" w:space="0" w:color="auto"/>
            <w:left w:val="none" w:sz="0" w:space="0" w:color="auto"/>
            <w:bottom w:val="none" w:sz="0" w:space="0" w:color="auto"/>
            <w:right w:val="none" w:sz="0" w:space="0" w:color="auto"/>
          </w:divBdr>
        </w:div>
        <w:div w:id="1215190953">
          <w:marLeft w:val="0"/>
          <w:marRight w:val="0"/>
          <w:marTop w:val="0"/>
          <w:marBottom w:val="0"/>
          <w:divBdr>
            <w:top w:val="none" w:sz="0" w:space="0" w:color="auto"/>
            <w:left w:val="none" w:sz="0" w:space="0" w:color="auto"/>
            <w:bottom w:val="none" w:sz="0" w:space="0" w:color="auto"/>
            <w:right w:val="none" w:sz="0" w:space="0" w:color="auto"/>
          </w:divBdr>
        </w:div>
        <w:div w:id="1538352216">
          <w:marLeft w:val="0"/>
          <w:marRight w:val="0"/>
          <w:marTop w:val="0"/>
          <w:marBottom w:val="0"/>
          <w:divBdr>
            <w:top w:val="none" w:sz="0" w:space="0" w:color="auto"/>
            <w:left w:val="none" w:sz="0" w:space="0" w:color="auto"/>
            <w:bottom w:val="none" w:sz="0" w:space="0" w:color="auto"/>
            <w:right w:val="none" w:sz="0" w:space="0" w:color="auto"/>
          </w:divBdr>
        </w:div>
        <w:div w:id="1864438689">
          <w:marLeft w:val="0"/>
          <w:marRight w:val="0"/>
          <w:marTop w:val="0"/>
          <w:marBottom w:val="0"/>
          <w:divBdr>
            <w:top w:val="none" w:sz="0" w:space="0" w:color="auto"/>
            <w:left w:val="none" w:sz="0" w:space="0" w:color="auto"/>
            <w:bottom w:val="none" w:sz="0" w:space="0" w:color="auto"/>
            <w:right w:val="none" w:sz="0" w:space="0" w:color="auto"/>
          </w:divBdr>
        </w:div>
      </w:divsChild>
    </w:div>
    <w:div w:id="1537498657">
      <w:bodyDiv w:val="1"/>
      <w:marLeft w:val="0"/>
      <w:marRight w:val="0"/>
      <w:marTop w:val="0"/>
      <w:marBottom w:val="0"/>
      <w:divBdr>
        <w:top w:val="none" w:sz="0" w:space="0" w:color="auto"/>
        <w:left w:val="none" w:sz="0" w:space="0" w:color="auto"/>
        <w:bottom w:val="none" w:sz="0" w:space="0" w:color="auto"/>
        <w:right w:val="none" w:sz="0" w:space="0" w:color="auto"/>
      </w:divBdr>
      <w:divsChild>
        <w:div w:id="351342418">
          <w:marLeft w:val="0"/>
          <w:marRight w:val="0"/>
          <w:marTop w:val="0"/>
          <w:marBottom w:val="0"/>
          <w:divBdr>
            <w:top w:val="none" w:sz="0" w:space="0" w:color="auto"/>
            <w:left w:val="none" w:sz="0" w:space="0" w:color="auto"/>
            <w:bottom w:val="none" w:sz="0" w:space="0" w:color="auto"/>
            <w:right w:val="none" w:sz="0" w:space="0" w:color="auto"/>
          </w:divBdr>
          <w:divsChild>
            <w:div w:id="1485197485">
              <w:marLeft w:val="0"/>
              <w:marRight w:val="0"/>
              <w:marTop w:val="0"/>
              <w:marBottom w:val="0"/>
              <w:divBdr>
                <w:top w:val="none" w:sz="0" w:space="0" w:color="auto"/>
                <w:left w:val="none" w:sz="0" w:space="0" w:color="auto"/>
                <w:bottom w:val="none" w:sz="0" w:space="0" w:color="auto"/>
                <w:right w:val="none" w:sz="0" w:space="0" w:color="auto"/>
              </w:divBdr>
              <w:divsChild>
                <w:div w:id="463543083">
                  <w:marLeft w:val="0"/>
                  <w:marRight w:val="0"/>
                  <w:marTop w:val="0"/>
                  <w:marBottom w:val="0"/>
                  <w:divBdr>
                    <w:top w:val="none" w:sz="0" w:space="0" w:color="auto"/>
                    <w:left w:val="none" w:sz="0" w:space="0" w:color="auto"/>
                    <w:bottom w:val="none" w:sz="0" w:space="0" w:color="auto"/>
                    <w:right w:val="none" w:sz="0" w:space="0" w:color="auto"/>
                  </w:divBdr>
                  <w:divsChild>
                    <w:div w:id="862211271">
                      <w:marLeft w:val="0"/>
                      <w:marRight w:val="0"/>
                      <w:marTop w:val="0"/>
                      <w:marBottom w:val="0"/>
                      <w:divBdr>
                        <w:top w:val="none" w:sz="0" w:space="0" w:color="auto"/>
                        <w:left w:val="none" w:sz="0" w:space="0" w:color="auto"/>
                        <w:bottom w:val="none" w:sz="0" w:space="0" w:color="auto"/>
                        <w:right w:val="none" w:sz="0" w:space="0" w:color="auto"/>
                      </w:divBdr>
                      <w:divsChild>
                        <w:div w:id="32310280">
                          <w:marLeft w:val="0"/>
                          <w:marRight w:val="0"/>
                          <w:marTop w:val="0"/>
                          <w:marBottom w:val="0"/>
                          <w:divBdr>
                            <w:top w:val="none" w:sz="0" w:space="0" w:color="auto"/>
                            <w:left w:val="none" w:sz="0" w:space="0" w:color="auto"/>
                            <w:bottom w:val="none" w:sz="0" w:space="0" w:color="auto"/>
                            <w:right w:val="none" w:sz="0" w:space="0" w:color="auto"/>
                          </w:divBdr>
                          <w:divsChild>
                            <w:div w:id="755053288">
                              <w:marLeft w:val="0"/>
                              <w:marRight w:val="0"/>
                              <w:marTop w:val="0"/>
                              <w:marBottom w:val="0"/>
                              <w:divBdr>
                                <w:top w:val="none" w:sz="0" w:space="0" w:color="auto"/>
                                <w:left w:val="none" w:sz="0" w:space="0" w:color="auto"/>
                                <w:bottom w:val="none" w:sz="0" w:space="0" w:color="auto"/>
                                <w:right w:val="none" w:sz="0" w:space="0" w:color="auto"/>
                              </w:divBdr>
                              <w:divsChild>
                                <w:div w:id="1530607287">
                                  <w:marLeft w:val="0"/>
                                  <w:marRight w:val="0"/>
                                  <w:marTop w:val="0"/>
                                  <w:marBottom w:val="0"/>
                                  <w:divBdr>
                                    <w:top w:val="none" w:sz="0" w:space="0" w:color="auto"/>
                                    <w:left w:val="none" w:sz="0" w:space="0" w:color="auto"/>
                                    <w:bottom w:val="none" w:sz="0" w:space="0" w:color="auto"/>
                                    <w:right w:val="none" w:sz="0" w:space="0" w:color="auto"/>
                                  </w:divBdr>
                                  <w:divsChild>
                                    <w:div w:id="130487807">
                                      <w:marLeft w:val="0"/>
                                      <w:marRight w:val="0"/>
                                      <w:marTop w:val="0"/>
                                      <w:marBottom w:val="0"/>
                                      <w:divBdr>
                                        <w:top w:val="none" w:sz="0" w:space="0" w:color="auto"/>
                                        <w:left w:val="none" w:sz="0" w:space="0" w:color="auto"/>
                                        <w:bottom w:val="none" w:sz="0" w:space="0" w:color="auto"/>
                                        <w:right w:val="none" w:sz="0" w:space="0" w:color="auto"/>
                                      </w:divBdr>
                                      <w:divsChild>
                                        <w:div w:id="977228936">
                                          <w:marLeft w:val="0"/>
                                          <w:marRight w:val="0"/>
                                          <w:marTop w:val="0"/>
                                          <w:marBottom w:val="0"/>
                                          <w:divBdr>
                                            <w:top w:val="none" w:sz="0" w:space="0" w:color="auto"/>
                                            <w:left w:val="none" w:sz="0" w:space="0" w:color="auto"/>
                                            <w:bottom w:val="none" w:sz="0" w:space="0" w:color="auto"/>
                                            <w:right w:val="none" w:sz="0" w:space="0" w:color="auto"/>
                                          </w:divBdr>
                                          <w:divsChild>
                                            <w:div w:id="170607499">
                                              <w:marLeft w:val="0"/>
                                              <w:marRight w:val="0"/>
                                              <w:marTop w:val="0"/>
                                              <w:marBottom w:val="0"/>
                                              <w:divBdr>
                                                <w:top w:val="none" w:sz="0" w:space="0" w:color="auto"/>
                                                <w:left w:val="none" w:sz="0" w:space="0" w:color="auto"/>
                                                <w:bottom w:val="none" w:sz="0" w:space="0" w:color="auto"/>
                                                <w:right w:val="none" w:sz="0" w:space="0" w:color="auto"/>
                                              </w:divBdr>
                                              <w:divsChild>
                                                <w:div w:id="319773139">
                                                  <w:marLeft w:val="0"/>
                                                  <w:marRight w:val="0"/>
                                                  <w:marTop w:val="0"/>
                                                  <w:marBottom w:val="0"/>
                                                  <w:divBdr>
                                                    <w:top w:val="none" w:sz="0" w:space="0" w:color="auto"/>
                                                    <w:left w:val="none" w:sz="0" w:space="0" w:color="auto"/>
                                                    <w:bottom w:val="none" w:sz="0" w:space="0" w:color="auto"/>
                                                    <w:right w:val="none" w:sz="0" w:space="0" w:color="auto"/>
                                                  </w:divBdr>
                                                  <w:divsChild>
                                                    <w:div w:id="132331201">
                                                      <w:marLeft w:val="0"/>
                                                      <w:marRight w:val="0"/>
                                                      <w:marTop w:val="0"/>
                                                      <w:marBottom w:val="0"/>
                                                      <w:divBdr>
                                                        <w:top w:val="none" w:sz="0" w:space="0" w:color="auto"/>
                                                        <w:left w:val="none" w:sz="0" w:space="0" w:color="auto"/>
                                                        <w:bottom w:val="none" w:sz="0" w:space="0" w:color="auto"/>
                                                        <w:right w:val="none" w:sz="0" w:space="0" w:color="auto"/>
                                                      </w:divBdr>
                                                      <w:divsChild>
                                                        <w:div w:id="323897729">
                                                          <w:marLeft w:val="0"/>
                                                          <w:marRight w:val="0"/>
                                                          <w:marTop w:val="0"/>
                                                          <w:marBottom w:val="0"/>
                                                          <w:divBdr>
                                                            <w:top w:val="none" w:sz="0" w:space="0" w:color="auto"/>
                                                            <w:left w:val="none" w:sz="0" w:space="0" w:color="auto"/>
                                                            <w:bottom w:val="none" w:sz="0" w:space="0" w:color="auto"/>
                                                            <w:right w:val="none" w:sz="0" w:space="0" w:color="auto"/>
                                                          </w:divBdr>
                                                          <w:divsChild>
                                                            <w:div w:id="1384988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8279140">
      <w:bodyDiv w:val="1"/>
      <w:marLeft w:val="0"/>
      <w:marRight w:val="0"/>
      <w:marTop w:val="0"/>
      <w:marBottom w:val="0"/>
      <w:divBdr>
        <w:top w:val="none" w:sz="0" w:space="0" w:color="auto"/>
        <w:left w:val="none" w:sz="0" w:space="0" w:color="auto"/>
        <w:bottom w:val="none" w:sz="0" w:space="0" w:color="auto"/>
        <w:right w:val="none" w:sz="0" w:space="0" w:color="auto"/>
      </w:divBdr>
      <w:divsChild>
        <w:div w:id="76709469">
          <w:marLeft w:val="0"/>
          <w:marRight w:val="0"/>
          <w:marTop w:val="0"/>
          <w:marBottom w:val="0"/>
          <w:divBdr>
            <w:top w:val="none" w:sz="0" w:space="0" w:color="auto"/>
            <w:left w:val="none" w:sz="0" w:space="0" w:color="auto"/>
            <w:bottom w:val="none" w:sz="0" w:space="0" w:color="auto"/>
            <w:right w:val="none" w:sz="0" w:space="0" w:color="auto"/>
          </w:divBdr>
        </w:div>
      </w:divsChild>
    </w:div>
    <w:div w:id="1544555402">
      <w:bodyDiv w:val="1"/>
      <w:marLeft w:val="0"/>
      <w:marRight w:val="0"/>
      <w:marTop w:val="0"/>
      <w:marBottom w:val="0"/>
      <w:divBdr>
        <w:top w:val="none" w:sz="0" w:space="0" w:color="auto"/>
        <w:left w:val="none" w:sz="0" w:space="0" w:color="auto"/>
        <w:bottom w:val="none" w:sz="0" w:space="0" w:color="auto"/>
        <w:right w:val="none" w:sz="0" w:space="0" w:color="auto"/>
      </w:divBdr>
      <w:divsChild>
        <w:div w:id="1058167018">
          <w:marLeft w:val="0"/>
          <w:marRight w:val="0"/>
          <w:marTop w:val="0"/>
          <w:marBottom w:val="0"/>
          <w:divBdr>
            <w:top w:val="none" w:sz="0" w:space="0" w:color="auto"/>
            <w:left w:val="none" w:sz="0" w:space="0" w:color="auto"/>
            <w:bottom w:val="none" w:sz="0" w:space="0" w:color="auto"/>
            <w:right w:val="none" w:sz="0" w:space="0" w:color="auto"/>
          </w:divBdr>
        </w:div>
        <w:div w:id="1067073922">
          <w:marLeft w:val="0"/>
          <w:marRight w:val="0"/>
          <w:marTop w:val="0"/>
          <w:marBottom w:val="0"/>
          <w:divBdr>
            <w:top w:val="none" w:sz="0" w:space="0" w:color="auto"/>
            <w:left w:val="none" w:sz="0" w:space="0" w:color="auto"/>
            <w:bottom w:val="none" w:sz="0" w:space="0" w:color="auto"/>
            <w:right w:val="none" w:sz="0" w:space="0" w:color="auto"/>
          </w:divBdr>
          <w:divsChild>
            <w:div w:id="737020467">
              <w:marLeft w:val="0"/>
              <w:marRight w:val="0"/>
              <w:marTop w:val="0"/>
              <w:marBottom w:val="0"/>
              <w:divBdr>
                <w:top w:val="none" w:sz="0" w:space="0" w:color="auto"/>
                <w:left w:val="none" w:sz="0" w:space="0" w:color="auto"/>
                <w:bottom w:val="none" w:sz="0" w:space="0" w:color="auto"/>
                <w:right w:val="none" w:sz="0" w:space="0" w:color="auto"/>
              </w:divBdr>
              <w:divsChild>
                <w:div w:id="679308767">
                  <w:marLeft w:val="0"/>
                  <w:marRight w:val="0"/>
                  <w:marTop w:val="0"/>
                  <w:marBottom w:val="0"/>
                  <w:divBdr>
                    <w:top w:val="none" w:sz="0" w:space="0" w:color="auto"/>
                    <w:left w:val="none" w:sz="0" w:space="0" w:color="auto"/>
                    <w:bottom w:val="none" w:sz="0" w:space="0" w:color="auto"/>
                    <w:right w:val="none" w:sz="0" w:space="0" w:color="auto"/>
                  </w:divBdr>
                  <w:divsChild>
                    <w:div w:id="991449665">
                      <w:marLeft w:val="0"/>
                      <w:marRight w:val="0"/>
                      <w:marTop w:val="0"/>
                      <w:marBottom w:val="0"/>
                      <w:divBdr>
                        <w:top w:val="none" w:sz="0" w:space="0" w:color="auto"/>
                        <w:left w:val="none" w:sz="0" w:space="0" w:color="auto"/>
                        <w:bottom w:val="none" w:sz="0" w:space="0" w:color="auto"/>
                        <w:right w:val="none" w:sz="0" w:space="0" w:color="auto"/>
                      </w:divBdr>
                      <w:divsChild>
                        <w:div w:id="255285863">
                          <w:marLeft w:val="0"/>
                          <w:marRight w:val="0"/>
                          <w:marTop w:val="0"/>
                          <w:marBottom w:val="0"/>
                          <w:divBdr>
                            <w:top w:val="none" w:sz="0" w:space="0" w:color="auto"/>
                            <w:left w:val="none" w:sz="0" w:space="0" w:color="auto"/>
                            <w:bottom w:val="none" w:sz="0" w:space="0" w:color="auto"/>
                            <w:right w:val="none" w:sz="0" w:space="0" w:color="auto"/>
                          </w:divBdr>
                          <w:divsChild>
                            <w:div w:id="1778596565">
                              <w:marLeft w:val="0"/>
                              <w:marRight w:val="0"/>
                              <w:marTop w:val="0"/>
                              <w:marBottom w:val="0"/>
                              <w:divBdr>
                                <w:top w:val="none" w:sz="0" w:space="0" w:color="auto"/>
                                <w:left w:val="none" w:sz="0" w:space="0" w:color="auto"/>
                                <w:bottom w:val="none" w:sz="0" w:space="0" w:color="auto"/>
                                <w:right w:val="none" w:sz="0" w:space="0" w:color="auto"/>
                              </w:divBdr>
                              <w:divsChild>
                                <w:div w:id="1480997625">
                                  <w:marLeft w:val="0"/>
                                  <w:marRight w:val="0"/>
                                  <w:marTop w:val="0"/>
                                  <w:marBottom w:val="0"/>
                                  <w:divBdr>
                                    <w:top w:val="none" w:sz="0" w:space="0" w:color="auto"/>
                                    <w:left w:val="none" w:sz="0" w:space="0" w:color="auto"/>
                                    <w:bottom w:val="none" w:sz="0" w:space="0" w:color="auto"/>
                                    <w:right w:val="none" w:sz="0" w:space="0" w:color="auto"/>
                                  </w:divBdr>
                                  <w:divsChild>
                                    <w:div w:id="2044554670">
                                      <w:marLeft w:val="0"/>
                                      <w:marRight w:val="0"/>
                                      <w:marTop w:val="0"/>
                                      <w:marBottom w:val="0"/>
                                      <w:divBdr>
                                        <w:top w:val="none" w:sz="0" w:space="0" w:color="auto"/>
                                        <w:left w:val="none" w:sz="0" w:space="0" w:color="auto"/>
                                        <w:bottom w:val="none" w:sz="0" w:space="0" w:color="auto"/>
                                        <w:right w:val="none" w:sz="0" w:space="0" w:color="auto"/>
                                      </w:divBdr>
                                      <w:divsChild>
                                        <w:div w:id="692341341">
                                          <w:marLeft w:val="0"/>
                                          <w:marRight w:val="0"/>
                                          <w:marTop w:val="0"/>
                                          <w:marBottom w:val="0"/>
                                          <w:divBdr>
                                            <w:top w:val="none" w:sz="0" w:space="0" w:color="auto"/>
                                            <w:left w:val="none" w:sz="0" w:space="0" w:color="auto"/>
                                            <w:bottom w:val="none" w:sz="0" w:space="0" w:color="auto"/>
                                            <w:right w:val="none" w:sz="0" w:space="0" w:color="auto"/>
                                          </w:divBdr>
                                          <w:divsChild>
                                            <w:div w:id="894583990">
                                              <w:marLeft w:val="0"/>
                                              <w:marRight w:val="0"/>
                                              <w:marTop w:val="0"/>
                                              <w:marBottom w:val="0"/>
                                              <w:divBdr>
                                                <w:top w:val="none" w:sz="0" w:space="0" w:color="auto"/>
                                                <w:left w:val="none" w:sz="0" w:space="0" w:color="auto"/>
                                                <w:bottom w:val="none" w:sz="0" w:space="0" w:color="auto"/>
                                                <w:right w:val="none" w:sz="0" w:space="0" w:color="auto"/>
                                              </w:divBdr>
                                              <w:divsChild>
                                                <w:div w:id="1080835374">
                                                  <w:marLeft w:val="0"/>
                                                  <w:marRight w:val="0"/>
                                                  <w:marTop w:val="0"/>
                                                  <w:marBottom w:val="0"/>
                                                  <w:divBdr>
                                                    <w:top w:val="none" w:sz="0" w:space="0" w:color="auto"/>
                                                    <w:left w:val="none" w:sz="0" w:space="0" w:color="auto"/>
                                                    <w:bottom w:val="none" w:sz="0" w:space="0" w:color="auto"/>
                                                    <w:right w:val="none" w:sz="0" w:space="0" w:color="auto"/>
                                                  </w:divBdr>
                                                  <w:divsChild>
                                                    <w:div w:id="1785341002">
                                                      <w:marLeft w:val="0"/>
                                                      <w:marRight w:val="0"/>
                                                      <w:marTop w:val="0"/>
                                                      <w:marBottom w:val="0"/>
                                                      <w:divBdr>
                                                        <w:top w:val="none" w:sz="0" w:space="0" w:color="auto"/>
                                                        <w:left w:val="none" w:sz="0" w:space="0" w:color="auto"/>
                                                        <w:bottom w:val="none" w:sz="0" w:space="0" w:color="auto"/>
                                                        <w:right w:val="none" w:sz="0" w:space="0" w:color="auto"/>
                                                      </w:divBdr>
                                                      <w:divsChild>
                                                        <w:div w:id="265499708">
                                                          <w:marLeft w:val="0"/>
                                                          <w:marRight w:val="0"/>
                                                          <w:marTop w:val="0"/>
                                                          <w:marBottom w:val="0"/>
                                                          <w:divBdr>
                                                            <w:top w:val="none" w:sz="0" w:space="0" w:color="auto"/>
                                                            <w:left w:val="none" w:sz="0" w:space="0" w:color="auto"/>
                                                            <w:bottom w:val="none" w:sz="0" w:space="0" w:color="auto"/>
                                                            <w:right w:val="none" w:sz="0" w:space="0" w:color="auto"/>
                                                          </w:divBdr>
                                                          <w:divsChild>
                                                            <w:div w:id="1338188546">
                                                              <w:marLeft w:val="0"/>
                                                              <w:marRight w:val="0"/>
                                                              <w:marTop w:val="0"/>
                                                              <w:marBottom w:val="0"/>
                                                              <w:divBdr>
                                                                <w:top w:val="none" w:sz="0" w:space="0" w:color="auto"/>
                                                                <w:left w:val="none" w:sz="0" w:space="0" w:color="auto"/>
                                                                <w:bottom w:val="none" w:sz="0" w:space="0" w:color="auto"/>
                                                                <w:right w:val="none" w:sz="0" w:space="0" w:color="auto"/>
                                                              </w:divBdr>
                                                              <w:divsChild>
                                                                <w:div w:id="601843137">
                                                                  <w:marLeft w:val="0"/>
                                                                  <w:marRight w:val="0"/>
                                                                  <w:marTop w:val="0"/>
                                                                  <w:marBottom w:val="0"/>
                                                                  <w:divBdr>
                                                                    <w:top w:val="none" w:sz="0" w:space="0" w:color="auto"/>
                                                                    <w:left w:val="none" w:sz="0" w:space="0" w:color="auto"/>
                                                                    <w:bottom w:val="none" w:sz="0" w:space="0" w:color="auto"/>
                                                                    <w:right w:val="none" w:sz="0" w:space="0" w:color="auto"/>
                                                                  </w:divBdr>
                                                                  <w:divsChild>
                                                                    <w:div w:id="1391028743">
                                                                      <w:marLeft w:val="0"/>
                                                                      <w:marRight w:val="0"/>
                                                                      <w:marTop w:val="0"/>
                                                                      <w:marBottom w:val="0"/>
                                                                      <w:divBdr>
                                                                        <w:top w:val="none" w:sz="0" w:space="0" w:color="auto"/>
                                                                        <w:left w:val="none" w:sz="0" w:space="0" w:color="auto"/>
                                                                        <w:bottom w:val="none" w:sz="0" w:space="0" w:color="auto"/>
                                                                        <w:right w:val="none" w:sz="0" w:space="0" w:color="auto"/>
                                                                      </w:divBdr>
                                                                    </w:div>
                                                                  </w:divsChild>
                                                                </w:div>
                                                                <w:div w:id="1321692829">
                                                                  <w:marLeft w:val="0"/>
                                                                  <w:marRight w:val="0"/>
                                                                  <w:marTop w:val="0"/>
                                                                  <w:marBottom w:val="0"/>
                                                                  <w:divBdr>
                                                                    <w:top w:val="none" w:sz="0" w:space="0" w:color="auto"/>
                                                                    <w:left w:val="none" w:sz="0" w:space="0" w:color="auto"/>
                                                                    <w:bottom w:val="none" w:sz="0" w:space="0" w:color="auto"/>
                                                                    <w:right w:val="none" w:sz="0" w:space="0" w:color="auto"/>
                                                                  </w:divBdr>
                                                                </w:div>
                                                                <w:div w:id="159443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49586">
                                                          <w:marLeft w:val="0"/>
                                                          <w:marRight w:val="0"/>
                                                          <w:marTop w:val="0"/>
                                                          <w:marBottom w:val="0"/>
                                                          <w:divBdr>
                                                            <w:top w:val="none" w:sz="0" w:space="0" w:color="auto"/>
                                                            <w:left w:val="none" w:sz="0" w:space="0" w:color="auto"/>
                                                            <w:bottom w:val="none" w:sz="0" w:space="0" w:color="auto"/>
                                                            <w:right w:val="none" w:sz="0" w:space="0" w:color="auto"/>
                                                          </w:divBdr>
                                                          <w:divsChild>
                                                            <w:div w:id="1117025239">
                                                              <w:marLeft w:val="0"/>
                                                              <w:marRight w:val="0"/>
                                                              <w:marTop w:val="0"/>
                                                              <w:marBottom w:val="0"/>
                                                              <w:divBdr>
                                                                <w:top w:val="none" w:sz="0" w:space="0" w:color="auto"/>
                                                                <w:left w:val="none" w:sz="0" w:space="0" w:color="auto"/>
                                                                <w:bottom w:val="none" w:sz="0" w:space="0" w:color="auto"/>
                                                                <w:right w:val="none" w:sz="0" w:space="0" w:color="auto"/>
                                                              </w:divBdr>
                                                              <w:divsChild>
                                                                <w:div w:id="1509254620">
                                                                  <w:marLeft w:val="0"/>
                                                                  <w:marRight w:val="0"/>
                                                                  <w:marTop w:val="0"/>
                                                                  <w:marBottom w:val="0"/>
                                                                  <w:divBdr>
                                                                    <w:top w:val="none" w:sz="0" w:space="0" w:color="auto"/>
                                                                    <w:left w:val="none" w:sz="0" w:space="0" w:color="auto"/>
                                                                    <w:bottom w:val="none" w:sz="0" w:space="0" w:color="auto"/>
                                                                    <w:right w:val="none" w:sz="0" w:space="0" w:color="auto"/>
                                                                  </w:divBdr>
                                                                  <w:divsChild>
                                                                    <w:div w:id="1532182261">
                                                                      <w:marLeft w:val="0"/>
                                                                      <w:marRight w:val="0"/>
                                                                      <w:marTop w:val="0"/>
                                                                      <w:marBottom w:val="0"/>
                                                                      <w:divBdr>
                                                                        <w:top w:val="none" w:sz="0" w:space="0" w:color="auto"/>
                                                                        <w:left w:val="none" w:sz="0" w:space="0" w:color="auto"/>
                                                                        <w:bottom w:val="none" w:sz="0" w:space="0" w:color="auto"/>
                                                                        <w:right w:val="none" w:sz="0" w:space="0" w:color="auto"/>
                                                                      </w:divBdr>
                                                                    </w:div>
                                                                  </w:divsChild>
                                                                </w:div>
                                                                <w:div w:id="1544824326">
                                                                  <w:marLeft w:val="0"/>
                                                                  <w:marRight w:val="0"/>
                                                                  <w:marTop w:val="0"/>
                                                                  <w:marBottom w:val="0"/>
                                                                  <w:divBdr>
                                                                    <w:top w:val="none" w:sz="0" w:space="0" w:color="auto"/>
                                                                    <w:left w:val="none" w:sz="0" w:space="0" w:color="auto"/>
                                                                    <w:bottom w:val="none" w:sz="0" w:space="0" w:color="auto"/>
                                                                    <w:right w:val="none" w:sz="0" w:space="0" w:color="auto"/>
                                                                  </w:divBdr>
                                                                  <w:divsChild>
                                                                    <w:div w:id="115024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571400">
                                                              <w:marLeft w:val="0"/>
                                                              <w:marRight w:val="0"/>
                                                              <w:marTop w:val="0"/>
                                                              <w:marBottom w:val="0"/>
                                                              <w:divBdr>
                                                                <w:top w:val="none" w:sz="0" w:space="0" w:color="auto"/>
                                                                <w:left w:val="none" w:sz="0" w:space="0" w:color="auto"/>
                                                                <w:bottom w:val="none" w:sz="0" w:space="0" w:color="auto"/>
                                                                <w:right w:val="none" w:sz="0" w:space="0" w:color="auto"/>
                                                              </w:divBdr>
                                                              <w:divsChild>
                                                                <w:div w:id="78053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546261">
                                                          <w:marLeft w:val="0"/>
                                                          <w:marRight w:val="0"/>
                                                          <w:marTop w:val="0"/>
                                                          <w:marBottom w:val="0"/>
                                                          <w:divBdr>
                                                            <w:top w:val="none" w:sz="0" w:space="0" w:color="auto"/>
                                                            <w:left w:val="none" w:sz="0" w:space="0" w:color="auto"/>
                                                            <w:bottom w:val="none" w:sz="0" w:space="0" w:color="auto"/>
                                                            <w:right w:val="none" w:sz="0" w:space="0" w:color="auto"/>
                                                          </w:divBdr>
                                                          <w:divsChild>
                                                            <w:div w:id="648873727">
                                                              <w:marLeft w:val="0"/>
                                                              <w:marRight w:val="0"/>
                                                              <w:marTop w:val="0"/>
                                                              <w:marBottom w:val="0"/>
                                                              <w:divBdr>
                                                                <w:top w:val="none" w:sz="0" w:space="0" w:color="auto"/>
                                                                <w:left w:val="none" w:sz="0" w:space="0" w:color="auto"/>
                                                                <w:bottom w:val="none" w:sz="0" w:space="0" w:color="auto"/>
                                                                <w:right w:val="none" w:sz="0" w:space="0" w:color="auto"/>
                                                              </w:divBdr>
                                                              <w:divsChild>
                                                                <w:div w:id="361173715">
                                                                  <w:marLeft w:val="0"/>
                                                                  <w:marRight w:val="0"/>
                                                                  <w:marTop w:val="0"/>
                                                                  <w:marBottom w:val="0"/>
                                                                  <w:divBdr>
                                                                    <w:top w:val="none" w:sz="0" w:space="0" w:color="auto"/>
                                                                    <w:left w:val="none" w:sz="0" w:space="0" w:color="auto"/>
                                                                    <w:bottom w:val="none" w:sz="0" w:space="0" w:color="auto"/>
                                                                    <w:right w:val="none" w:sz="0" w:space="0" w:color="auto"/>
                                                                  </w:divBdr>
                                                                </w:div>
                                                                <w:div w:id="479343002">
                                                                  <w:marLeft w:val="0"/>
                                                                  <w:marRight w:val="0"/>
                                                                  <w:marTop w:val="0"/>
                                                                  <w:marBottom w:val="0"/>
                                                                  <w:divBdr>
                                                                    <w:top w:val="none" w:sz="0" w:space="0" w:color="auto"/>
                                                                    <w:left w:val="none" w:sz="0" w:space="0" w:color="auto"/>
                                                                    <w:bottom w:val="none" w:sz="0" w:space="0" w:color="auto"/>
                                                                    <w:right w:val="none" w:sz="0" w:space="0" w:color="auto"/>
                                                                  </w:divBdr>
                                                                </w:div>
                                                                <w:div w:id="1537353825">
                                                                  <w:marLeft w:val="0"/>
                                                                  <w:marRight w:val="0"/>
                                                                  <w:marTop w:val="0"/>
                                                                  <w:marBottom w:val="0"/>
                                                                  <w:divBdr>
                                                                    <w:top w:val="none" w:sz="0" w:space="0" w:color="auto"/>
                                                                    <w:left w:val="none" w:sz="0" w:space="0" w:color="auto"/>
                                                                    <w:bottom w:val="none" w:sz="0" w:space="0" w:color="auto"/>
                                                                    <w:right w:val="none" w:sz="0" w:space="0" w:color="auto"/>
                                                                  </w:divBdr>
                                                                  <w:divsChild>
                                                                    <w:div w:id="143566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4626250">
                                                  <w:marLeft w:val="0"/>
                                                  <w:marRight w:val="0"/>
                                                  <w:marTop w:val="0"/>
                                                  <w:marBottom w:val="0"/>
                                                  <w:divBdr>
                                                    <w:top w:val="none" w:sz="0" w:space="0" w:color="auto"/>
                                                    <w:left w:val="none" w:sz="0" w:space="0" w:color="auto"/>
                                                    <w:bottom w:val="none" w:sz="0" w:space="0" w:color="auto"/>
                                                    <w:right w:val="none" w:sz="0" w:space="0" w:color="auto"/>
                                                  </w:divBdr>
                                                  <w:divsChild>
                                                    <w:div w:id="1490053497">
                                                      <w:marLeft w:val="0"/>
                                                      <w:marRight w:val="0"/>
                                                      <w:marTop w:val="0"/>
                                                      <w:marBottom w:val="0"/>
                                                      <w:divBdr>
                                                        <w:top w:val="none" w:sz="0" w:space="0" w:color="auto"/>
                                                        <w:left w:val="none" w:sz="0" w:space="0" w:color="auto"/>
                                                        <w:bottom w:val="none" w:sz="0" w:space="0" w:color="auto"/>
                                                        <w:right w:val="none" w:sz="0" w:space="0" w:color="auto"/>
                                                      </w:divBdr>
                                                      <w:divsChild>
                                                        <w:div w:id="525020088">
                                                          <w:marLeft w:val="0"/>
                                                          <w:marRight w:val="0"/>
                                                          <w:marTop w:val="0"/>
                                                          <w:marBottom w:val="0"/>
                                                          <w:divBdr>
                                                            <w:top w:val="none" w:sz="0" w:space="0" w:color="auto"/>
                                                            <w:left w:val="none" w:sz="0" w:space="0" w:color="auto"/>
                                                            <w:bottom w:val="none" w:sz="0" w:space="0" w:color="auto"/>
                                                            <w:right w:val="none" w:sz="0" w:space="0" w:color="auto"/>
                                                          </w:divBdr>
                                                          <w:divsChild>
                                                            <w:div w:id="1189833202">
                                                              <w:marLeft w:val="0"/>
                                                              <w:marRight w:val="0"/>
                                                              <w:marTop w:val="0"/>
                                                              <w:marBottom w:val="0"/>
                                                              <w:divBdr>
                                                                <w:top w:val="none" w:sz="0" w:space="0" w:color="auto"/>
                                                                <w:left w:val="none" w:sz="0" w:space="0" w:color="auto"/>
                                                                <w:bottom w:val="none" w:sz="0" w:space="0" w:color="auto"/>
                                                                <w:right w:val="none" w:sz="0" w:space="0" w:color="auto"/>
                                                              </w:divBdr>
                                                            </w:div>
                                                            <w:div w:id="1286622665">
                                                              <w:marLeft w:val="0"/>
                                                              <w:marRight w:val="0"/>
                                                              <w:marTop w:val="0"/>
                                                              <w:marBottom w:val="0"/>
                                                              <w:divBdr>
                                                                <w:top w:val="none" w:sz="0" w:space="0" w:color="auto"/>
                                                                <w:left w:val="none" w:sz="0" w:space="0" w:color="auto"/>
                                                                <w:bottom w:val="none" w:sz="0" w:space="0" w:color="auto"/>
                                                                <w:right w:val="none" w:sz="0" w:space="0" w:color="auto"/>
                                                              </w:divBdr>
                                                              <w:divsChild>
                                                                <w:div w:id="42484607">
                                                                  <w:marLeft w:val="0"/>
                                                                  <w:marRight w:val="0"/>
                                                                  <w:marTop w:val="0"/>
                                                                  <w:marBottom w:val="0"/>
                                                                  <w:divBdr>
                                                                    <w:top w:val="none" w:sz="0" w:space="0" w:color="auto"/>
                                                                    <w:left w:val="none" w:sz="0" w:space="0" w:color="auto"/>
                                                                    <w:bottom w:val="none" w:sz="0" w:space="0" w:color="auto"/>
                                                                    <w:right w:val="none" w:sz="0" w:space="0" w:color="auto"/>
                                                                  </w:divBdr>
                                                                  <w:divsChild>
                                                                    <w:div w:id="1265383244">
                                                                      <w:marLeft w:val="0"/>
                                                                      <w:marRight w:val="0"/>
                                                                      <w:marTop w:val="0"/>
                                                                      <w:marBottom w:val="0"/>
                                                                      <w:divBdr>
                                                                        <w:top w:val="none" w:sz="0" w:space="0" w:color="auto"/>
                                                                        <w:left w:val="none" w:sz="0" w:space="0" w:color="auto"/>
                                                                        <w:bottom w:val="none" w:sz="0" w:space="0" w:color="auto"/>
                                                                        <w:right w:val="none" w:sz="0" w:space="0" w:color="auto"/>
                                                                      </w:divBdr>
                                                                      <w:divsChild>
                                                                        <w:div w:id="2009937996">
                                                                          <w:marLeft w:val="0"/>
                                                                          <w:marRight w:val="0"/>
                                                                          <w:marTop w:val="0"/>
                                                                          <w:marBottom w:val="0"/>
                                                                          <w:divBdr>
                                                                            <w:top w:val="none" w:sz="0" w:space="0" w:color="auto"/>
                                                                            <w:left w:val="none" w:sz="0" w:space="0" w:color="auto"/>
                                                                            <w:bottom w:val="none" w:sz="0" w:space="0" w:color="auto"/>
                                                                            <w:right w:val="none" w:sz="0" w:space="0" w:color="auto"/>
                                                                          </w:divBdr>
                                                                          <w:divsChild>
                                                                            <w:div w:id="135542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10788">
                                                                  <w:marLeft w:val="0"/>
                                                                  <w:marRight w:val="0"/>
                                                                  <w:marTop w:val="0"/>
                                                                  <w:marBottom w:val="0"/>
                                                                  <w:divBdr>
                                                                    <w:top w:val="none" w:sz="0" w:space="0" w:color="auto"/>
                                                                    <w:left w:val="none" w:sz="0" w:space="0" w:color="auto"/>
                                                                    <w:bottom w:val="none" w:sz="0" w:space="0" w:color="auto"/>
                                                                    <w:right w:val="none" w:sz="0" w:space="0" w:color="auto"/>
                                                                  </w:divBdr>
                                                                  <w:divsChild>
                                                                    <w:div w:id="1323510687">
                                                                      <w:marLeft w:val="0"/>
                                                                      <w:marRight w:val="0"/>
                                                                      <w:marTop w:val="0"/>
                                                                      <w:marBottom w:val="0"/>
                                                                      <w:divBdr>
                                                                        <w:top w:val="none" w:sz="0" w:space="0" w:color="auto"/>
                                                                        <w:left w:val="none" w:sz="0" w:space="0" w:color="auto"/>
                                                                        <w:bottom w:val="none" w:sz="0" w:space="0" w:color="auto"/>
                                                                        <w:right w:val="none" w:sz="0" w:space="0" w:color="auto"/>
                                                                      </w:divBdr>
                                                                      <w:divsChild>
                                                                        <w:div w:id="1844389589">
                                                                          <w:marLeft w:val="0"/>
                                                                          <w:marRight w:val="0"/>
                                                                          <w:marTop w:val="0"/>
                                                                          <w:marBottom w:val="0"/>
                                                                          <w:divBdr>
                                                                            <w:top w:val="single" w:sz="12" w:space="2" w:color="FFFFFF"/>
                                                                            <w:left w:val="single" w:sz="12" w:space="3" w:color="FFFFFF"/>
                                                                            <w:bottom w:val="single" w:sz="12" w:space="2" w:color="FFFFFF"/>
                                                                            <w:right w:val="single" w:sz="12" w:space="6" w:color="FFFFFF"/>
                                                                          </w:divBdr>
                                                                          <w:divsChild>
                                                                            <w:div w:id="1190409800">
                                                                              <w:marLeft w:val="0"/>
                                                                              <w:marRight w:val="0"/>
                                                                              <w:marTop w:val="0"/>
                                                                              <w:marBottom w:val="0"/>
                                                                              <w:divBdr>
                                                                                <w:top w:val="none" w:sz="0" w:space="0" w:color="auto"/>
                                                                                <w:left w:val="none" w:sz="0" w:space="0" w:color="auto"/>
                                                                                <w:bottom w:val="none" w:sz="0" w:space="0" w:color="auto"/>
                                                                                <w:right w:val="none" w:sz="0" w:space="0" w:color="auto"/>
                                                                              </w:divBdr>
                                                                            </w:div>
                                                                          </w:divsChild>
                                                                        </w:div>
                                                                        <w:div w:id="1967932489">
                                                                          <w:marLeft w:val="0"/>
                                                                          <w:marRight w:val="0"/>
                                                                          <w:marTop w:val="0"/>
                                                                          <w:marBottom w:val="0"/>
                                                                          <w:divBdr>
                                                                            <w:top w:val="none" w:sz="0" w:space="0" w:color="auto"/>
                                                                            <w:left w:val="none" w:sz="0" w:space="0" w:color="auto"/>
                                                                            <w:bottom w:val="none" w:sz="0" w:space="0" w:color="auto"/>
                                                                            <w:right w:val="none" w:sz="0" w:space="0" w:color="auto"/>
                                                                          </w:divBdr>
                                                                          <w:divsChild>
                                                                            <w:div w:id="371611340">
                                                                              <w:marLeft w:val="0"/>
                                                                              <w:marRight w:val="0"/>
                                                                              <w:marTop w:val="0"/>
                                                                              <w:marBottom w:val="0"/>
                                                                              <w:divBdr>
                                                                                <w:top w:val="single" w:sz="12" w:space="3" w:color="FFFFFF"/>
                                                                                <w:left w:val="single" w:sz="12" w:space="3" w:color="FFFFFF"/>
                                                                                <w:bottom w:val="single" w:sz="12" w:space="3" w:color="FFFFFF"/>
                                                                                <w:right w:val="single" w:sz="12" w:space="3" w:color="FFFFFF"/>
                                                                              </w:divBdr>
                                                                              <w:divsChild>
                                                                                <w:div w:id="11298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500242">
                                                                  <w:marLeft w:val="0"/>
                                                                  <w:marRight w:val="0"/>
                                                                  <w:marTop w:val="0"/>
                                                                  <w:marBottom w:val="0"/>
                                                                  <w:divBdr>
                                                                    <w:top w:val="none" w:sz="0" w:space="0" w:color="auto"/>
                                                                    <w:left w:val="none" w:sz="0" w:space="0" w:color="auto"/>
                                                                    <w:bottom w:val="none" w:sz="0" w:space="0" w:color="auto"/>
                                                                    <w:right w:val="none" w:sz="0" w:space="0" w:color="auto"/>
                                                                  </w:divBdr>
                                                                  <w:divsChild>
                                                                    <w:div w:id="690373747">
                                                                      <w:marLeft w:val="0"/>
                                                                      <w:marRight w:val="0"/>
                                                                      <w:marTop w:val="0"/>
                                                                      <w:marBottom w:val="0"/>
                                                                      <w:divBdr>
                                                                        <w:top w:val="none" w:sz="0" w:space="0" w:color="auto"/>
                                                                        <w:left w:val="none" w:sz="0" w:space="0" w:color="auto"/>
                                                                        <w:bottom w:val="none" w:sz="0" w:space="0" w:color="auto"/>
                                                                        <w:right w:val="none" w:sz="0" w:space="0" w:color="auto"/>
                                                                      </w:divBdr>
                                                                      <w:divsChild>
                                                                        <w:div w:id="1698387818">
                                                                          <w:marLeft w:val="0"/>
                                                                          <w:marRight w:val="0"/>
                                                                          <w:marTop w:val="0"/>
                                                                          <w:marBottom w:val="0"/>
                                                                          <w:divBdr>
                                                                            <w:top w:val="none" w:sz="0" w:space="0" w:color="auto"/>
                                                                            <w:left w:val="none" w:sz="0" w:space="0" w:color="auto"/>
                                                                            <w:bottom w:val="none" w:sz="0" w:space="0" w:color="auto"/>
                                                                            <w:right w:val="none" w:sz="0" w:space="0" w:color="auto"/>
                                                                          </w:divBdr>
                                                                          <w:divsChild>
                                                                            <w:div w:id="149260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669657">
                                                                  <w:marLeft w:val="0"/>
                                                                  <w:marRight w:val="0"/>
                                                                  <w:marTop w:val="0"/>
                                                                  <w:marBottom w:val="0"/>
                                                                  <w:divBdr>
                                                                    <w:top w:val="none" w:sz="0" w:space="0" w:color="auto"/>
                                                                    <w:left w:val="none" w:sz="0" w:space="0" w:color="auto"/>
                                                                    <w:bottom w:val="none" w:sz="0" w:space="0" w:color="auto"/>
                                                                    <w:right w:val="none" w:sz="0" w:space="0" w:color="auto"/>
                                                                  </w:divBdr>
                                                                  <w:divsChild>
                                                                    <w:div w:id="687295087">
                                                                      <w:marLeft w:val="0"/>
                                                                      <w:marRight w:val="0"/>
                                                                      <w:marTop w:val="0"/>
                                                                      <w:marBottom w:val="0"/>
                                                                      <w:divBdr>
                                                                        <w:top w:val="none" w:sz="0" w:space="0" w:color="auto"/>
                                                                        <w:left w:val="none" w:sz="0" w:space="0" w:color="auto"/>
                                                                        <w:bottom w:val="none" w:sz="0" w:space="0" w:color="auto"/>
                                                                        <w:right w:val="none" w:sz="0" w:space="0" w:color="auto"/>
                                                                      </w:divBdr>
                                                                      <w:divsChild>
                                                                        <w:div w:id="1625235676">
                                                                          <w:marLeft w:val="0"/>
                                                                          <w:marRight w:val="0"/>
                                                                          <w:marTop w:val="0"/>
                                                                          <w:marBottom w:val="0"/>
                                                                          <w:divBdr>
                                                                            <w:top w:val="none" w:sz="0" w:space="0" w:color="auto"/>
                                                                            <w:left w:val="none" w:sz="0" w:space="0" w:color="auto"/>
                                                                            <w:bottom w:val="none" w:sz="0" w:space="0" w:color="auto"/>
                                                                            <w:right w:val="none" w:sz="0" w:space="0" w:color="auto"/>
                                                                          </w:divBdr>
                                                                          <w:divsChild>
                                                                            <w:div w:id="300039448">
                                                                              <w:marLeft w:val="0"/>
                                                                              <w:marRight w:val="0"/>
                                                                              <w:marTop w:val="0"/>
                                                                              <w:marBottom w:val="0"/>
                                                                              <w:divBdr>
                                                                                <w:top w:val="single" w:sz="12" w:space="3" w:color="FFFFFF"/>
                                                                                <w:left w:val="single" w:sz="12" w:space="3" w:color="FFFFFF"/>
                                                                                <w:bottom w:val="single" w:sz="12" w:space="3" w:color="FFFFFF"/>
                                                                                <w:right w:val="single" w:sz="12" w:space="3" w:color="FFFFFF"/>
                                                                              </w:divBdr>
                                                                              <w:divsChild>
                                                                                <w:div w:id="207619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148821">
                                                                          <w:marLeft w:val="0"/>
                                                                          <w:marRight w:val="0"/>
                                                                          <w:marTop w:val="0"/>
                                                                          <w:marBottom w:val="0"/>
                                                                          <w:divBdr>
                                                                            <w:top w:val="single" w:sz="12" w:space="2" w:color="FFFFFF"/>
                                                                            <w:left w:val="single" w:sz="12" w:space="3" w:color="FFFFFF"/>
                                                                            <w:bottom w:val="single" w:sz="12" w:space="2" w:color="FFFFFF"/>
                                                                            <w:right w:val="single" w:sz="12" w:space="6" w:color="FFFFFF"/>
                                                                          </w:divBdr>
                                                                          <w:divsChild>
                                                                            <w:div w:id="64436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907835">
                                                                  <w:marLeft w:val="0"/>
                                                                  <w:marRight w:val="0"/>
                                                                  <w:marTop w:val="0"/>
                                                                  <w:marBottom w:val="0"/>
                                                                  <w:divBdr>
                                                                    <w:top w:val="none" w:sz="0" w:space="0" w:color="auto"/>
                                                                    <w:left w:val="none" w:sz="0" w:space="0" w:color="auto"/>
                                                                    <w:bottom w:val="none" w:sz="0" w:space="0" w:color="auto"/>
                                                                    <w:right w:val="none" w:sz="0" w:space="0" w:color="auto"/>
                                                                  </w:divBdr>
                                                                </w:div>
                                                                <w:div w:id="632951712">
                                                                  <w:marLeft w:val="0"/>
                                                                  <w:marRight w:val="0"/>
                                                                  <w:marTop w:val="0"/>
                                                                  <w:marBottom w:val="0"/>
                                                                  <w:divBdr>
                                                                    <w:top w:val="none" w:sz="0" w:space="0" w:color="auto"/>
                                                                    <w:left w:val="none" w:sz="0" w:space="0" w:color="auto"/>
                                                                    <w:bottom w:val="none" w:sz="0" w:space="0" w:color="auto"/>
                                                                    <w:right w:val="none" w:sz="0" w:space="0" w:color="auto"/>
                                                                  </w:divBdr>
                                                                  <w:divsChild>
                                                                    <w:div w:id="2056078038">
                                                                      <w:marLeft w:val="0"/>
                                                                      <w:marRight w:val="0"/>
                                                                      <w:marTop w:val="0"/>
                                                                      <w:marBottom w:val="0"/>
                                                                      <w:divBdr>
                                                                        <w:top w:val="none" w:sz="0" w:space="0" w:color="auto"/>
                                                                        <w:left w:val="none" w:sz="0" w:space="0" w:color="auto"/>
                                                                        <w:bottom w:val="none" w:sz="0" w:space="0" w:color="auto"/>
                                                                        <w:right w:val="none" w:sz="0" w:space="0" w:color="auto"/>
                                                                      </w:divBdr>
                                                                      <w:divsChild>
                                                                        <w:div w:id="548807312">
                                                                          <w:marLeft w:val="0"/>
                                                                          <w:marRight w:val="0"/>
                                                                          <w:marTop w:val="0"/>
                                                                          <w:marBottom w:val="0"/>
                                                                          <w:divBdr>
                                                                            <w:top w:val="none" w:sz="0" w:space="0" w:color="auto"/>
                                                                            <w:left w:val="none" w:sz="0" w:space="0" w:color="auto"/>
                                                                            <w:bottom w:val="none" w:sz="0" w:space="0" w:color="auto"/>
                                                                            <w:right w:val="none" w:sz="0" w:space="0" w:color="auto"/>
                                                                          </w:divBdr>
                                                                          <w:divsChild>
                                                                            <w:div w:id="50436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231642">
                                                                  <w:marLeft w:val="0"/>
                                                                  <w:marRight w:val="0"/>
                                                                  <w:marTop w:val="0"/>
                                                                  <w:marBottom w:val="0"/>
                                                                  <w:divBdr>
                                                                    <w:top w:val="none" w:sz="0" w:space="0" w:color="auto"/>
                                                                    <w:left w:val="none" w:sz="0" w:space="0" w:color="auto"/>
                                                                    <w:bottom w:val="none" w:sz="0" w:space="0" w:color="auto"/>
                                                                    <w:right w:val="none" w:sz="0" w:space="0" w:color="auto"/>
                                                                  </w:divBdr>
                                                                </w:div>
                                                                <w:div w:id="1686054686">
                                                                  <w:marLeft w:val="0"/>
                                                                  <w:marRight w:val="0"/>
                                                                  <w:marTop w:val="0"/>
                                                                  <w:marBottom w:val="0"/>
                                                                  <w:divBdr>
                                                                    <w:top w:val="none" w:sz="0" w:space="0" w:color="auto"/>
                                                                    <w:left w:val="none" w:sz="0" w:space="0" w:color="auto"/>
                                                                    <w:bottom w:val="none" w:sz="0" w:space="0" w:color="auto"/>
                                                                    <w:right w:val="none" w:sz="0" w:space="0" w:color="auto"/>
                                                                  </w:divBdr>
                                                                  <w:divsChild>
                                                                    <w:div w:id="223491702">
                                                                      <w:marLeft w:val="0"/>
                                                                      <w:marRight w:val="0"/>
                                                                      <w:marTop w:val="0"/>
                                                                      <w:marBottom w:val="0"/>
                                                                      <w:divBdr>
                                                                        <w:top w:val="none" w:sz="0" w:space="0" w:color="auto"/>
                                                                        <w:left w:val="none" w:sz="0" w:space="0" w:color="auto"/>
                                                                        <w:bottom w:val="none" w:sz="0" w:space="0" w:color="auto"/>
                                                                        <w:right w:val="none" w:sz="0" w:space="0" w:color="auto"/>
                                                                      </w:divBdr>
                                                                      <w:divsChild>
                                                                        <w:div w:id="1152647218">
                                                                          <w:marLeft w:val="0"/>
                                                                          <w:marRight w:val="0"/>
                                                                          <w:marTop w:val="0"/>
                                                                          <w:marBottom w:val="0"/>
                                                                          <w:divBdr>
                                                                            <w:top w:val="none" w:sz="0" w:space="0" w:color="auto"/>
                                                                            <w:left w:val="none" w:sz="0" w:space="0" w:color="auto"/>
                                                                            <w:bottom w:val="none" w:sz="0" w:space="0" w:color="auto"/>
                                                                            <w:right w:val="none" w:sz="0" w:space="0" w:color="auto"/>
                                                                          </w:divBdr>
                                                                          <w:divsChild>
                                                                            <w:div w:id="86483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731918">
                                                                  <w:marLeft w:val="0"/>
                                                                  <w:marRight w:val="0"/>
                                                                  <w:marTop w:val="0"/>
                                                                  <w:marBottom w:val="0"/>
                                                                  <w:divBdr>
                                                                    <w:top w:val="none" w:sz="0" w:space="0" w:color="auto"/>
                                                                    <w:left w:val="none" w:sz="0" w:space="0" w:color="auto"/>
                                                                    <w:bottom w:val="none" w:sz="0" w:space="0" w:color="auto"/>
                                                                    <w:right w:val="none" w:sz="0" w:space="0" w:color="auto"/>
                                                                  </w:divBdr>
                                                                  <w:divsChild>
                                                                    <w:div w:id="1607083430">
                                                                      <w:marLeft w:val="0"/>
                                                                      <w:marRight w:val="0"/>
                                                                      <w:marTop w:val="0"/>
                                                                      <w:marBottom w:val="0"/>
                                                                      <w:divBdr>
                                                                        <w:top w:val="none" w:sz="0" w:space="0" w:color="auto"/>
                                                                        <w:left w:val="none" w:sz="0" w:space="0" w:color="auto"/>
                                                                        <w:bottom w:val="none" w:sz="0" w:space="0" w:color="auto"/>
                                                                        <w:right w:val="none" w:sz="0" w:space="0" w:color="auto"/>
                                                                      </w:divBdr>
                                                                      <w:divsChild>
                                                                        <w:div w:id="376660059">
                                                                          <w:marLeft w:val="0"/>
                                                                          <w:marRight w:val="0"/>
                                                                          <w:marTop w:val="0"/>
                                                                          <w:marBottom w:val="0"/>
                                                                          <w:divBdr>
                                                                            <w:top w:val="none" w:sz="0" w:space="0" w:color="auto"/>
                                                                            <w:left w:val="none" w:sz="0" w:space="0" w:color="auto"/>
                                                                            <w:bottom w:val="none" w:sz="0" w:space="0" w:color="auto"/>
                                                                            <w:right w:val="none" w:sz="0" w:space="0" w:color="auto"/>
                                                                          </w:divBdr>
                                                                          <w:divsChild>
                                                                            <w:div w:id="148450271">
                                                                              <w:marLeft w:val="0"/>
                                                                              <w:marRight w:val="0"/>
                                                                              <w:marTop w:val="0"/>
                                                                              <w:marBottom w:val="0"/>
                                                                              <w:divBdr>
                                                                                <w:top w:val="single" w:sz="12" w:space="3" w:color="FFFFFF"/>
                                                                                <w:left w:val="single" w:sz="12" w:space="3" w:color="FFFFFF"/>
                                                                                <w:bottom w:val="single" w:sz="12" w:space="3" w:color="FFFFFF"/>
                                                                                <w:right w:val="single" w:sz="12" w:space="3" w:color="FFFFFF"/>
                                                                              </w:divBdr>
                                                                              <w:divsChild>
                                                                                <w:div w:id="1227645976">
                                                                                  <w:marLeft w:val="0"/>
                                                                                  <w:marRight w:val="0"/>
                                                                                  <w:marTop w:val="0"/>
                                                                                  <w:marBottom w:val="0"/>
                                                                                  <w:divBdr>
                                                                                    <w:top w:val="none" w:sz="0" w:space="0" w:color="auto"/>
                                                                                    <w:left w:val="none" w:sz="0" w:space="0" w:color="auto"/>
                                                                                    <w:bottom w:val="none" w:sz="0" w:space="0" w:color="auto"/>
                                                                                    <w:right w:val="none" w:sz="0" w:space="0" w:color="auto"/>
                                                                                  </w:divBdr>
                                                                                </w:div>
                                                                              </w:divsChild>
                                                                            </w:div>
                                                                            <w:div w:id="714741276">
                                                                              <w:marLeft w:val="0"/>
                                                                              <w:marRight w:val="0"/>
                                                                              <w:marTop w:val="0"/>
                                                                              <w:marBottom w:val="0"/>
                                                                              <w:divBdr>
                                                                                <w:top w:val="single" w:sz="12" w:space="3" w:color="FFFFFF"/>
                                                                                <w:left w:val="single" w:sz="12" w:space="3" w:color="FFFFFF"/>
                                                                                <w:bottom w:val="single" w:sz="12" w:space="3" w:color="FFFFFF"/>
                                                                                <w:right w:val="single" w:sz="12" w:space="3" w:color="FFFFFF"/>
                                                                              </w:divBdr>
                                                                              <w:divsChild>
                                                                                <w:div w:id="87932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56378">
                                                                          <w:marLeft w:val="0"/>
                                                                          <w:marRight w:val="0"/>
                                                                          <w:marTop w:val="0"/>
                                                                          <w:marBottom w:val="0"/>
                                                                          <w:divBdr>
                                                                            <w:top w:val="single" w:sz="12" w:space="2" w:color="FFFFFF"/>
                                                                            <w:left w:val="single" w:sz="12" w:space="3" w:color="FFFFFF"/>
                                                                            <w:bottom w:val="single" w:sz="12" w:space="2" w:color="FFFFFF"/>
                                                                            <w:right w:val="single" w:sz="12" w:space="6" w:color="FFFFFF"/>
                                                                          </w:divBdr>
                                                                          <w:divsChild>
                                                                            <w:div w:id="37173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628951">
                                                              <w:marLeft w:val="0"/>
                                                              <w:marRight w:val="0"/>
                                                              <w:marTop w:val="0"/>
                                                              <w:marBottom w:val="0"/>
                                                              <w:divBdr>
                                                                <w:top w:val="none" w:sz="0" w:space="0" w:color="auto"/>
                                                                <w:left w:val="none" w:sz="0" w:space="0" w:color="auto"/>
                                                                <w:bottom w:val="none" w:sz="0" w:space="0" w:color="auto"/>
                                                                <w:right w:val="none" w:sz="0" w:space="0" w:color="auto"/>
                                                              </w:divBdr>
                                                              <w:divsChild>
                                                                <w:div w:id="8211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9283155">
          <w:marLeft w:val="0"/>
          <w:marRight w:val="0"/>
          <w:marTop w:val="0"/>
          <w:marBottom w:val="0"/>
          <w:divBdr>
            <w:top w:val="none" w:sz="0" w:space="0" w:color="auto"/>
            <w:left w:val="none" w:sz="0" w:space="0" w:color="auto"/>
            <w:bottom w:val="none" w:sz="0" w:space="0" w:color="auto"/>
            <w:right w:val="none" w:sz="0" w:space="0" w:color="auto"/>
          </w:divBdr>
          <w:divsChild>
            <w:div w:id="320545126">
              <w:marLeft w:val="0"/>
              <w:marRight w:val="0"/>
              <w:marTop w:val="0"/>
              <w:marBottom w:val="0"/>
              <w:divBdr>
                <w:top w:val="none" w:sz="0" w:space="0" w:color="auto"/>
                <w:left w:val="none" w:sz="0" w:space="0" w:color="auto"/>
                <w:bottom w:val="none" w:sz="0" w:space="0" w:color="auto"/>
                <w:right w:val="none" w:sz="0" w:space="0" w:color="auto"/>
              </w:divBdr>
              <w:divsChild>
                <w:div w:id="277106646">
                  <w:marLeft w:val="0"/>
                  <w:marRight w:val="0"/>
                  <w:marTop w:val="0"/>
                  <w:marBottom w:val="0"/>
                  <w:divBdr>
                    <w:top w:val="none" w:sz="0" w:space="0" w:color="auto"/>
                    <w:left w:val="none" w:sz="0" w:space="0" w:color="auto"/>
                    <w:bottom w:val="none" w:sz="0" w:space="0" w:color="auto"/>
                    <w:right w:val="none" w:sz="0" w:space="0" w:color="auto"/>
                  </w:divBdr>
                </w:div>
                <w:div w:id="570651820">
                  <w:marLeft w:val="0"/>
                  <w:marRight w:val="0"/>
                  <w:marTop w:val="0"/>
                  <w:marBottom w:val="0"/>
                  <w:divBdr>
                    <w:top w:val="none" w:sz="0" w:space="0" w:color="auto"/>
                    <w:left w:val="none" w:sz="0" w:space="0" w:color="auto"/>
                    <w:bottom w:val="none" w:sz="0" w:space="0" w:color="auto"/>
                    <w:right w:val="none" w:sz="0" w:space="0" w:color="auto"/>
                  </w:divBdr>
                  <w:divsChild>
                    <w:div w:id="169970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961439">
              <w:marLeft w:val="0"/>
              <w:marRight w:val="120"/>
              <w:marTop w:val="0"/>
              <w:marBottom w:val="0"/>
              <w:divBdr>
                <w:top w:val="none" w:sz="0" w:space="0" w:color="auto"/>
                <w:left w:val="none" w:sz="0" w:space="0" w:color="auto"/>
                <w:bottom w:val="none" w:sz="0" w:space="0" w:color="auto"/>
                <w:right w:val="none" w:sz="0" w:space="0" w:color="auto"/>
              </w:divBdr>
              <w:divsChild>
                <w:div w:id="198365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102865">
      <w:bodyDiv w:val="1"/>
      <w:marLeft w:val="0"/>
      <w:marRight w:val="0"/>
      <w:marTop w:val="0"/>
      <w:marBottom w:val="0"/>
      <w:divBdr>
        <w:top w:val="none" w:sz="0" w:space="0" w:color="auto"/>
        <w:left w:val="none" w:sz="0" w:space="0" w:color="auto"/>
        <w:bottom w:val="none" w:sz="0" w:space="0" w:color="auto"/>
        <w:right w:val="none" w:sz="0" w:space="0" w:color="auto"/>
      </w:divBdr>
      <w:divsChild>
        <w:div w:id="374742037">
          <w:marLeft w:val="0"/>
          <w:marRight w:val="0"/>
          <w:marTop w:val="0"/>
          <w:marBottom w:val="0"/>
          <w:divBdr>
            <w:top w:val="none" w:sz="0" w:space="0" w:color="auto"/>
            <w:left w:val="none" w:sz="0" w:space="0" w:color="auto"/>
            <w:bottom w:val="none" w:sz="0" w:space="0" w:color="auto"/>
            <w:right w:val="none" w:sz="0" w:space="0" w:color="auto"/>
          </w:divBdr>
        </w:div>
        <w:div w:id="1347440716">
          <w:marLeft w:val="0"/>
          <w:marRight w:val="0"/>
          <w:marTop w:val="0"/>
          <w:marBottom w:val="0"/>
          <w:divBdr>
            <w:top w:val="none" w:sz="0" w:space="0" w:color="auto"/>
            <w:left w:val="none" w:sz="0" w:space="0" w:color="auto"/>
            <w:bottom w:val="none" w:sz="0" w:space="0" w:color="auto"/>
            <w:right w:val="none" w:sz="0" w:space="0" w:color="auto"/>
          </w:divBdr>
        </w:div>
        <w:div w:id="1644580949">
          <w:marLeft w:val="0"/>
          <w:marRight w:val="0"/>
          <w:marTop w:val="0"/>
          <w:marBottom w:val="0"/>
          <w:divBdr>
            <w:top w:val="none" w:sz="0" w:space="0" w:color="auto"/>
            <w:left w:val="none" w:sz="0" w:space="0" w:color="auto"/>
            <w:bottom w:val="none" w:sz="0" w:space="0" w:color="auto"/>
            <w:right w:val="none" w:sz="0" w:space="0" w:color="auto"/>
          </w:divBdr>
        </w:div>
        <w:div w:id="1710178124">
          <w:marLeft w:val="0"/>
          <w:marRight w:val="0"/>
          <w:marTop w:val="0"/>
          <w:marBottom w:val="0"/>
          <w:divBdr>
            <w:top w:val="none" w:sz="0" w:space="0" w:color="auto"/>
            <w:left w:val="none" w:sz="0" w:space="0" w:color="auto"/>
            <w:bottom w:val="none" w:sz="0" w:space="0" w:color="auto"/>
            <w:right w:val="none" w:sz="0" w:space="0" w:color="auto"/>
          </w:divBdr>
        </w:div>
      </w:divsChild>
    </w:div>
    <w:div w:id="1600455118">
      <w:bodyDiv w:val="1"/>
      <w:marLeft w:val="0"/>
      <w:marRight w:val="0"/>
      <w:marTop w:val="0"/>
      <w:marBottom w:val="0"/>
      <w:divBdr>
        <w:top w:val="none" w:sz="0" w:space="0" w:color="auto"/>
        <w:left w:val="none" w:sz="0" w:space="0" w:color="auto"/>
        <w:bottom w:val="none" w:sz="0" w:space="0" w:color="auto"/>
        <w:right w:val="none" w:sz="0" w:space="0" w:color="auto"/>
      </w:divBdr>
      <w:divsChild>
        <w:div w:id="463155639">
          <w:marLeft w:val="0"/>
          <w:marRight w:val="0"/>
          <w:marTop w:val="0"/>
          <w:marBottom w:val="0"/>
          <w:divBdr>
            <w:top w:val="none" w:sz="0" w:space="0" w:color="auto"/>
            <w:left w:val="none" w:sz="0" w:space="0" w:color="auto"/>
            <w:bottom w:val="none" w:sz="0" w:space="0" w:color="auto"/>
            <w:right w:val="none" w:sz="0" w:space="0" w:color="auto"/>
          </w:divBdr>
        </w:div>
      </w:divsChild>
    </w:div>
    <w:div w:id="1610577332">
      <w:bodyDiv w:val="1"/>
      <w:marLeft w:val="0"/>
      <w:marRight w:val="0"/>
      <w:marTop w:val="0"/>
      <w:marBottom w:val="0"/>
      <w:divBdr>
        <w:top w:val="none" w:sz="0" w:space="0" w:color="auto"/>
        <w:left w:val="none" w:sz="0" w:space="0" w:color="auto"/>
        <w:bottom w:val="none" w:sz="0" w:space="0" w:color="auto"/>
        <w:right w:val="none" w:sz="0" w:space="0" w:color="auto"/>
      </w:divBdr>
    </w:div>
    <w:div w:id="1613243613">
      <w:bodyDiv w:val="1"/>
      <w:marLeft w:val="0"/>
      <w:marRight w:val="0"/>
      <w:marTop w:val="0"/>
      <w:marBottom w:val="0"/>
      <w:divBdr>
        <w:top w:val="none" w:sz="0" w:space="0" w:color="auto"/>
        <w:left w:val="none" w:sz="0" w:space="0" w:color="auto"/>
        <w:bottom w:val="none" w:sz="0" w:space="0" w:color="auto"/>
        <w:right w:val="none" w:sz="0" w:space="0" w:color="auto"/>
      </w:divBdr>
    </w:div>
    <w:div w:id="1666323536">
      <w:bodyDiv w:val="1"/>
      <w:marLeft w:val="0"/>
      <w:marRight w:val="0"/>
      <w:marTop w:val="0"/>
      <w:marBottom w:val="0"/>
      <w:divBdr>
        <w:top w:val="none" w:sz="0" w:space="0" w:color="auto"/>
        <w:left w:val="none" w:sz="0" w:space="0" w:color="auto"/>
        <w:bottom w:val="none" w:sz="0" w:space="0" w:color="auto"/>
        <w:right w:val="none" w:sz="0" w:space="0" w:color="auto"/>
      </w:divBdr>
    </w:div>
    <w:div w:id="1693338236">
      <w:bodyDiv w:val="1"/>
      <w:marLeft w:val="0"/>
      <w:marRight w:val="0"/>
      <w:marTop w:val="0"/>
      <w:marBottom w:val="0"/>
      <w:divBdr>
        <w:top w:val="none" w:sz="0" w:space="0" w:color="auto"/>
        <w:left w:val="none" w:sz="0" w:space="0" w:color="auto"/>
        <w:bottom w:val="none" w:sz="0" w:space="0" w:color="auto"/>
        <w:right w:val="none" w:sz="0" w:space="0" w:color="auto"/>
      </w:divBdr>
      <w:divsChild>
        <w:div w:id="256254949">
          <w:marLeft w:val="0"/>
          <w:marRight w:val="0"/>
          <w:marTop w:val="0"/>
          <w:marBottom w:val="0"/>
          <w:divBdr>
            <w:top w:val="none" w:sz="0" w:space="0" w:color="auto"/>
            <w:left w:val="none" w:sz="0" w:space="0" w:color="auto"/>
            <w:bottom w:val="none" w:sz="0" w:space="0" w:color="auto"/>
            <w:right w:val="none" w:sz="0" w:space="0" w:color="auto"/>
          </w:divBdr>
        </w:div>
        <w:div w:id="467554115">
          <w:marLeft w:val="0"/>
          <w:marRight w:val="0"/>
          <w:marTop w:val="0"/>
          <w:marBottom w:val="0"/>
          <w:divBdr>
            <w:top w:val="none" w:sz="0" w:space="0" w:color="auto"/>
            <w:left w:val="none" w:sz="0" w:space="0" w:color="auto"/>
            <w:bottom w:val="none" w:sz="0" w:space="0" w:color="auto"/>
            <w:right w:val="none" w:sz="0" w:space="0" w:color="auto"/>
          </w:divBdr>
        </w:div>
        <w:div w:id="1178615356">
          <w:marLeft w:val="0"/>
          <w:marRight w:val="0"/>
          <w:marTop w:val="0"/>
          <w:marBottom w:val="0"/>
          <w:divBdr>
            <w:top w:val="none" w:sz="0" w:space="0" w:color="auto"/>
            <w:left w:val="none" w:sz="0" w:space="0" w:color="auto"/>
            <w:bottom w:val="none" w:sz="0" w:space="0" w:color="auto"/>
            <w:right w:val="none" w:sz="0" w:space="0" w:color="auto"/>
          </w:divBdr>
        </w:div>
        <w:div w:id="1357272663">
          <w:marLeft w:val="0"/>
          <w:marRight w:val="0"/>
          <w:marTop w:val="0"/>
          <w:marBottom w:val="0"/>
          <w:divBdr>
            <w:top w:val="none" w:sz="0" w:space="0" w:color="auto"/>
            <w:left w:val="none" w:sz="0" w:space="0" w:color="auto"/>
            <w:bottom w:val="none" w:sz="0" w:space="0" w:color="auto"/>
            <w:right w:val="none" w:sz="0" w:space="0" w:color="auto"/>
          </w:divBdr>
        </w:div>
        <w:div w:id="1682706265">
          <w:marLeft w:val="0"/>
          <w:marRight w:val="0"/>
          <w:marTop w:val="0"/>
          <w:marBottom w:val="0"/>
          <w:divBdr>
            <w:top w:val="none" w:sz="0" w:space="0" w:color="auto"/>
            <w:left w:val="none" w:sz="0" w:space="0" w:color="auto"/>
            <w:bottom w:val="none" w:sz="0" w:space="0" w:color="auto"/>
            <w:right w:val="none" w:sz="0" w:space="0" w:color="auto"/>
          </w:divBdr>
        </w:div>
      </w:divsChild>
    </w:div>
    <w:div w:id="1695382800">
      <w:bodyDiv w:val="1"/>
      <w:marLeft w:val="0"/>
      <w:marRight w:val="0"/>
      <w:marTop w:val="0"/>
      <w:marBottom w:val="0"/>
      <w:divBdr>
        <w:top w:val="none" w:sz="0" w:space="0" w:color="auto"/>
        <w:left w:val="none" w:sz="0" w:space="0" w:color="auto"/>
        <w:bottom w:val="none" w:sz="0" w:space="0" w:color="auto"/>
        <w:right w:val="none" w:sz="0" w:space="0" w:color="auto"/>
      </w:divBdr>
    </w:div>
    <w:div w:id="1714160750">
      <w:bodyDiv w:val="1"/>
      <w:marLeft w:val="0"/>
      <w:marRight w:val="0"/>
      <w:marTop w:val="0"/>
      <w:marBottom w:val="0"/>
      <w:divBdr>
        <w:top w:val="none" w:sz="0" w:space="0" w:color="auto"/>
        <w:left w:val="none" w:sz="0" w:space="0" w:color="auto"/>
        <w:bottom w:val="none" w:sz="0" w:space="0" w:color="auto"/>
        <w:right w:val="none" w:sz="0" w:space="0" w:color="auto"/>
      </w:divBdr>
    </w:div>
    <w:div w:id="1748071938">
      <w:bodyDiv w:val="1"/>
      <w:marLeft w:val="0"/>
      <w:marRight w:val="0"/>
      <w:marTop w:val="0"/>
      <w:marBottom w:val="0"/>
      <w:divBdr>
        <w:top w:val="none" w:sz="0" w:space="0" w:color="auto"/>
        <w:left w:val="none" w:sz="0" w:space="0" w:color="auto"/>
        <w:bottom w:val="none" w:sz="0" w:space="0" w:color="auto"/>
        <w:right w:val="none" w:sz="0" w:space="0" w:color="auto"/>
      </w:divBdr>
      <w:divsChild>
        <w:div w:id="333194295">
          <w:marLeft w:val="0"/>
          <w:marRight w:val="0"/>
          <w:marTop w:val="0"/>
          <w:marBottom w:val="0"/>
          <w:divBdr>
            <w:top w:val="none" w:sz="0" w:space="0" w:color="auto"/>
            <w:left w:val="none" w:sz="0" w:space="0" w:color="auto"/>
            <w:bottom w:val="none" w:sz="0" w:space="0" w:color="auto"/>
            <w:right w:val="none" w:sz="0" w:space="0" w:color="auto"/>
          </w:divBdr>
        </w:div>
        <w:div w:id="1088573350">
          <w:marLeft w:val="0"/>
          <w:marRight w:val="0"/>
          <w:marTop w:val="0"/>
          <w:marBottom w:val="0"/>
          <w:divBdr>
            <w:top w:val="none" w:sz="0" w:space="0" w:color="auto"/>
            <w:left w:val="none" w:sz="0" w:space="0" w:color="auto"/>
            <w:bottom w:val="none" w:sz="0" w:space="0" w:color="auto"/>
            <w:right w:val="none" w:sz="0" w:space="0" w:color="auto"/>
          </w:divBdr>
        </w:div>
        <w:div w:id="1109275709">
          <w:marLeft w:val="0"/>
          <w:marRight w:val="0"/>
          <w:marTop w:val="0"/>
          <w:marBottom w:val="0"/>
          <w:divBdr>
            <w:top w:val="none" w:sz="0" w:space="0" w:color="auto"/>
            <w:left w:val="none" w:sz="0" w:space="0" w:color="auto"/>
            <w:bottom w:val="none" w:sz="0" w:space="0" w:color="auto"/>
            <w:right w:val="none" w:sz="0" w:space="0" w:color="auto"/>
          </w:divBdr>
        </w:div>
        <w:div w:id="2017534199">
          <w:marLeft w:val="0"/>
          <w:marRight w:val="0"/>
          <w:marTop w:val="0"/>
          <w:marBottom w:val="0"/>
          <w:divBdr>
            <w:top w:val="none" w:sz="0" w:space="0" w:color="auto"/>
            <w:left w:val="none" w:sz="0" w:space="0" w:color="auto"/>
            <w:bottom w:val="none" w:sz="0" w:space="0" w:color="auto"/>
            <w:right w:val="none" w:sz="0" w:space="0" w:color="auto"/>
          </w:divBdr>
        </w:div>
      </w:divsChild>
    </w:div>
    <w:div w:id="1785808766">
      <w:bodyDiv w:val="1"/>
      <w:marLeft w:val="0"/>
      <w:marRight w:val="0"/>
      <w:marTop w:val="0"/>
      <w:marBottom w:val="0"/>
      <w:divBdr>
        <w:top w:val="none" w:sz="0" w:space="0" w:color="auto"/>
        <w:left w:val="none" w:sz="0" w:space="0" w:color="auto"/>
        <w:bottom w:val="none" w:sz="0" w:space="0" w:color="auto"/>
        <w:right w:val="none" w:sz="0" w:space="0" w:color="auto"/>
      </w:divBdr>
    </w:div>
    <w:div w:id="1790781606">
      <w:bodyDiv w:val="1"/>
      <w:marLeft w:val="0"/>
      <w:marRight w:val="0"/>
      <w:marTop w:val="0"/>
      <w:marBottom w:val="0"/>
      <w:divBdr>
        <w:top w:val="none" w:sz="0" w:space="0" w:color="auto"/>
        <w:left w:val="none" w:sz="0" w:space="0" w:color="auto"/>
        <w:bottom w:val="none" w:sz="0" w:space="0" w:color="auto"/>
        <w:right w:val="none" w:sz="0" w:space="0" w:color="auto"/>
      </w:divBdr>
      <w:divsChild>
        <w:div w:id="657148352">
          <w:marLeft w:val="0"/>
          <w:marRight w:val="0"/>
          <w:marTop w:val="0"/>
          <w:marBottom w:val="0"/>
          <w:divBdr>
            <w:top w:val="none" w:sz="0" w:space="0" w:color="auto"/>
            <w:left w:val="none" w:sz="0" w:space="0" w:color="auto"/>
            <w:bottom w:val="none" w:sz="0" w:space="0" w:color="auto"/>
            <w:right w:val="none" w:sz="0" w:space="0" w:color="auto"/>
          </w:divBdr>
        </w:div>
      </w:divsChild>
    </w:div>
    <w:div w:id="1807090700">
      <w:bodyDiv w:val="1"/>
      <w:marLeft w:val="0"/>
      <w:marRight w:val="0"/>
      <w:marTop w:val="0"/>
      <w:marBottom w:val="0"/>
      <w:divBdr>
        <w:top w:val="none" w:sz="0" w:space="0" w:color="auto"/>
        <w:left w:val="none" w:sz="0" w:space="0" w:color="auto"/>
        <w:bottom w:val="none" w:sz="0" w:space="0" w:color="auto"/>
        <w:right w:val="none" w:sz="0" w:space="0" w:color="auto"/>
      </w:divBdr>
      <w:divsChild>
        <w:div w:id="1821774108">
          <w:marLeft w:val="0"/>
          <w:marRight w:val="0"/>
          <w:marTop w:val="0"/>
          <w:marBottom w:val="0"/>
          <w:divBdr>
            <w:top w:val="none" w:sz="0" w:space="0" w:color="auto"/>
            <w:left w:val="none" w:sz="0" w:space="0" w:color="auto"/>
            <w:bottom w:val="none" w:sz="0" w:space="0" w:color="auto"/>
            <w:right w:val="none" w:sz="0" w:space="0" w:color="auto"/>
          </w:divBdr>
          <w:divsChild>
            <w:div w:id="47653112">
              <w:marLeft w:val="0"/>
              <w:marRight w:val="0"/>
              <w:marTop w:val="0"/>
              <w:marBottom w:val="0"/>
              <w:divBdr>
                <w:top w:val="none" w:sz="0" w:space="0" w:color="auto"/>
                <w:left w:val="none" w:sz="0" w:space="0" w:color="auto"/>
                <w:bottom w:val="none" w:sz="0" w:space="0" w:color="auto"/>
                <w:right w:val="none" w:sz="0" w:space="0" w:color="auto"/>
              </w:divBdr>
            </w:div>
            <w:div w:id="1198278984">
              <w:marLeft w:val="0"/>
              <w:marRight w:val="0"/>
              <w:marTop w:val="0"/>
              <w:marBottom w:val="0"/>
              <w:divBdr>
                <w:top w:val="none" w:sz="0" w:space="0" w:color="auto"/>
                <w:left w:val="none" w:sz="0" w:space="0" w:color="auto"/>
                <w:bottom w:val="none" w:sz="0" w:space="0" w:color="auto"/>
                <w:right w:val="none" w:sz="0" w:space="0" w:color="auto"/>
              </w:divBdr>
            </w:div>
            <w:div w:id="142556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98646">
      <w:bodyDiv w:val="1"/>
      <w:marLeft w:val="0"/>
      <w:marRight w:val="0"/>
      <w:marTop w:val="0"/>
      <w:marBottom w:val="0"/>
      <w:divBdr>
        <w:top w:val="none" w:sz="0" w:space="0" w:color="auto"/>
        <w:left w:val="none" w:sz="0" w:space="0" w:color="auto"/>
        <w:bottom w:val="none" w:sz="0" w:space="0" w:color="auto"/>
        <w:right w:val="none" w:sz="0" w:space="0" w:color="auto"/>
      </w:divBdr>
      <w:divsChild>
        <w:div w:id="197478090">
          <w:marLeft w:val="0"/>
          <w:marRight w:val="0"/>
          <w:marTop w:val="0"/>
          <w:marBottom w:val="0"/>
          <w:divBdr>
            <w:top w:val="none" w:sz="0" w:space="0" w:color="auto"/>
            <w:left w:val="none" w:sz="0" w:space="0" w:color="auto"/>
            <w:bottom w:val="none" w:sz="0" w:space="0" w:color="auto"/>
            <w:right w:val="none" w:sz="0" w:space="0" w:color="auto"/>
          </w:divBdr>
        </w:div>
        <w:div w:id="1163669153">
          <w:marLeft w:val="0"/>
          <w:marRight w:val="0"/>
          <w:marTop w:val="0"/>
          <w:marBottom w:val="0"/>
          <w:divBdr>
            <w:top w:val="none" w:sz="0" w:space="0" w:color="auto"/>
            <w:left w:val="none" w:sz="0" w:space="0" w:color="auto"/>
            <w:bottom w:val="none" w:sz="0" w:space="0" w:color="auto"/>
            <w:right w:val="none" w:sz="0" w:space="0" w:color="auto"/>
          </w:divBdr>
        </w:div>
      </w:divsChild>
    </w:div>
    <w:div w:id="1862427557">
      <w:bodyDiv w:val="1"/>
      <w:marLeft w:val="0"/>
      <w:marRight w:val="0"/>
      <w:marTop w:val="0"/>
      <w:marBottom w:val="0"/>
      <w:divBdr>
        <w:top w:val="none" w:sz="0" w:space="0" w:color="auto"/>
        <w:left w:val="none" w:sz="0" w:space="0" w:color="auto"/>
        <w:bottom w:val="none" w:sz="0" w:space="0" w:color="auto"/>
        <w:right w:val="none" w:sz="0" w:space="0" w:color="auto"/>
      </w:divBdr>
      <w:divsChild>
        <w:div w:id="559488193">
          <w:marLeft w:val="0"/>
          <w:marRight w:val="0"/>
          <w:marTop w:val="0"/>
          <w:marBottom w:val="0"/>
          <w:divBdr>
            <w:top w:val="none" w:sz="0" w:space="0" w:color="auto"/>
            <w:left w:val="none" w:sz="0" w:space="0" w:color="auto"/>
            <w:bottom w:val="none" w:sz="0" w:space="0" w:color="auto"/>
            <w:right w:val="none" w:sz="0" w:space="0" w:color="auto"/>
          </w:divBdr>
        </w:div>
        <w:div w:id="574438911">
          <w:marLeft w:val="0"/>
          <w:marRight w:val="0"/>
          <w:marTop w:val="0"/>
          <w:marBottom w:val="0"/>
          <w:divBdr>
            <w:top w:val="none" w:sz="0" w:space="0" w:color="auto"/>
            <w:left w:val="none" w:sz="0" w:space="0" w:color="auto"/>
            <w:bottom w:val="none" w:sz="0" w:space="0" w:color="auto"/>
            <w:right w:val="none" w:sz="0" w:space="0" w:color="auto"/>
          </w:divBdr>
        </w:div>
        <w:div w:id="1081872688">
          <w:marLeft w:val="0"/>
          <w:marRight w:val="0"/>
          <w:marTop w:val="0"/>
          <w:marBottom w:val="0"/>
          <w:divBdr>
            <w:top w:val="none" w:sz="0" w:space="0" w:color="auto"/>
            <w:left w:val="none" w:sz="0" w:space="0" w:color="auto"/>
            <w:bottom w:val="none" w:sz="0" w:space="0" w:color="auto"/>
            <w:right w:val="none" w:sz="0" w:space="0" w:color="auto"/>
          </w:divBdr>
        </w:div>
        <w:div w:id="1580406733">
          <w:marLeft w:val="0"/>
          <w:marRight w:val="0"/>
          <w:marTop w:val="0"/>
          <w:marBottom w:val="0"/>
          <w:divBdr>
            <w:top w:val="none" w:sz="0" w:space="0" w:color="auto"/>
            <w:left w:val="none" w:sz="0" w:space="0" w:color="auto"/>
            <w:bottom w:val="none" w:sz="0" w:space="0" w:color="auto"/>
            <w:right w:val="none" w:sz="0" w:space="0" w:color="auto"/>
          </w:divBdr>
        </w:div>
        <w:div w:id="1762944107">
          <w:marLeft w:val="0"/>
          <w:marRight w:val="0"/>
          <w:marTop w:val="0"/>
          <w:marBottom w:val="0"/>
          <w:divBdr>
            <w:top w:val="none" w:sz="0" w:space="0" w:color="auto"/>
            <w:left w:val="none" w:sz="0" w:space="0" w:color="auto"/>
            <w:bottom w:val="none" w:sz="0" w:space="0" w:color="auto"/>
            <w:right w:val="none" w:sz="0" w:space="0" w:color="auto"/>
          </w:divBdr>
        </w:div>
        <w:div w:id="1972787278">
          <w:marLeft w:val="0"/>
          <w:marRight w:val="0"/>
          <w:marTop w:val="0"/>
          <w:marBottom w:val="0"/>
          <w:divBdr>
            <w:top w:val="none" w:sz="0" w:space="0" w:color="auto"/>
            <w:left w:val="none" w:sz="0" w:space="0" w:color="auto"/>
            <w:bottom w:val="none" w:sz="0" w:space="0" w:color="auto"/>
            <w:right w:val="none" w:sz="0" w:space="0" w:color="auto"/>
          </w:divBdr>
        </w:div>
      </w:divsChild>
    </w:div>
    <w:div w:id="1868640826">
      <w:bodyDiv w:val="1"/>
      <w:marLeft w:val="0"/>
      <w:marRight w:val="0"/>
      <w:marTop w:val="0"/>
      <w:marBottom w:val="0"/>
      <w:divBdr>
        <w:top w:val="none" w:sz="0" w:space="0" w:color="auto"/>
        <w:left w:val="none" w:sz="0" w:space="0" w:color="auto"/>
        <w:bottom w:val="none" w:sz="0" w:space="0" w:color="auto"/>
        <w:right w:val="none" w:sz="0" w:space="0" w:color="auto"/>
      </w:divBdr>
    </w:div>
    <w:div w:id="1883596742">
      <w:bodyDiv w:val="1"/>
      <w:marLeft w:val="0"/>
      <w:marRight w:val="0"/>
      <w:marTop w:val="0"/>
      <w:marBottom w:val="0"/>
      <w:divBdr>
        <w:top w:val="none" w:sz="0" w:space="0" w:color="auto"/>
        <w:left w:val="none" w:sz="0" w:space="0" w:color="auto"/>
        <w:bottom w:val="none" w:sz="0" w:space="0" w:color="auto"/>
        <w:right w:val="none" w:sz="0" w:space="0" w:color="auto"/>
      </w:divBdr>
      <w:divsChild>
        <w:div w:id="331572686">
          <w:marLeft w:val="0"/>
          <w:marRight w:val="0"/>
          <w:marTop w:val="0"/>
          <w:marBottom w:val="0"/>
          <w:divBdr>
            <w:top w:val="none" w:sz="0" w:space="0" w:color="auto"/>
            <w:left w:val="none" w:sz="0" w:space="0" w:color="auto"/>
            <w:bottom w:val="none" w:sz="0" w:space="0" w:color="auto"/>
            <w:right w:val="none" w:sz="0" w:space="0" w:color="auto"/>
          </w:divBdr>
        </w:div>
        <w:div w:id="438992522">
          <w:marLeft w:val="0"/>
          <w:marRight w:val="0"/>
          <w:marTop w:val="0"/>
          <w:marBottom w:val="0"/>
          <w:divBdr>
            <w:top w:val="none" w:sz="0" w:space="0" w:color="auto"/>
            <w:left w:val="none" w:sz="0" w:space="0" w:color="auto"/>
            <w:bottom w:val="none" w:sz="0" w:space="0" w:color="auto"/>
            <w:right w:val="none" w:sz="0" w:space="0" w:color="auto"/>
          </w:divBdr>
        </w:div>
        <w:div w:id="441001406">
          <w:marLeft w:val="0"/>
          <w:marRight w:val="0"/>
          <w:marTop w:val="0"/>
          <w:marBottom w:val="0"/>
          <w:divBdr>
            <w:top w:val="none" w:sz="0" w:space="0" w:color="auto"/>
            <w:left w:val="none" w:sz="0" w:space="0" w:color="auto"/>
            <w:bottom w:val="none" w:sz="0" w:space="0" w:color="auto"/>
            <w:right w:val="none" w:sz="0" w:space="0" w:color="auto"/>
          </w:divBdr>
        </w:div>
        <w:div w:id="596521698">
          <w:marLeft w:val="0"/>
          <w:marRight w:val="0"/>
          <w:marTop w:val="0"/>
          <w:marBottom w:val="0"/>
          <w:divBdr>
            <w:top w:val="none" w:sz="0" w:space="0" w:color="auto"/>
            <w:left w:val="none" w:sz="0" w:space="0" w:color="auto"/>
            <w:bottom w:val="none" w:sz="0" w:space="0" w:color="auto"/>
            <w:right w:val="none" w:sz="0" w:space="0" w:color="auto"/>
          </w:divBdr>
        </w:div>
        <w:div w:id="779690700">
          <w:marLeft w:val="0"/>
          <w:marRight w:val="0"/>
          <w:marTop w:val="0"/>
          <w:marBottom w:val="0"/>
          <w:divBdr>
            <w:top w:val="none" w:sz="0" w:space="0" w:color="auto"/>
            <w:left w:val="none" w:sz="0" w:space="0" w:color="auto"/>
            <w:bottom w:val="none" w:sz="0" w:space="0" w:color="auto"/>
            <w:right w:val="none" w:sz="0" w:space="0" w:color="auto"/>
          </w:divBdr>
        </w:div>
        <w:div w:id="1094938579">
          <w:marLeft w:val="0"/>
          <w:marRight w:val="0"/>
          <w:marTop w:val="0"/>
          <w:marBottom w:val="0"/>
          <w:divBdr>
            <w:top w:val="none" w:sz="0" w:space="0" w:color="auto"/>
            <w:left w:val="none" w:sz="0" w:space="0" w:color="auto"/>
            <w:bottom w:val="none" w:sz="0" w:space="0" w:color="auto"/>
            <w:right w:val="none" w:sz="0" w:space="0" w:color="auto"/>
          </w:divBdr>
        </w:div>
        <w:div w:id="1847596692">
          <w:marLeft w:val="0"/>
          <w:marRight w:val="0"/>
          <w:marTop w:val="0"/>
          <w:marBottom w:val="0"/>
          <w:divBdr>
            <w:top w:val="none" w:sz="0" w:space="0" w:color="auto"/>
            <w:left w:val="none" w:sz="0" w:space="0" w:color="auto"/>
            <w:bottom w:val="none" w:sz="0" w:space="0" w:color="auto"/>
            <w:right w:val="none" w:sz="0" w:space="0" w:color="auto"/>
          </w:divBdr>
        </w:div>
        <w:div w:id="2046130559">
          <w:marLeft w:val="0"/>
          <w:marRight w:val="0"/>
          <w:marTop w:val="0"/>
          <w:marBottom w:val="0"/>
          <w:divBdr>
            <w:top w:val="none" w:sz="0" w:space="0" w:color="auto"/>
            <w:left w:val="none" w:sz="0" w:space="0" w:color="auto"/>
            <w:bottom w:val="none" w:sz="0" w:space="0" w:color="auto"/>
            <w:right w:val="none" w:sz="0" w:space="0" w:color="auto"/>
          </w:divBdr>
        </w:div>
      </w:divsChild>
    </w:div>
    <w:div w:id="1889563546">
      <w:bodyDiv w:val="1"/>
      <w:marLeft w:val="0"/>
      <w:marRight w:val="0"/>
      <w:marTop w:val="0"/>
      <w:marBottom w:val="0"/>
      <w:divBdr>
        <w:top w:val="none" w:sz="0" w:space="0" w:color="auto"/>
        <w:left w:val="none" w:sz="0" w:space="0" w:color="auto"/>
        <w:bottom w:val="none" w:sz="0" w:space="0" w:color="auto"/>
        <w:right w:val="none" w:sz="0" w:space="0" w:color="auto"/>
      </w:divBdr>
    </w:div>
    <w:div w:id="1901134639">
      <w:bodyDiv w:val="1"/>
      <w:marLeft w:val="0"/>
      <w:marRight w:val="0"/>
      <w:marTop w:val="0"/>
      <w:marBottom w:val="0"/>
      <w:divBdr>
        <w:top w:val="none" w:sz="0" w:space="0" w:color="auto"/>
        <w:left w:val="none" w:sz="0" w:space="0" w:color="auto"/>
        <w:bottom w:val="none" w:sz="0" w:space="0" w:color="auto"/>
        <w:right w:val="none" w:sz="0" w:space="0" w:color="auto"/>
      </w:divBdr>
      <w:divsChild>
        <w:div w:id="775364805">
          <w:marLeft w:val="0"/>
          <w:marRight w:val="0"/>
          <w:marTop w:val="0"/>
          <w:marBottom w:val="0"/>
          <w:divBdr>
            <w:top w:val="none" w:sz="0" w:space="0" w:color="auto"/>
            <w:left w:val="none" w:sz="0" w:space="0" w:color="auto"/>
            <w:bottom w:val="none" w:sz="0" w:space="0" w:color="auto"/>
            <w:right w:val="none" w:sz="0" w:space="0" w:color="auto"/>
          </w:divBdr>
        </w:div>
        <w:div w:id="1179464731">
          <w:marLeft w:val="0"/>
          <w:marRight w:val="0"/>
          <w:marTop w:val="0"/>
          <w:marBottom w:val="0"/>
          <w:divBdr>
            <w:top w:val="none" w:sz="0" w:space="0" w:color="auto"/>
            <w:left w:val="none" w:sz="0" w:space="0" w:color="auto"/>
            <w:bottom w:val="none" w:sz="0" w:space="0" w:color="auto"/>
            <w:right w:val="none" w:sz="0" w:space="0" w:color="auto"/>
          </w:divBdr>
        </w:div>
        <w:div w:id="2121296797">
          <w:marLeft w:val="0"/>
          <w:marRight w:val="0"/>
          <w:marTop w:val="0"/>
          <w:marBottom w:val="0"/>
          <w:divBdr>
            <w:top w:val="none" w:sz="0" w:space="0" w:color="auto"/>
            <w:left w:val="none" w:sz="0" w:space="0" w:color="auto"/>
            <w:bottom w:val="none" w:sz="0" w:space="0" w:color="auto"/>
            <w:right w:val="none" w:sz="0" w:space="0" w:color="auto"/>
          </w:divBdr>
        </w:div>
        <w:div w:id="2126534662">
          <w:marLeft w:val="0"/>
          <w:marRight w:val="0"/>
          <w:marTop w:val="0"/>
          <w:marBottom w:val="0"/>
          <w:divBdr>
            <w:top w:val="none" w:sz="0" w:space="0" w:color="auto"/>
            <w:left w:val="none" w:sz="0" w:space="0" w:color="auto"/>
            <w:bottom w:val="none" w:sz="0" w:space="0" w:color="auto"/>
            <w:right w:val="none" w:sz="0" w:space="0" w:color="auto"/>
          </w:divBdr>
        </w:div>
      </w:divsChild>
    </w:div>
    <w:div w:id="1916550845">
      <w:bodyDiv w:val="1"/>
      <w:marLeft w:val="0"/>
      <w:marRight w:val="0"/>
      <w:marTop w:val="0"/>
      <w:marBottom w:val="0"/>
      <w:divBdr>
        <w:top w:val="none" w:sz="0" w:space="0" w:color="auto"/>
        <w:left w:val="none" w:sz="0" w:space="0" w:color="auto"/>
        <w:bottom w:val="none" w:sz="0" w:space="0" w:color="auto"/>
        <w:right w:val="none" w:sz="0" w:space="0" w:color="auto"/>
      </w:divBdr>
      <w:divsChild>
        <w:div w:id="1044988549">
          <w:marLeft w:val="0"/>
          <w:marRight w:val="0"/>
          <w:marTop w:val="0"/>
          <w:marBottom w:val="0"/>
          <w:divBdr>
            <w:top w:val="none" w:sz="0" w:space="0" w:color="auto"/>
            <w:left w:val="none" w:sz="0" w:space="0" w:color="auto"/>
            <w:bottom w:val="none" w:sz="0" w:space="0" w:color="auto"/>
            <w:right w:val="none" w:sz="0" w:space="0" w:color="auto"/>
          </w:divBdr>
        </w:div>
        <w:div w:id="1990549465">
          <w:marLeft w:val="0"/>
          <w:marRight w:val="0"/>
          <w:marTop w:val="0"/>
          <w:marBottom w:val="0"/>
          <w:divBdr>
            <w:top w:val="none" w:sz="0" w:space="0" w:color="auto"/>
            <w:left w:val="none" w:sz="0" w:space="0" w:color="auto"/>
            <w:bottom w:val="none" w:sz="0" w:space="0" w:color="auto"/>
            <w:right w:val="none" w:sz="0" w:space="0" w:color="auto"/>
          </w:divBdr>
        </w:div>
      </w:divsChild>
    </w:div>
    <w:div w:id="1918243658">
      <w:bodyDiv w:val="1"/>
      <w:marLeft w:val="0"/>
      <w:marRight w:val="0"/>
      <w:marTop w:val="0"/>
      <w:marBottom w:val="0"/>
      <w:divBdr>
        <w:top w:val="none" w:sz="0" w:space="0" w:color="auto"/>
        <w:left w:val="none" w:sz="0" w:space="0" w:color="auto"/>
        <w:bottom w:val="none" w:sz="0" w:space="0" w:color="auto"/>
        <w:right w:val="none" w:sz="0" w:space="0" w:color="auto"/>
      </w:divBdr>
      <w:divsChild>
        <w:div w:id="205870961">
          <w:marLeft w:val="0"/>
          <w:marRight w:val="0"/>
          <w:marTop w:val="0"/>
          <w:marBottom w:val="0"/>
          <w:divBdr>
            <w:top w:val="none" w:sz="0" w:space="0" w:color="auto"/>
            <w:left w:val="none" w:sz="0" w:space="0" w:color="auto"/>
            <w:bottom w:val="none" w:sz="0" w:space="0" w:color="auto"/>
            <w:right w:val="none" w:sz="0" w:space="0" w:color="auto"/>
          </w:divBdr>
        </w:div>
        <w:div w:id="337388997">
          <w:marLeft w:val="0"/>
          <w:marRight w:val="0"/>
          <w:marTop w:val="0"/>
          <w:marBottom w:val="0"/>
          <w:divBdr>
            <w:top w:val="none" w:sz="0" w:space="0" w:color="auto"/>
            <w:left w:val="none" w:sz="0" w:space="0" w:color="auto"/>
            <w:bottom w:val="none" w:sz="0" w:space="0" w:color="auto"/>
            <w:right w:val="none" w:sz="0" w:space="0" w:color="auto"/>
          </w:divBdr>
        </w:div>
        <w:div w:id="835418330">
          <w:marLeft w:val="0"/>
          <w:marRight w:val="0"/>
          <w:marTop w:val="0"/>
          <w:marBottom w:val="0"/>
          <w:divBdr>
            <w:top w:val="none" w:sz="0" w:space="0" w:color="auto"/>
            <w:left w:val="none" w:sz="0" w:space="0" w:color="auto"/>
            <w:bottom w:val="none" w:sz="0" w:space="0" w:color="auto"/>
            <w:right w:val="none" w:sz="0" w:space="0" w:color="auto"/>
          </w:divBdr>
        </w:div>
        <w:div w:id="1701468586">
          <w:marLeft w:val="0"/>
          <w:marRight w:val="0"/>
          <w:marTop w:val="0"/>
          <w:marBottom w:val="0"/>
          <w:divBdr>
            <w:top w:val="none" w:sz="0" w:space="0" w:color="auto"/>
            <w:left w:val="none" w:sz="0" w:space="0" w:color="auto"/>
            <w:bottom w:val="none" w:sz="0" w:space="0" w:color="auto"/>
            <w:right w:val="none" w:sz="0" w:space="0" w:color="auto"/>
          </w:divBdr>
        </w:div>
      </w:divsChild>
    </w:div>
    <w:div w:id="1960408178">
      <w:bodyDiv w:val="1"/>
      <w:marLeft w:val="0"/>
      <w:marRight w:val="0"/>
      <w:marTop w:val="0"/>
      <w:marBottom w:val="0"/>
      <w:divBdr>
        <w:top w:val="none" w:sz="0" w:space="0" w:color="auto"/>
        <w:left w:val="none" w:sz="0" w:space="0" w:color="auto"/>
        <w:bottom w:val="none" w:sz="0" w:space="0" w:color="auto"/>
        <w:right w:val="none" w:sz="0" w:space="0" w:color="auto"/>
      </w:divBdr>
      <w:divsChild>
        <w:div w:id="1361280278">
          <w:marLeft w:val="0"/>
          <w:marRight w:val="0"/>
          <w:marTop w:val="0"/>
          <w:marBottom w:val="0"/>
          <w:divBdr>
            <w:top w:val="none" w:sz="0" w:space="0" w:color="auto"/>
            <w:left w:val="none" w:sz="0" w:space="0" w:color="auto"/>
            <w:bottom w:val="none" w:sz="0" w:space="0" w:color="auto"/>
            <w:right w:val="none" w:sz="0" w:space="0" w:color="auto"/>
          </w:divBdr>
          <w:divsChild>
            <w:div w:id="1269657883">
              <w:marLeft w:val="0"/>
              <w:marRight w:val="0"/>
              <w:marTop w:val="0"/>
              <w:marBottom w:val="0"/>
              <w:divBdr>
                <w:top w:val="none" w:sz="0" w:space="0" w:color="auto"/>
                <w:left w:val="none" w:sz="0" w:space="0" w:color="auto"/>
                <w:bottom w:val="none" w:sz="0" w:space="0" w:color="auto"/>
                <w:right w:val="none" w:sz="0" w:space="0" w:color="auto"/>
              </w:divBdr>
              <w:divsChild>
                <w:div w:id="22096542">
                  <w:marLeft w:val="0"/>
                  <w:marRight w:val="0"/>
                  <w:marTop w:val="0"/>
                  <w:marBottom w:val="0"/>
                  <w:divBdr>
                    <w:top w:val="none" w:sz="0" w:space="0" w:color="auto"/>
                    <w:left w:val="none" w:sz="0" w:space="0" w:color="auto"/>
                    <w:bottom w:val="none" w:sz="0" w:space="0" w:color="auto"/>
                    <w:right w:val="none" w:sz="0" w:space="0" w:color="auto"/>
                  </w:divBdr>
                </w:div>
                <w:div w:id="30303831">
                  <w:marLeft w:val="0"/>
                  <w:marRight w:val="0"/>
                  <w:marTop w:val="0"/>
                  <w:marBottom w:val="0"/>
                  <w:divBdr>
                    <w:top w:val="none" w:sz="0" w:space="0" w:color="auto"/>
                    <w:left w:val="none" w:sz="0" w:space="0" w:color="auto"/>
                    <w:bottom w:val="none" w:sz="0" w:space="0" w:color="auto"/>
                    <w:right w:val="none" w:sz="0" w:space="0" w:color="auto"/>
                  </w:divBdr>
                </w:div>
                <w:div w:id="120002114">
                  <w:marLeft w:val="0"/>
                  <w:marRight w:val="0"/>
                  <w:marTop w:val="0"/>
                  <w:marBottom w:val="0"/>
                  <w:divBdr>
                    <w:top w:val="none" w:sz="0" w:space="0" w:color="auto"/>
                    <w:left w:val="none" w:sz="0" w:space="0" w:color="auto"/>
                    <w:bottom w:val="none" w:sz="0" w:space="0" w:color="auto"/>
                    <w:right w:val="none" w:sz="0" w:space="0" w:color="auto"/>
                  </w:divBdr>
                </w:div>
                <w:div w:id="280695411">
                  <w:marLeft w:val="0"/>
                  <w:marRight w:val="0"/>
                  <w:marTop w:val="0"/>
                  <w:marBottom w:val="0"/>
                  <w:divBdr>
                    <w:top w:val="none" w:sz="0" w:space="0" w:color="auto"/>
                    <w:left w:val="none" w:sz="0" w:space="0" w:color="auto"/>
                    <w:bottom w:val="none" w:sz="0" w:space="0" w:color="auto"/>
                    <w:right w:val="none" w:sz="0" w:space="0" w:color="auto"/>
                  </w:divBdr>
                </w:div>
                <w:div w:id="293025780">
                  <w:marLeft w:val="0"/>
                  <w:marRight w:val="0"/>
                  <w:marTop w:val="0"/>
                  <w:marBottom w:val="0"/>
                  <w:divBdr>
                    <w:top w:val="none" w:sz="0" w:space="0" w:color="auto"/>
                    <w:left w:val="none" w:sz="0" w:space="0" w:color="auto"/>
                    <w:bottom w:val="none" w:sz="0" w:space="0" w:color="auto"/>
                    <w:right w:val="none" w:sz="0" w:space="0" w:color="auto"/>
                  </w:divBdr>
                </w:div>
                <w:div w:id="426779038">
                  <w:marLeft w:val="0"/>
                  <w:marRight w:val="0"/>
                  <w:marTop w:val="0"/>
                  <w:marBottom w:val="0"/>
                  <w:divBdr>
                    <w:top w:val="none" w:sz="0" w:space="0" w:color="auto"/>
                    <w:left w:val="none" w:sz="0" w:space="0" w:color="auto"/>
                    <w:bottom w:val="none" w:sz="0" w:space="0" w:color="auto"/>
                    <w:right w:val="none" w:sz="0" w:space="0" w:color="auto"/>
                  </w:divBdr>
                </w:div>
                <w:div w:id="582884028">
                  <w:marLeft w:val="0"/>
                  <w:marRight w:val="0"/>
                  <w:marTop w:val="0"/>
                  <w:marBottom w:val="0"/>
                  <w:divBdr>
                    <w:top w:val="none" w:sz="0" w:space="0" w:color="auto"/>
                    <w:left w:val="none" w:sz="0" w:space="0" w:color="auto"/>
                    <w:bottom w:val="none" w:sz="0" w:space="0" w:color="auto"/>
                    <w:right w:val="none" w:sz="0" w:space="0" w:color="auto"/>
                  </w:divBdr>
                </w:div>
                <w:div w:id="587422341">
                  <w:marLeft w:val="0"/>
                  <w:marRight w:val="0"/>
                  <w:marTop w:val="0"/>
                  <w:marBottom w:val="0"/>
                  <w:divBdr>
                    <w:top w:val="none" w:sz="0" w:space="0" w:color="auto"/>
                    <w:left w:val="none" w:sz="0" w:space="0" w:color="auto"/>
                    <w:bottom w:val="none" w:sz="0" w:space="0" w:color="auto"/>
                    <w:right w:val="none" w:sz="0" w:space="0" w:color="auto"/>
                  </w:divBdr>
                </w:div>
                <w:div w:id="596138484">
                  <w:marLeft w:val="0"/>
                  <w:marRight w:val="0"/>
                  <w:marTop w:val="0"/>
                  <w:marBottom w:val="0"/>
                  <w:divBdr>
                    <w:top w:val="none" w:sz="0" w:space="0" w:color="auto"/>
                    <w:left w:val="none" w:sz="0" w:space="0" w:color="auto"/>
                    <w:bottom w:val="none" w:sz="0" w:space="0" w:color="auto"/>
                    <w:right w:val="none" w:sz="0" w:space="0" w:color="auto"/>
                  </w:divBdr>
                </w:div>
                <w:div w:id="742794710">
                  <w:marLeft w:val="0"/>
                  <w:marRight w:val="0"/>
                  <w:marTop w:val="0"/>
                  <w:marBottom w:val="0"/>
                  <w:divBdr>
                    <w:top w:val="none" w:sz="0" w:space="0" w:color="auto"/>
                    <w:left w:val="none" w:sz="0" w:space="0" w:color="auto"/>
                    <w:bottom w:val="none" w:sz="0" w:space="0" w:color="auto"/>
                    <w:right w:val="none" w:sz="0" w:space="0" w:color="auto"/>
                  </w:divBdr>
                </w:div>
                <w:div w:id="823011095">
                  <w:marLeft w:val="0"/>
                  <w:marRight w:val="0"/>
                  <w:marTop w:val="0"/>
                  <w:marBottom w:val="0"/>
                  <w:divBdr>
                    <w:top w:val="none" w:sz="0" w:space="0" w:color="auto"/>
                    <w:left w:val="none" w:sz="0" w:space="0" w:color="auto"/>
                    <w:bottom w:val="none" w:sz="0" w:space="0" w:color="auto"/>
                    <w:right w:val="none" w:sz="0" w:space="0" w:color="auto"/>
                  </w:divBdr>
                </w:div>
                <w:div w:id="889338459">
                  <w:marLeft w:val="0"/>
                  <w:marRight w:val="0"/>
                  <w:marTop w:val="0"/>
                  <w:marBottom w:val="0"/>
                  <w:divBdr>
                    <w:top w:val="none" w:sz="0" w:space="0" w:color="auto"/>
                    <w:left w:val="none" w:sz="0" w:space="0" w:color="auto"/>
                    <w:bottom w:val="none" w:sz="0" w:space="0" w:color="auto"/>
                    <w:right w:val="none" w:sz="0" w:space="0" w:color="auto"/>
                  </w:divBdr>
                </w:div>
                <w:div w:id="904607834">
                  <w:marLeft w:val="0"/>
                  <w:marRight w:val="0"/>
                  <w:marTop w:val="0"/>
                  <w:marBottom w:val="0"/>
                  <w:divBdr>
                    <w:top w:val="none" w:sz="0" w:space="0" w:color="auto"/>
                    <w:left w:val="none" w:sz="0" w:space="0" w:color="auto"/>
                    <w:bottom w:val="none" w:sz="0" w:space="0" w:color="auto"/>
                    <w:right w:val="none" w:sz="0" w:space="0" w:color="auto"/>
                  </w:divBdr>
                </w:div>
                <w:div w:id="915357929">
                  <w:marLeft w:val="0"/>
                  <w:marRight w:val="0"/>
                  <w:marTop w:val="0"/>
                  <w:marBottom w:val="0"/>
                  <w:divBdr>
                    <w:top w:val="none" w:sz="0" w:space="0" w:color="auto"/>
                    <w:left w:val="none" w:sz="0" w:space="0" w:color="auto"/>
                    <w:bottom w:val="none" w:sz="0" w:space="0" w:color="auto"/>
                    <w:right w:val="none" w:sz="0" w:space="0" w:color="auto"/>
                  </w:divBdr>
                </w:div>
                <w:div w:id="915358404">
                  <w:marLeft w:val="0"/>
                  <w:marRight w:val="0"/>
                  <w:marTop w:val="0"/>
                  <w:marBottom w:val="0"/>
                  <w:divBdr>
                    <w:top w:val="none" w:sz="0" w:space="0" w:color="auto"/>
                    <w:left w:val="none" w:sz="0" w:space="0" w:color="auto"/>
                    <w:bottom w:val="none" w:sz="0" w:space="0" w:color="auto"/>
                    <w:right w:val="none" w:sz="0" w:space="0" w:color="auto"/>
                  </w:divBdr>
                </w:div>
                <w:div w:id="983630368">
                  <w:marLeft w:val="0"/>
                  <w:marRight w:val="0"/>
                  <w:marTop w:val="0"/>
                  <w:marBottom w:val="0"/>
                  <w:divBdr>
                    <w:top w:val="none" w:sz="0" w:space="0" w:color="auto"/>
                    <w:left w:val="none" w:sz="0" w:space="0" w:color="auto"/>
                    <w:bottom w:val="none" w:sz="0" w:space="0" w:color="auto"/>
                    <w:right w:val="none" w:sz="0" w:space="0" w:color="auto"/>
                  </w:divBdr>
                </w:div>
                <w:div w:id="1054700584">
                  <w:marLeft w:val="0"/>
                  <w:marRight w:val="0"/>
                  <w:marTop w:val="0"/>
                  <w:marBottom w:val="0"/>
                  <w:divBdr>
                    <w:top w:val="none" w:sz="0" w:space="0" w:color="auto"/>
                    <w:left w:val="none" w:sz="0" w:space="0" w:color="auto"/>
                    <w:bottom w:val="none" w:sz="0" w:space="0" w:color="auto"/>
                    <w:right w:val="none" w:sz="0" w:space="0" w:color="auto"/>
                  </w:divBdr>
                </w:div>
                <w:div w:id="1117262340">
                  <w:marLeft w:val="0"/>
                  <w:marRight w:val="0"/>
                  <w:marTop w:val="0"/>
                  <w:marBottom w:val="0"/>
                  <w:divBdr>
                    <w:top w:val="none" w:sz="0" w:space="0" w:color="auto"/>
                    <w:left w:val="none" w:sz="0" w:space="0" w:color="auto"/>
                    <w:bottom w:val="none" w:sz="0" w:space="0" w:color="auto"/>
                    <w:right w:val="none" w:sz="0" w:space="0" w:color="auto"/>
                  </w:divBdr>
                </w:div>
                <w:div w:id="1147555360">
                  <w:marLeft w:val="0"/>
                  <w:marRight w:val="0"/>
                  <w:marTop w:val="0"/>
                  <w:marBottom w:val="0"/>
                  <w:divBdr>
                    <w:top w:val="none" w:sz="0" w:space="0" w:color="auto"/>
                    <w:left w:val="none" w:sz="0" w:space="0" w:color="auto"/>
                    <w:bottom w:val="none" w:sz="0" w:space="0" w:color="auto"/>
                    <w:right w:val="none" w:sz="0" w:space="0" w:color="auto"/>
                  </w:divBdr>
                </w:div>
                <w:div w:id="1187602853">
                  <w:marLeft w:val="0"/>
                  <w:marRight w:val="0"/>
                  <w:marTop w:val="0"/>
                  <w:marBottom w:val="0"/>
                  <w:divBdr>
                    <w:top w:val="none" w:sz="0" w:space="0" w:color="auto"/>
                    <w:left w:val="none" w:sz="0" w:space="0" w:color="auto"/>
                    <w:bottom w:val="none" w:sz="0" w:space="0" w:color="auto"/>
                    <w:right w:val="none" w:sz="0" w:space="0" w:color="auto"/>
                  </w:divBdr>
                </w:div>
                <w:div w:id="1287349330">
                  <w:marLeft w:val="0"/>
                  <w:marRight w:val="0"/>
                  <w:marTop w:val="0"/>
                  <w:marBottom w:val="0"/>
                  <w:divBdr>
                    <w:top w:val="none" w:sz="0" w:space="0" w:color="auto"/>
                    <w:left w:val="none" w:sz="0" w:space="0" w:color="auto"/>
                    <w:bottom w:val="none" w:sz="0" w:space="0" w:color="auto"/>
                    <w:right w:val="none" w:sz="0" w:space="0" w:color="auto"/>
                  </w:divBdr>
                </w:div>
                <w:div w:id="1309479472">
                  <w:marLeft w:val="0"/>
                  <w:marRight w:val="0"/>
                  <w:marTop w:val="0"/>
                  <w:marBottom w:val="0"/>
                  <w:divBdr>
                    <w:top w:val="none" w:sz="0" w:space="0" w:color="auto"/>
                    <w:left w:val="none" w:sz="0" w:space="0" w:color="auto"/>
                    <w:bottom w:val="none" w:sz="0" w:space="0" w:color="auto"/>
                    <w:right w:val="none" w:sz="0" w:space="0" w:color="auto"/>
                  </w:divBdr>
                </w:div>
                <w:div w:id="1323698111">
                  <w:marLeft w:val="0"/>
                  <w:marRight w:val="0"/>
                  <w:marTop w:val="0"/>
                  <w:marBottom w:val="0"/>
                  <w:divBdr>
                    <w:top w:val="none" w:sz="0" w:space="0" w:color="auto"/>
                    <w:left w:val="none" w:sz="0" w:space="0" w:color="auto"/>
                    <w:bottom w:val="none" w:sz="0" w:space="0" w:color="auto"/>
                    <w:right w:val="none" w:sz="0" w:space="0" w:color="auto"/>
                  </w:divBdr>
                </w:div>
                <w:div w:id="1342584100">
                  <w:marLeft w:val="0"/>
                  <w:marRight w:val="0"/>
                  <w:marTop w:val="0"/>
                  <w:marBottom w:val="0"/>
                  <w:divBdr>
                    <w:top w:val="none" w:sz="0" w:space="0" w:color="auto"/>
                    <w:left w:val="none" w:sz="0" w:space="0" w:color="auto"/>
                    <w:bottom w:val="none" w:sz="0" w:space="0" w:color="auto"/>
                    <w:right w:val="none" w:sz="0" w:space="0" w:color="auto"/>
                  </w:divBdr>
                </w:div>
                <w:div w:id="1398943609">
                  <w:marLeft w:val="0"/>
                  <w:marRight w:val="0"/>
                  <w:marTop w:val="0"/>
                  <w:marBottom w:val="0"/>
                  <w:divBdr>
                    <w:top w:val="none" w:sz="0" w:space="0" w:color="auto"/>
                    <w:left w:val="none" w:sz="0" w:space="0" w:color="auto"/>
                    <w:bottom w:val="none" w:sz="0" w:space="0" w:color="auto"/>
                    <w:right w:val="none" w:sz="0" w:space="0" w:color="auto"/>
                  </w:divBdr>
                </w:div>
                <w:div w:id="1545167947">
                  <w:marLeft w:val="0"/>
                  <w:marRight w:val="0"/>
                  <w:marTop w:val="0"/>
                  <w:marBottom w:val="0"/>
                  <w:divBdr>
                    <w:top w:val="none" w:sz="0" w:space="0" w:color="auto"/>
                    <w:left w:val="none" w:sz="0" w:space="0" w:color="auto"/>
                    <w:bottom w:val="none" w:sz="0" w:space="0" w:color="auto"/>
                    <w:right w:val="none" w:sz="0" w:space="0" w:color="auto"/>
                  </w:divBdr>
                </w:div>
                <w:div w:id="1553152811">
                  <w:marLeft w:val="0"/>
                  <w:marRight w:val="0"/>
                  <w:marTop w:val="0"/>
                  <w:marBottom w:val="0"/>
                  <w:divBdr>
                    <w:top w:val="none" w:sz="0" w:space="0" w:color="auto"/>
                    <w:left w:val="none" w:sz="0" w:space="0" w:color="auto"/>
                    <w:bottom w:val="none" w:sz="0" w:space="0" w:color="auto"/>
                    <w:right w:val="none" w:sz="0" w:space="0" w:color="auto"/>
                  </w:divBdr>
                </w:div>
                <w:div w:id="1560743648">
                  <w:marLeft w:val="0"/>
                  <w:marRight w:val="0"/>
                  <w:marTop w:val="0"/>
                  <w:marBottom w:val="0"/>
                  <w:divBdr>
                    <w:top w:val="none" w:sz="0" w:space="0" w:color="auto"/>
                    <w:left w:val="none" w:sz="0" w:space="0" w:color="auto"/>
                    <w:bottom w:val="none" w:sz="0" w:space="0" w:color="auto"/>
                    <w:right w:val="none" w:sz="0" w:space="0" w:color="auto"/>
                  </w:divBdr>
                </w:div>
                <w:div w:id="1856729987">
                  <w:marLeft w:val="0"/>
                  <w:marRight w:val="0"/>
                  <w:marTop w:val="0"/>
                  <w:marBottom w:val="0"/>
                  <w:divBdr>
                    <w:top w:val="none" w:sz="0" w:space="0" w:color="auto"/>
                    <w:left w:val="none" w:sz="0" w:space="0" w:color="auto"/>
                    <w:bottom w:val="none" w:sz="0" w:space="0" w:color="auto"/>
                    <w:right w:val="none" w:sz="0" w:space="0" w:color="auto"/>
                  </w:divBdr>
                </w:div>
                <w:div w:id="196472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715667">
      <w:bodyDiv w:val="1"/>
      <w:marLeft w:val="0"/>
      <w:marRight w:val="0"/>
      <w:marTop w:val="0"/>
      <w:marBottom w:val="0"/>
      <w:divBdr>
        <w:top w:val="none" w:sz="0" w:space="0" w:color="auto"/>
        <w:left w:val="none" w:sz="0" w:space="0" w:color="auto"/>
        <w:bottom w:val="none" w:sz="0" w:space="0" w:color="auto"/>
        <w:right w:val="none" w:sz="0" w:space="0" w:color="auto"/>
      </w:divBdr>
      <w:divsChild>
        <w:div w:id="39860671">
          <w:marLeft w:val="0"/>
          <w:marRight w:val="0"/>
          <w:marTop w:val="0"/>
          <w:marBottom w:val="0"/>
          <w:divBdr>
            <w:top w:val="none" w:sz="0" w:space="0" w:color="auto"/>
            <w:left w:val="none" w:sz="0" w:space="0" w:color="auto"/>
            <w:bottom w:val="none" w:sz="0" w:space="0" w:color="auto"/>
            <w:right w:val="none" w:sz="0" w:space="0" w:color="auto"/>
          </w:divBdr>
        </w:div>
        <w:div w:id="867136812">
          <w:marLeft w:val="0"/>
          <w:marRight w:val="0"/>
          <w:marTop w:val="0"/>
          <w:marBottom w:val="0"/>
          <w:divBdr>
            <w:top w:val="none" w:sz="0" w:space="0" w:color="auto"/>
            <w:left w:val="none" w:sz="0" w:space="0" w:color="auto"/>
            <w:bottom w:val="none" w:sz="0" w:space="0" w:color="auto"/>
            <w:right w:val="none" w:sz="0" w:space="0" w:color="auto"/>
          </w:divBdr>
        </w:div>
        <w:div w:id="1019938406">
          <w:marLeft w:val="0"/>
          <w:marRight w:val="0"/>
          <w:marTop w:val="0"/>
          <w:marBottom w:val="0"/>
          <w:divBdr>
            <w:top w:val="none" w:sz="0" w:space="0" w:color="auto"/>
            <w:left w:val="none" w:sz="0" w:space="0" w:color="auto"/>
            <w:bottom w:val="none" w:sz="0" w:space="0" w:color="auto"/>
            <w:right w:val="none" w:sz="0" w:space="0" w:color="auto"/>
          </w:divBdr>
        </w:div>
        <w:div w:id="1515606749">
          <w:marLeft w:val="0"/>
          <w:marRight w:val="0"/>
          <w:marTop w:val="0"/>
          <w:marBottom w:val="0"/>
          <w:divBdr>
            <w:top w:val="none" w:sz="0" w:space="0" w:color="auto"/>
            <w:left w:val="none" w:sz="0" w:space="0" w:color="auto"/>
            <w:bottom w:val="none" w:sz="0" w:space="0" w:color="auto"/>
            <w:right w:val="none" w:sz="0" w:space="0" w:color="auto"/>
          </w:divBdr>
        </w:div>
        <w:div w:id="1809275712">
          <w:marLeft w:val="0"/>
          <w:marRight w:val="0"/>
          <w:marTop w:val="0"/>
          <w:marBottom w:val="0"/>
          <w:divBdr>
            <w:top w:val="none" w:sz="0" w:space="0" w:color="auto"/>
            <w:left w:val="none" w:sz="0" w:space="0" w:color="auto"/>
            <w:bottom w:val="none" w:sz="0" w:space="0" w:color="auto"/>
            <w:right w:val="none" w:sz="0" w:space="0" w:color="auto"/>
          </w:divBdr>
        </w:div>
        <w:div w:id="2103838824">
          <w:marLeft w:val="0"/>
          <w:marRight w:val="0"/>
          <w:marTop w:val="0"/>
          <w:marBottom w:val="0"/>
          <w:divBdr>
            <w:top w:val="none" w:sz="0" w:space="0" w:color="auto"/>
            <w:left w:val="none" w:sz="0" w:space="0" w:color="auto"/>
            <w:bottom w:val="none" w:sz="0" w:space="0" w:color="auto"/>
            <w:right w:val="none" w:sz="0" w:space="0" w:color="auto"/>
          </w:divBdr>
        </w:div>
        <w:div w:id="2131243455">
          <w:marLeft w:val="0"/>
          <w:marRight w:val="0"/>
          <w:marTop w:val="0"/>
          <w:marBottom w:val="0"/>
          <w:divBdr>
            <w:top w:val="none" w:sz="0" w:space="0" w:color="auto"/>
            <w:left w:val="none" w:sz="0" w:space="0" w:color="auto"/>
            <w:bottom w:val="none" w:sz="0" w:space="0" w:color="auto"/>
            <w:right w:val="none" w:sz="0" w:space="0" w:color="auto"/>
          </w:divBdr>
        </w:div>
      </w:divsChild>
    </w:div>
    <w:div w:id="2081443441">
      <w:bodyDiv w:val="1"/>
      <w:marLeft w:val="0"/>
      <w:marRight w:val="0"/>
      <w:marTop w:val="0"/>
      <w:marBottom w:val="0"/>
      <w:divBdr>
        <w:top w:val="none" w:sz="0" w:space="0" w:color="auto"/>
        <w:left w:val="none" w:sz="0" w:space="0" w:color="auto"/>
        <w:bottom w:val="none" w:sz="0" w:space="0" w:color="auto"/>
        <w:right w:val="none" w:sz="0" w:space="0" w:color="auto"/>
      </w:divBdr>
      <w:divsChild>
        <w:div w:id="1187789334">
          <w:marLeft w:val="0"/>
          <w:marRight w:val="0"/>
          <w:marTop w:val="0"/>
          <w:marBottom w:val="0"/>
          <w:divBdr>
            <w:top w:val="none" w:sz="0" w:space="0" w:color="auto"/>
            <w:left w:val="none" w:sz="0" w:space="0" w:color="auto"/>
            <w:bottom w:val="none" w:sz="0" w:space="0" w:color="auto"/>
            <w:right w:val="none" w:sz="0" w:space="0" w:color="auto"/>
          </w:divBdr>
        </w:div>
        <w:div w:id="1480923134">
          <w:marLeft w:val="0"/>
          <w:marRight w:val="0"/>
          <w:marTop w:val="0"/>
          <w:marBottom w:val="0"/>
          <w:divBdr>
            <w:top w:val="none" w:sz="0" w:space="0" w:color="auto"/>
            <w:left w:val="none" w:sz="0" w:space="0" w:color="auto"/>
            <w:bottom w:val="none" w:sz="0" w:space="0" w:color="auto"/>
            <w:right w:val="none" w:sz="0" w:space="0" w:color="auto"/>
          </w:divBdr>
        </w:div>
        <w:div w:id="1843398786">
          <w:marLeft w:val="0"/>
          <w:marRight w:val="0"/>
          <w:marTop w:val="0"/>
          <w:marBottom w:val="0"/>
          <w:divBdr>
            <w:top w:val="none" w:sz="0" w:space="0" w:color="auto"/>
            <w:left w:val="none" w:sz="0" w:space="0" w:color="auto"/>
            <w:bottom w:val="none" w:sz="0" w:space="0" w:color="auto"/>
            <w:right w:val="none" w:sz="0" w:space="0" w:color="auto"/>
          </w:divBdr>
        </w:div>
        <w:div w:id="2021658814">
          <w:marLeft w:val="0"/>
          <w:marRight w:val="0"/>
          <w:marTop w:val="0"/>
          <w:marBottom w:val="0"/>
          <w:divBdr>
            <w:top w:val="none" w:sz="0" w:space="0" w:color="auto"/>
            <w:left w:val="none" w:sz="0" w:space="0" w:color="auto"/>
            <w:bottom w:val="none" w:sz="0" w:space="0" w:color="auto"/>
            <w:right w:val="none" w:sz="0" w:space="0" w:color="auto"/>
          </w:divBdr>
        </w:div>
        <w:div w:id="2066954454">
          <w:marLeft w:val="0"/>
          <w:marRight w:val="0"/>
          <w:marTop w:val="0"/>
          <w:marBottom w:val="0"/>
          <w:divBdr>
            <w:top w:val="none" w:sz="0" w:space="0" w:color="auto"/>
            <w:left w:val="none" w:sz="0" w:space="0" w:color="auto"/>
            <w:bottom w:val="none" w:sz="0" w:space="0" w:color="auto"/>
            <w:right w:val="none" w:sz="0" w:space="0" w:color="auto"/>
          </w:divBdr>
        </w:div>
      </w:divsChild>
    </w:div>
    <w:div w:id="2083402109">
      <w:bodyDiv w:val="1"/>
      <w:marLeft w:val="0"/>
      <w:marRight w:val="0"/>
      <w:marTop w:val="0"/>
      <w:marBottom w:val="0"/>
      <w:divBdr>
        <w:top w:val="none" w:sz="0" w:space="0" w:color="auto"/>
        <w:left w:val="none" w:sz="0" w:space="0" w:color="auto"/>
        <w:bottom w:val="none" w:sz="0" w:space="0" w:color="auto"/>
        <w:right w:val="none" w:sz="0" w:space="0" w:color="auto"/>
      </w:divBdr>
      <w:divsChild>
        <w:div w:id="1980958273">
          <w:marLeft w:val="0"/>
          <w:marRight w:val="0"/>
          <w:marTop w:val="0"/>
          <w:marBottom w:val="0"/>
          <w:divBdr>
            <w:top w:val="none" w:sz="0" w:space="0" w:color="auto"/>
            <w:left w:val="none" w:sz="0" w:space="0" w:color="auto"/>
            <w:bottom w:val="none" w:sz="0" w:space="0" w:color="auto"/>
            <w:right w:val="none" w:sz="0" w:space="0" w:color="auto"/>
          </w:divBdr>
          <w:divsChild>
            <w:div w:id="1645885977">
              <w:marLeft w:val="0"/>
              <w:marRight w:val="0"/>
              <w:marTop w:val="0"/>
              <w:marBottom w:val="0"/>
              <w:divBdr>
                <w:top w:val="none" w:sz="0" w:space="0" w:color="auto"/>
                <w:left w:val="none" w:sz="0" w:space="0" w:color="auto"/>
                <w:bottom w:val="none" w:sz="0" w:space="0" w:color="auto"/>
                <w:right w:val="none" w:sz="0" w:space="0" w:color="auto"/>
              </w:divBdr>
              <w:divsChild>
                <w:div w:id="1514568351">
                  <w:marLeft w:val="0"/>
                  <w:marRight w:val="0"/>
                  <w:marTop w:val="0"/>
                  <w:marBottom w:val="0"/>
                  <w:divBdr>
                    <w:top w:val="none" w:sz="0" w:space="0" w:color="auto"/>
                    <w:left w:val="none" w:sz="0" w:space="0" w:color="auto"/>
                    <w:bottom w:val="none" w:sz="0" w:space="0" w:color="auto"/>
                    <w:right w:val="none" w:sz="0" w:space="0" w:color="auto"/>
                  </w:divBdr>
                  <w:divsChild>
                    <w:div w:id="2068137798">
                      <w:marLeft w:val="0"/>
                      <w:marRight w:val="0"/>
                      <w:marTop w:val="0"/>
                      <w:marBottom w:val="0"/>
                      <w:divBdr>
                        <w:top w:val="none" w:sz="0" w:space="0" w:color="auto"/>
                        <w:left w:val="none" w:sz="0" w:space="0" w:color="auto"/>
                        <w:bottom w:val="none" w:sz="0" w:space="0" w:color="auto"/>
                        <w:right w:val="none" w:sz="0" w:space="0" w:color="auto"/>
                      </w:divBdr>
                      <w:divsChild>
                        <w:div w:id="1137916655">
                          <w:marLeft w:val="0"/>
                          <w:marRight w:val="0"/>
                          <w:marTop w:val="0"/>
                          <w:marBottom w:val="0"/>
                          <w:divBdr>
                            <w:top w:val="none" w:sz="0" w:space="0" w:color="auto"/>
                            <w:left w:val="none" w:sz="0" w:space="0" w:color="auto"/>
                            <w:bottom w:val="none" w:sz="0" w:space="0" w:color="auto"/>
                            <w:right w:val="none" w:sz="0" w:space="0" w:color="auto"/>
                          </w:divBdr>
                          <w:divsChild>
                            <w:div w:id="356663025">
                              <w:marLeft w:val="0"/>
                              <w:marRight w:val="0"/>
                              <w:marTop w:val="0"/>
                              <w:marBottom w:val="0"/>
                              <w:divBdr>
                                <w:top w:val="none" w:sz="0" w:space="0" w:color="auto"/>
                                <w:left w:val="none" w:sz="0" w:space="0" w:color="auto"/>
                                <w:bottom w:val="none" w:sz="0" w:space="0" w:color="auto"/>
                                <w:right w:val="none" w:sz="0" w:space="0" w:color="auto"/>
                              </w:divBdr>
                              <w:divsChild>
                                <w:div w:id="73626866">
                                  <w:marLeft w:val="0"/>
                                  <w:marRight w:val="0"/>
                                  <w:marTop w:val="0"/>
                                  <w:marBottom w:val="0"/>
                                  <w:divBdr>
                                    <w:top w:val="none" w:sz="0" w:space="0" w:color="auto"/>
                                    <w:left w:val="none" w:sz="0" w:space="0" w:color="auto"/>
                                    <w:bottom w:val="none" w:sz="0" w:space="0" w:color="auto"/>
                                    <w:right w:val="none" w:sz="0" w:space="0" w:color="auto"/>
                                  </w:divBdr>
                                  <w:divsChild>
                                    <w:div w:id="1967198810">
                                      <w:marLeft w:val="0"/>
                                      <w:marRight w:val="0"/>
                                      <w:marTop w:val="0"/>
                                      <w:marBottom w:val="0"/>
                                      <w:divBdr>
                                        <w:top w:val="none" w:sz="0" w:space="0" w:color="auto"/>
                                        <w:left w:val="none" w:sz="0" w:space="0" w:color="auto"/>
                                        <w:bottom w:val="none" w:sz="0" w:space="0" w:color="auto"/>
                                        <w:right w:val="none" w:sz="0" w:space="0" w:color="auto"/>
                                      </w:divBdr>
                                      <w:divsChild>
                                        <w:div w:id="286666174">
                                          <w:marLeft w:val="0"/>
                                          <w:marRight w:val="0"/>
                                          <w:marTop w:val="0"/>
                                          <w:marBottom w:val="0"/>
                                          <w:divBdr>
                                            <w:top w:val="none" w:sz="0" w:space="0" w:color="auto"/>
                                            <w:left w:val="none" w:sz="0" w:space="0" w:color="auto"/>
                                            <w:bottom w:val="none" w:sz="0" w:space="0" w:color="auto"/>
                                            <w:right w:val="none" w:sz="0" w:space="0" w:color="auto"/>
                                          </w:divBdr>
                                          <w:divsChild>
                                            <w:div w:id="643235894">
                                              <w:marLeft w:val="0"/>
                                              <w:marRight w:val="0"/>
                                              <w:marTop w:val="0"/>
                                              <w:marBottom w:val="0"/>
                                              <w:divBdr>
                                                <w:top w:val="none" w:sz="0" w:space="0" w:color="auto"/>
                                                <w:left w:val="none" w:sz="0" w:space="0" w:color="auto"/>
                                                <w:bottom w:val="none" w:sz="0" w:space="0" w:color="auto"/>
                                                <w:right w:val="none" w:sz="0" w:space="0" w:color="auto"/>
                                              </w:divBdr>
                                              <w:divsChild>
                                                <w:div w:id="1463504035">
                                                  <w:marLeft w:val="0"/>
                                                  <w:marRight w:val="0"/>
                                                  <w:marTop w:val="0"/>
                                                  <w:marBottom w:val="0"/>
                                                  <w:divBdr>
                                                    <w:top w:val="none" w:sz="0" w:space="0" w:color="auto"/>
                                                    <w:left w:val="none" w:sz="0" w:space="0" w:color="auto"/>
                                                    <w:bottom w:val="none" w:sz="0" w:space="0" w:color="auto"/>
                                                    <w:right w:val="none" w:sz="0" w:space="0" w:color="auto"/>
                                                  </w:divBdr>
                                                  <w:divsChild>
                                                    <w:div w:id="1576818062">
                                                      <w:marLeft w:val="0"/>
                                                      <w:marRight w:val="0"/>
                                                      <w:marTop w:val="0"/>
                                                      <w:marBottom w:val="0"/>
                                                      <w:divBdr>
                                                        <w:top w:val="none" w:sz="0" w:space="0" w:color="auto"/>
                                                        <w:left w:val="none" w:sz="0" w:space="0" w:color="auto"/>
                                                        <w:bottom w:val="none" w:sz="0" w:space="0" w:color="auto"/>
                                                        <w:right w:val="none" w:sz="0" w:space="0" w:color="auto"/>
                                                      </w:divBdr>
                                                      <w:divsChild>
                                                        <w:div w:id="1697273120">
                                                          <w:marLeft w:val="0"/>
                                                          <w:marRight w:val="0"/>
                                                          <w:marTop w:val="0"/>
                                                          <w:marBottom w:val="0"/>
                                                          <w:divBdr>
                                                            <w:top w:val="none" w:sz="0" w:space="0" w:color="auto"/>
                                                            <w:left w:val="none" w:sz="0" w:space="0" w:color="auto"/>
                                                            <w:bottom w:val="none" w:sz="0" w:space="0" w:color="auto"/>
                                                            <w:right w:val="none" w:sz="0" w:space="0" w:color="auto"/>
                                                          </w:divBdr>
                                                          <w:divsChild>
                                                            <w:div w:id="37318553">
                                                              <w:marLeft w:val="0"/>
                                                              <w:marRight w:val="0"/>
                                                              <w:marTop w:val="0"/>
                                                              <w:marBottom w:val="0"/>
                                                              <w:divBdr>
                                                                <w:top w:val="none" w:sz="0" w:space="0" w:color="auto"/>
                                                                <w:left w:val="none" w:sz="0" w:space="0" w:color="auto"/>
                                                                <w:bottom w:val="none" w:sz="0" w:space="0" w:color="auto"/>
                                                                <w:right w:val="none" w:sz="0" w:space="0" w:color="auto"/>
                                                              </w:divBdr>
                                                            </w:div>
                                                            <w:div w:id="1767309739">
                                                              <w:marLeft w:val="0"/>
                                                              <w:marRight w:val="0"/>
                                                              <w:marTop w:val="0"/>
                                                              <w:marBottom w:val="0"/>
                                                              <w:divBdr>
                                                                <w:top w:val="none" w:sz="0" w:space="0" w:color="auto"/>
                                                                <w:left w:val="none" w:sz="0" w:space="0" w:color="auto"/>
                                                                <w:bottom w:val="none" w:sz="0" w:space="0" w:color="auto"/>
                                                                <w:right w:val="none" w:sz="0" w:space="0" w:color="auto"/>
                                                              </w:divBdr>
                                                            </w:div>
                                                            <w:div w:id="201569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2968345">
      <w:bodyDiv w:val="1"/>
      <w:marLeft w:val="0"/>
      <w:marRight w:val="0"/>
      <w:marTop w:val="0"/>
      <w:marBottom w:val="0"/>
      <w:divBdr>
        <w:top w:val="none" w:sz="0" w:space="0" w:color="auto"/>
        <w:left w:val="none" w:sz="0" w:space="0" w:color="auto"/>
        <w:bottom w:val="none" w:sz="0" w:space="0" w:color="auto"/>
        <w:right w:val="none" w:sz="0" w:space="0" w:color="auto"/>
      </w:divBdr>
      <w:divsChild>
        <w:div w:id="206379897">
          <w:marLeft w:val="0"/>
          <w:marRight w:val="0"/>
          <w:marTop w:val="0"/>
          <w:marBottom w:val="0"/>
          <w:divBdr>
            <w:top w:val="none" w:sz="0" w:space="0" w:color="auto"/>
            <w:left w:val="none" w:sz="0" w:space="0" w:color="auto"/>
            <w:bottom w:val="none" w:sz="0" w:space="0" w:color="auto"/>
            <w:right w:val="none" w:sz="0" w:space="0" w:color="auto"/>
          </w:divBdr>
        </w:div>
        <w:div w:id="833687956">
          <w:marLeft w:val="0"/>
          <w:marRight w:val="0"/>
          <w:marTop w:val="0"/>
          <w:marBottom w:val="0"/>
          <w:divBdr>
            <w:top w:val="none" w:sz="0" w:space="0" w:color="auto"/>
            <w:left w:val="none" w:sz="0" w:space="0" w:color="auto"/>
            <w:bottom w:val="none" w:sz="0" w:space="0" w:color="auto"/>
            <w:right w:val="none" w:sz="0" w:space="0" w:color="auto"/>
          </w:divBdr>
        </w:div>
        <w:div w:id="1047801494">
          <w:marLeft w:val="0"/>
          <w:marRight w:val="0"/>
          <w:marTop w:val="0"/>
          <w:marBottom w:val="0"/>
          <w:divBdr>
            <w:top w:val="none" w:sz="0" w:space="0" w:color="auto"/>
            <w:left w:val="none" w:sz="0" w:space="0" w:color="auto"/>
            <w:bottom w:val="none" w:sz="0" w:space="0" w:color="auto"/>
            <w:right w:val="none" w:sz="0" w:space="0" w:color="auto"/>
          </w:divBdr>
        </w:div>
        <w:div w:id="1433042599">
          <w:marLeft w:val="0"/>
          <w:marRight w:val="0"/>
          <w:marTop w:val="0"/>
          <w:marBottom w:val="0"/>
          <w:divBdr>
            <w:top w:val="none" w:sz="0" w:space="0" w:color="auto"/>
            <w:left w:val="none" w:sz="0" w:space="0" w:color="auto"/>
            <w:bottom w:val="none" w:sz="0" w:space="0" w:color="auto"/>
            <w:right w:val="none" w:sz="0" w:space="0" w:color="auto"/>
          </w:divBdr>
        </w:div>
        <w:div w:id="20482904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image" Target="media/image47.tiff"/><Relationship Id="rId63" Type="http://schemas.openxmlformats.org/officeDocument/2006/relationships/image" Target="media/image55.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7.tiff"/><Relationship Id="rId53" Type="http://schemas.openxmlformats.org/officeDocument/2006/relationships/image" Target="media/image45.tiff"/><Relationship Id="rId58" Type="http://schemas.openxmlformats.org/officeDocument/2006/relationships/image" Target="media/image50.tif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tiff"/><Relationship Id="rId19" Type="http://schemas.openxmlformats.org/officeDocument/2006/relationships/image" Target="media/image1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tiff"/><Relationship Id="rId64" Type="http://schemas.openxmlformats.org/officeDocument/2006/relationships/image" Target="media/image56.tiff"/><Relationship Id="rId8" Type="http://schemas.openxmlformats.org/officeDocument/2006/relationships/image" Target="media/image1.tiff"/><Relationship Id="rId51" Type="http://schemas.openxmlformats.org/officeDocument/2006/relationships/image" Target="media/image43.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8.tiff"/><Relationship Id="rId59" Type="http://schemas.openxmlformats.org/officeDocument/2006/relationships/image" Target="media/image51.tiff"/><Relationship Id="rId67" Type="http://schemas.openxmlformats.org/officeDocument/2006/relationships/theme" Target="theme/theme1.xml"/><Relationship Id="rId20" Type="http://schemas.openxmlformats.org/officeDocument/2006/relationships/image" Target="media/image13.tiff"/><Relationship Id="rId41" Type="http://schemas.openxmlformats.org/officeDocument/2006/relationships/footer" Target="footer1.xml"/><Relationship Id="rId54" Type="http://schemas.openxmlformats.org/officeDocument/2006/relationships/image" Target="media/image46.tiff"/><Relationship Id="rId62" Type="http://schemas.openxmlformats.org/officeDocument/2006/relationships/image" Target="media/image54.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41.tiff"/><Relationship Id="rId57" Type="http://schemas.openxmlformats.org/officeDocument/2006/relationships/image" Target="media/image49.tiff"/><Relationship Id="rId10" Type="http://schemas.openxmlformats.org/officeDocument/2006/relationships/image" Target="media/image3.tiff"/><Relationship Id="rId31" Type="http://schemas.openxmlformats.org/officeDocument/2006/relationships/image" Target="media/image24.tiff"/><Relationship Id="rId44" Type="http://schemas.openxmlformats.org/officeDocument/2006/relationships/image" Target="media/image36.tiff"/><Relationship Id="rId52" Type="http://schemas.openxmlformats.org/officeDocument/2006/relationships/image" Target="media/image44.tiff"/><Relationship Id="rId60" Type="http://schemas.openxmlformats.org/officeDocument/2006/relationships/image" Target="media/image52.tiff"/><Relationship Id="rId65" Type="http://schemas.openxmlformats.org/officeDocument/2006/relationships/image" Target="media/image57.tiff"/><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image" Target="media/image11.jpeg"/><Relationship Id="rId39" Type="http://schemas.openxmlformats.org/officeDocument/2006/relationships/image" Target="media/image32.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97953E-ED62-4AE3-9A97-6EB7886AB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110</Pages>
  <Words>18966</Words>
  <Characters>108108</Characters>
  <Application>Microsoft Office Word</Application>
  <DocSecurity>0</DocSecurity>
  <Lines>900</Lines>
  <Paragraphs>253</Paragraphs>
  <ScaleCrop>false</ScaleCrop>
  <Company/>
  <LinksUpToDate>false</LinksUpToDate>
  <CharactersWithSpaces>126821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博轩 杨</dc:creator>
  <cp:keywords/>
  <dc:description/>
  <cp:lastModifiedBy>Lifeng Yin</cp:lastModifiedBy>
  <cp:revision>23</cp:revision>
  <cp:lastPrinted>2026-03-19T04:07:00Z</cp:lastPrinted>
  <dcterms:created xsi:type="dcterms:W3CDTF">2026-03-30T04:14:00Z</dcterms:created>
  <dcterms:modified xsi:type="dcterms:W3CDTF">2026-03-31T02:49:00Z</dcterms:modified>
</cp:coreProperties>
</file>