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44C81" w14:textId="4469DB72" w:rsidR="00A0395F" w:rsidRPr="0002459F" w:rsidRDefault="0002459F" w:rsidP="0002459F">
      <w:r>
        <w:rPr>
          <w:noProof/>
        </w:rPr>
        <w:drawing>
          <wp:inline distT="0" distB="0" distL="0" distR="0" wp14:anchorId="19F5F596" wp14:editId="07257123">
            <wp:extent cx="5276850" cy="4486275"/>
            <wp:effectExtent l="0" t="0" r="0" b="9525"/>
            <wp:docPr id="6822488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6850" cy="4486275"/>
                    </a:xfrm>
                    <a:prstGeom prst="rect">
                      <a:avLst/>
                    </a:prstGeom>
                    <a:noFill/>
                    <a:ln>
                      <a:noFill/>
                    </a:ln>
                  </pic:spPr>
                </pic:pic>
              </a:graphicData>
            </a:graphic>
          </wp:inline>
        </w:drawing>
      </w:r>
    </w:p>
    <w:p w14:paraId="19F73430" w14:textId="2E915205" w:rsidR="00904C62" w:rsidRPr="001B09DB" w:rsidRDefault="00D3572C" w:rsidP="001B09DB">
      <w:pPr>
        <w:tabs>
          <w:tab w:val="left" w:pos="1653"/>
        </w:tabs>
        <w:jc w:val="center"/>
        <w:rPr>
          <w:rFonts w:ascii="Times New Roman" w:eastAsia="宋体" w:hAnsi="Times New Roman" w:cs="Times New Roman"/>
          <w:szCs w:val="22"/>
          <w14:ligatures w14:val="none"/>
        </w:rPr>
      </w:pPr>
      <w:r w:rsidRPr="00A06ECB">
        <w:rPr>
          <w:rFonts w:ascii="Times New Roman" w:eastAsia="宋体" w:hAnsi="Times New Roman" w:cs="Times New Roman"/>
          <w:b/>
          <w:bCs/>
          <w:szCs w:val="22"/>
          <w14:ligatures w14:val="none"/>
        </w:rPr>
        <w:t>Fig</w:t>
      </w:r>
      <w:r w:rsidRPr="00A06ECB">
        <w:rPr>
          <w:rFonts w:ascii="Times New Roman" w:eastAsia="宋体" w:hAnsi="Times New Roman" w:cs="Times New Roman" w:hint="eastAsia"/>
          <w:b/>
          <w:bCs/>
          <w:szCs w:val="22"/>
          <w14:ligatures w14:val="none"/>
        </w:rPr>
        <w:t>.</w:t>
      </w:r>
      <w:r w:rsidRPr="00A06ECB">
        <w:rPr>
          <w:rFonts w:ascii="Times New Roman" w:eastAsia="宋体" w:hAnsi="Times New Roman" w:cs="Times New Roman"/>
          <w:b/>
          <w:bCs/>
          <w:szCs w:val="22"/>
          <w14:ligatures w14:val="none"/>
        </w:rPr>
        <w:t xml:space="preserve"> S1.</w:t>
      </w:r>
      <w:r w:rsidRPr="00A06ECB">
        <w:rPr>
          <w:b/>
          <w:bCs/>
          <w:szCs w:val="22"/>
        </w:rPr>
        <w:t xml:space="preserve"> </w:t>
      </w:r>
      <w:r w:rsidRPr="00A06ECB">
        <w:rPr>
          <w:rFonts w:ascii="Times New Roman" w:eastAsia="宋体" w:hAnsi="Times New Roman" w:cs="Times New Roman" w:hint="eastAsia"/>
          <w:szCs w:val="22"/>
          <w14:ligatures w14:val="none"/>
        </w:rPr>
        <w:t>EDS</w:t>
      </w:r>
      <w:r w:rsidRPr="00A06ECB">
        <w:rPr>
          <w:rFonts w:ascii="Times New Roman" w:eastAsia="宋体" w:hAnsi="Times New Roman" w:cs="Times New Roman"/>
          <w:szCs w:val="22"/>
          <w14:ligatures w14:val="none"/>
        </w:rPr>
        <w:t xml:space="preserve"> spectrum o</w:t>
      </w:r>
      <w:r w:rsidRPr="00A06ECB">
        <w:rPr>
          <w:rFonts w:ascii="Times New Roman" w:eastAsia="宋体" w:hAnsi="Times New Roman" w:cs="Times New Roman" w:hint="eastAsia"/>
          <w:szCs w:val="22"/>
          <w14:ligatures w14:val="none"/>
        </w:rPr>
        <w:t>f Eu-BBDC/ BDC</w:t>
      </w:r>
    </w:p>
    <w:p w14:paraId="14CC158C" w14:textId="77777777" w:rsidR="00904C62" w:rsidRDefault="00904C62" w:rsidP="00D3572C"/>
    <w:p w14:paraId="70E821E5" w14:textId="77777777" w:rsidR="001B09DB" w:rsidRDefault="001B09DB" w:rsidP="00D3572C"/>
    <w:p w14:paraId="27DA1FE4" w14:textId="77777777" w:rsidR="001B09DB" w:rsidRDefault="001B09DB" w:rsidP="00D3572C"/>
    <w:p w14:paraId="65DF0BFF" w14:textId="77777777" w:rsidR="001B09DB" w:rsidRDefault="001B09DB" w:rsidP="00D3572C"/>
    <w:p w14:paraId="29E5EDA8" w14:textId="77777777" w:rsidR="0002459F" w:rsidRDefault="0002459F" w:rsidP="00D3572C"/>
    <w:p w14:paraId="135FF6D6" w14:textId="77777777" w:rsidR="0002459F" w:rsidRDefault="0002459F" w:rsidP="00D3572C"/>
    <w:p w14:paraId="39CEDE88" w14:textId="77777777" w:rsidR="0002459F" w:rsidRDefault="0002459F" w:rsidP="00D3572C"/>
    <w:p w14:paraId="23FDC268" w14:textId="77777777" w:rsidR="0002459F" w:rsidRDefault="0002459F" w:rsidP="00D3572C"/>
    <w:p w14:paraId="01AFF560" w14:textId="77777777" w:rsidR="0002459F" w:rsidRDefault="0002459F" w:rsidP="00D3572C"/>
    <w:p w14:paraId="7D3E0063" w14:textId="77777777" w:rsidR="0002459F" w:rsidRDefault="0002459F" w:rsidP="00D3572C"/>
    <w:p w14:paraId="2FF5B4B7" w14:textId="77777777" w:rsidR="0002459F" w:rsidRDefault="0002459F" w:rsidP="00D3572C"/>
    <w:p w14:paraId="5F200F7B" w14:textId="77777777" w:rsidR="0002459F" w:rsidRDefault="0002459F" w:rsidP="00D3572C"/>
    <w:p w14:paraId="1B307F53" w14:textId="69319515" w:rsidR="00A0395F" w:rsidRPr="0002459F" w:rsidRDefault="0002459F" w:rsidP="0002459F">
      <w:r>
        <w:rPr>
          <w:noProof/>
        </w:rPr>
        <w:lastRenderedPageBreak/>
        <w:drawing>
          <wp:inline distT="0" distB="0" distL="0" distR="0" wp14:anchorId="5F1D7C1A" wp14:editId="6F4AE2BF">
            <wp:extent cx="5029200" cy="4533900"/>
            <wp:effectExtent l="0" t="0" r="0" b="0"/>
            <wp:docPr id="19615111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4533900"/>
                    </a:xfrm>
                    <a:prstGeom prst="rect">
                      <a:avLst/>
                    </a:prstGeom>
                    <a:noFill/>
                    <a:ln>
                      <a:noFill/>
                    </a:ln>
                  </pic:spPr>
                </pic:pic>
              </a:graphicData>
            </a:graphic>
          </wp:inline>
        </w:drawing>
      </w:r>
    </w:p>
    <w:p w14:paraId="572EA02D" w14:textId="70AC406D" w:rsidR="00904C62" w:rsidRPr="00A06ECB" w:rsidRDefault="00904C62" w:rsidP="00376DDC">
      <w:pPr>
        <w:jc w:val="center"/>
        <w:rPr>
          <w:rFonts w:ascii="Times New Roman" w:eastAsia="宋体" w:hAnsi="Times New Roman" w:cs="Times New Roman"/>
          <w:b/>
          <w:bCs/>
          <w:szCs w:val="22"/>
          <w14:ligatures w14:val="none"/>
        </w:rPr>
      </w:pPr>
      <w:r w:rsidRPr="00A06ECB">
        <w:rPr>
          <w:rFonts w:ascii="Times New Roman" w:eastAsia="宋体" w:hAnsi="Times New Roman" w:cs="Times New Roman"/>
          <w:b/>
          <w:bCs/>
          <w:szCs w:val="22"/>
          <w14:ligatures w14:val="none"/>
        </w:rPr>
        <w:t>Fig</w:t>
      </w:r>
      <w:r w:rsidRPr="00A06ECB">
        <w:rPr>
          <w:rFonts w:ascii="Times New Roman" w:eastAsia="宋体" w:hAnsi="Times New Roman" w:cs="Times New Roman" w:hint="eastAsia"/>
          <w:b/>
          <w:bCs/>
          <w:szCs w:val="22"/>
          <w14:ligatures w14:val="none"/>
        </w:rPr>
        <w:t>.</w:t>
      </w:r>
      <w:r w:rsidRPr="00A06ECB">
        <w:rPr>
          <w:rFonts w:ascii="Times New Roman" w:eastAsia="宋体" w:hAnsi="Times New Roman" w:cs="Times New Roman"/>
          <w:b/>
          <w:bCs/>
          <w:szCs w:val="22"/>
          <w14:ligatures w14:val="none"/>
        </w:rPr>
        <w:t xml:space="preserve"> S2. </w:t>
      </w:r>
      <w:r w:rsidRPr="00A06ECB">
        <w:rPr>
          <w:rFonts w:ascii="Times New Roman" w:eastAsia="宋体" w:hAnsi="Times New Roman" w:cs="Times New Roman"/>
          <w:szCs w:val="22"/>
          <w14:ligatures w14:val="none"/>
        </w:rPr>
        <w:t>XRD spectrum o</w:t>
      </w:r>
      <w:r w:rsidRPr="00A06ECB">
        <w:rPr>
          <w:rFonts w:ascii="Times New Roman" w:eastAsia="宋体" w:hAnsi="Times New Roman" w:cs="Times New Roman" w:hint="eastAsia"/>
          <w:szCs w:val="22"/>
          <w14:ligatures w14:val="none"/>
        </w:rPr>
        <w:t>f Eu-BBDC/BDC-OH</w:t>
      </w:r>
    </w:p>
    <w:p w14:paraId="19FF6D0C" w14:textId="629F0180" w:rsidR="00904C62" w:rsidRDefault="00904C62" w:rsidP="00D3572C"/>
    <w:p w14:paraId="1FD15E0D" w14:textId="1F19073B" w:rsidR="001B09DB" w:rsidRDefault="001B09DB" w:rsidP="00D3572C"/>
    <w:p w14:paraId="4B66571D" w14:textId="67F15BD9" w:rsidR="001B09DB" w:rsidRDefault="001B09DB" w:rsidP="00D3572C"/>
    <w:p w14:paraId="28C328E5" w14:textId="45370BCC" w:rsidR="001B09DB" w:rsidRDefault="001B09DB" w:rsidP="00D3572C"/>
    <w:p w14:paraId="16FB5C05" w14:textId="77777777" w:rsidR="00A0395F" w:rsidRDefault="00A0395F" w:rsidP="00D3572C"/>
    <w:p w14:paraId="325C5A83" w14:textId="77777777" w:rsidR="00A0395F" w:rsidRDefault="00A0395F" w:rsidP="00D3572C"/>
    <w:p w14:paraId="300D525E" w14:textId="77777777" w:rsidR="0002459F" w:rsidRDefault="0002459F" w:rsidP="00D3572C"/>
    <w:p w14:paraId="2F69C81F" w14:textId="77777777" w:rsidR="0002459F" w:rsidRDefault="0002459F" w:rsidP="00D3572C"/>
    <w:p w14:paraId="115580A4" w14:textId="77777777" w:rsidR="0002459F" w:rsidRDefault="0002459F" w:rsidP="00D3572C"/>
    <w:p w14:paraId="3DB95F41" w14:textId="77777777" w:rsidR="0002459F" w:rsidRDefault="0002459F" w:rsidP="00D3572C"/>
    <w:p w14:paraId="01209229" w14:textId="77777777" w:rsidR="0002459F" w:rsidRDefault="0002459F" w:rsidP="00D3572C"/>
    <w:p w14:paraId="242EC069" w14:textId="77777777" w:rsidR="0002459F" w:rsidRDefault="0002459F" w:rsidP="00D3572C"/>
    <w:p w14:paraId="3E7F4241" w14:textId="775C3C99" w:rsidR="00A0395F" w:rsidRPr="007A6051" w:rsidRDefault="0002459F" w:rsidP="00D3572C">
      <w:r>
        <w:rPr>
          <w:noProof/>
        </w:rPr>
        <w:lastRenderedPageBreak/>
        <w:drawing>
          <wp:inline distT="0" distB="0" distL="0" distR="0" wp14:anchorId="04E5314C" wp14:editId="77B21D92">
            <wp:extent cx="5276850" cy="4486275"/>
            <wp:effectExtent l="0" t="0" r="0" b="9525"/>
            <wp:docPr id="15300913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4486275"/>
                    </a:xfrm>
                    <a:prstGeom prst="rect">
                      <a:avLst/>
                    </a:prstGeom>
                    <a:noFill/>
                    <a:ln>
                      <a:noFill/>
                    </a:ln>
                  </pic:spPr>
                </pic:pic>
              </a:graphicData>
            </a:graphic>
          </wp:inline>
        </w:drawing>
      </w:r>
    </w:p>
    <w:p w14:paraId="12954778" w14:textId="0F32D988" w:rsidR="00A0395F" w:rsidRPr="00A0395F" w:rsidRDefault="00A0395F" w:rsidP="00A0395F">
      <w:pPr>
        <w:jc w:val="center"/>
        <w:rPr>
          <w:rFonts w:ascii="Times New Roman" w:eastAsia="宋体" w:hAnsi="Times New Roman" w:cs="Times New Roman"/>
          <w:b/>
          <w:bCs/>
          <w:szCs w:val="22"/>
          <w14:ligatures w14:val="none"/>
        </w:rPr>
      </w:pPr>
      <w:r w:rsidRPr="00A0395F">
        <w:rPr>
          <w:rFonts w:ascii="Times New Roman" w:eastAsia="宋体" w:hAnsi="Times New Roman" w:cs="Times New Roman"/>
          <w:b/>
          <w:bCs/>
          <w:szCs w:val="22"/>
          <w14:ligatures w14:val="none"/>
        </w:rPr>
        <w:t>Fig</w:t>
      </w:r>
      <w:r w:rsidRPr="00A0395F">
        <w:rPr>
          <w:rFonts w:ascii="Times New Roman" w:eastAsia="宋体" w:hAnsi="Times New Roman" w:cs="Times New Roman" w:hint="eastAsia"/>
          <w:b/>
          <w:bCs/>
          <w:szCs w:val="22"/>
          <w14:ligatures w14:val="none"/>
        </w:rPr>
        <w:t>.</w:t>
      </w:r>
      <w:r w:rsidRPr="00A0395F">
        <w:rPr>
          <w:rFonts w:ascii="Times New Roman" w:eastAsia="宋体" w:hAnsi="Times New Roman" w:cs="Times New Roman"/>
          <w:b/>
          <w:bCs/>
          <w:szCs w:val="22"/>
          <w14:ligatures w14:val="none"/>
        </w:rPr>
        <w:t xml:space="preserve"> S</w:t>
      </w:r>
      <w:r w:rsidRPr="00A0395F">
        <w:rPr>
          <w:rFonts w:ascii="Times New Roman" w:eastAsia="宋体" w:hAnsi="Times New Roman" w:cs="Times New Roman" w:hint="eastAsia"/>
          <w:b/>
          <w:bCs/>
          <w:szCs w:val="22"/>
          <w14:ligatures w14:val="none"/>
        </w:rPr>
        <w:t>3</w:t>
      </w:r>
      <w:r w:rsidRPr="00A0395F">
        <w:rPr>
          <w:rFonts w:ascii="Times New Roman" w:eastAsia="宋体" w:hAnsi="Times New Roman" w:cs="Times New Roman"/>
          <w:b/>
          <w:bCs/>
          <w:szCs w:val="22"/>
          <w14:ligatures w14:val="none"/>
        </w:rPr>
        <w:t xml:space="preserve">. </w:t>
      </w:r>
      <w:r w:rsidR="009B4CF9" w:rsidRPr="009B4CF9">
        <w:rPr>
          <w:rFonts w:ascii="Times New Roman" w:eastAsia="宋体" w:hAnsi="Times New Roman" w:cs="Times New Roman"/>
          <w:szCs w:val="22"/>
          <w14:ligatures w14:val="none"/>
        </w:rPr>
        <w:t>TGA profile</w:t>
      </w:r>
      <w:r w:rsidRPr="00A0395F">
        <w:rPr>
          <w:rFonts w:ascii="Times New Roman" w:eastAsia="宋体" w:hAnsi="Times New Roman" w:cs="Times New Roman"/>
          <w:szCs w:val="22"/>
          <w14:ligatures w14:val="none"/>
        </w:rPr>
        <w:t xml:space="preserve"> o</w:t>
      </w:r>
      <w:r w:rsidRPr="00A0395F">
        <w:rPr>
          <w:rFonts w:ascii="Times New Roman" w:eastAsia="宋体" w:hAnsi="Times New Roman" w:cs="Times New Roman" w:hint="eastAsia"/>
          <w:szCs w:val="22"/>
          <w14:ligatures w14:val="none"/>
        </w:rPr>
        <w:t xml:space="preserve">f </w:t>
      </w:r>
      <w:r w:rsidRPr="00A06ECB">
        <w:rPr>
          <w:rFonts w:ascii="Times New Roman" w:eastAsia="宋体" w:hAnsi="Times New Roman" w:cs="Times New Roman" w:hint="eastAsia"/>
          <w:szCs w:val="22"/>
          <w14:ligatures w14:val="none"/>
        </w:rPr>
        <w:t>Eu-BBDC/BDC-OH</w:t>
      </w:r>
      <w:r w:rsidRPr="00A0395F">
        <w:rPr>
          <w:rFonts w:ascii="Times New Roman" w:eastAsia="宋体" w:hAnsi="Times New Roman" w:cs="Times New Roman"/>
          <w:szCs w:val="22"/>
          <w14:ligatures w14:val="none"/>
        </w:rPr>
        <w:t>.</w:t>
      </w:r>
    </w:p>
    <w:p w14:paraId="486D1A9C" w14:textId="77777777" w:rsidR="00A0395F" w:rsidRPr="00A0395F" w:rsidRDefault="00A0395F" w:rsidP="00D3572C"/>
    <w:p w14:paraId="6E6FBFCC" w14:textId="77777777" w:rsidR="001B09DB" w:rsidRDefault="001B09DB" w:rsidP="00D3572C"/>
    <w:p w14:paraId="2886CDBE" w14:textId="77777777" w:rsidR="001B09DB" w:rsidRDefault="001B09DB" w:rsidP="00D3572C"/>
    <w:p w14:paraId="6264F34C" w14:textId="77777777" w:rsidR="001B09DB" w:rsidRDefault="001B09DB" w:rsidP="00D3572C"/>
    <w:p w14:paraId="5D852390" w14:textId="77777777" w:rsidR="0002459F" w:rsidRDefault="0002459F" w:rsidP="00D3572C"/>
    <w:p w14:paraId="6CE585AF" w14:textId="77777777" w:rsidR="0002459F" w:rsidRDefault="0002459F" w:rsidP="00D3572C"/>
    <w:p w14:paraId="785830B2" w14:textId="77777777" w:rsidR="0002459F" w:rsidRDefault="0002459F" w:rsidP="00D3572C"/>
    <w:p w14:paraId="444068CF" w14:textId="77777777" w:rsidR="0002459F" w:rsidRDefault="0002459F" w:rsidP="00D3572C"/>
    <w:p w14:paraId="363BB5C8" w14:textId="77777777" w:rsidR="0002459F" w:rsidRDefault="0002459F" w:rsidP="00D3572C"/>
    <w:p w14:paraId="0A3C76BA" w14:textId="77777777" w:rsidR="0002459F" w:rsidRDefault="0002459F" w:rsidP="00D3572C"/>
    <w:p w14:paraId="32F5C4E6" w14:textId="77777777" w:rsidR="0002459F" w:rsidRDefault="0002459F" w:rsidP="00D3572C"/>
    <w:p w14:paraId="2EF52848" w14:textId="77777777" w:rsidR="0002459F" w:rsidRDefault="0002459F" w:rsidP="00D3572C"/>
    <w:p w14:paraId="2B0540D1" w14:textId="05F53074" w:rsidR="00376DDC" w:rsidRDefault="0002459F" w:rsidP="00D3572C">
      <w:r>
        <w:rPr>
          <w:noProof/>
        </w:rPr>
        <w:lastRenderedPageBreak/>
        <w:drawing>
          <wp:inline distT="0" distB="0" distL="0" distR="0" wp14:anchorId="22F2E07B" wp14:editId="34F71534">
            <wp:extent cx="5286375" cy="4369351"/>
            <wp:effectExtent l="0" t="0" r="0" b="0"/>
            <wp:docPr id="10397998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1449" cy="4390076"/>
                    </a:xfrm>
                    <a:prstGeom prst="rect">
                      <a:avLst/>
                    </a:prstGeom>
                    <a:noFill/>
                    <a:ln>
                      <a:noFill/>
                    </a:ln>
                  </pic:spPr>
                </pic:pic>
              </a:graphicData>
            </a:graphic>
          </wp:inline>
        </w:drawing>
      </w:r>
    </w:p>
    <w:p w14:paraId="1C58ABF5" w14:textId="7AE04D97" w:rsidR="00376DDC" w:rsidRPr="00A06ECB" w:rsidRDefault="00376DDC" w:rsidP="00376DDC">
      <w:pPr>
        <w:spacing w:line="440" w:lineRule="exact"/>
        <w:jc w:val="center"/>
        <w:rPr>
          <w:szCs w:val="22"/>
        </w:rPr>
      </w:pPr>
      <w:r w:rsidRPr="00A06ECB">
        <w:rPr>
          <w:rFonts w:ascii="Times New Roman" w:eastAsia="宋体" w:hAnsi="Times New Roman" w:cs="Times New Roman"/>
          <w:b/>
          <w:bCs/>
          <w:szCs w:val="22"/>
          <w14:ligatures w14:val="none"/>
        </w:rPr>
        <w:t>Fig</w:t>
      </w:r>
      <w:r w:rsidRPr="00A06ECB">
        <w:rPr>
          <w:rFonts w:ascii="Times New Roman" w:eastAsia="宋体" w:hAnsi="Times New Roman" w:cs="Times New Roman" w:hint="eastAsia"/>
          <w:b/>
          <w:bCs/>
          <w:szCs w:val="22"/>
          <w14:ligatures w14:val="none"/>
        </w:rPr>
        <w:t>.</w:t>
      </w:r>
      <w:r w:rsidRPr="00A06ECB">
        <w:rPr>
          <w:rFonts w:ascii="Times New Roman" w:eastAsia="宋体" w:hAnsi="Times New Roman" w:cs="Times New Roman"/>
          <w:b/>
          <w:bCs/>
          <w:szCs w:val="22"/>
          <w14:ligatures w14:val="none"/>
        </w:rPr>
        <w:t xml:space="preserve"> S</w:t>
      </w:r>
      <w:r w:rsidR="00D546C6">
        <w:rPr>
          <w:rFonts w:ascii="Times New Roman" w:eastAsia="宋体" w:hAnsi="Times New Roman" w:cs="Times New Roman" w:hint="eastAsia"/>
          <w:b/>
          <w:bCs/>
          <w:szCs w:val="22"/>
          <w14:ligatures w14:val="none"/>
        </w:rPr>
        <w:t>4</w:t>
      </w:r>
      <w:r w:rsidRPr="00A06ECB">
        <w:rPr>
          <w:rFonts w:ascii="Times New Roman" w:eastAsia="宋体" w:hAnsi="Times New Roman" w:cs="Times New Roman"/>
          <w:b/>
          <w:bCs/>
          <w:szCs w:val="22"/>
          <w14:ligatures w14:val="none"/>
        </w:rPr>
        <w:t>.</w:t>
      </w:r>
      <w:r w:rsidRPr="00A06ECB">
        <w:rPr>
          <w:szCs w:val="22"/>
        </w:rPr>
        <w:t xml:space="preserve"> </w:t>
      </w:r>
      <w:r w:rsidRPr="00A06ECB">
        <w:rPr>
          <w:rFonts w:ascii="Times New Roman" w:eastAsia="宋体" w:hAnsi="Times New Roman" w:cs="Times New Roman"/>
          <w:szCs w:val="22"/>
          <w14:ligatures w14:val="none"/>
        </w:rPr>
        <w:t>Z</w:t>
      </w:r>
      <w:r w:rsidRPr="00A06ECB">
        <w:rPr>
          <w:rFonts w:ascii="Times New Roman" w:eastAsia="宋体" w:hAnsi="Times New Roman" w:cs="Times New Roman" w:hint="eastAsia"/>
          <w:szCs w:val="22"/>
          <w14:ligatures w14:val="none"/>
        </w:rPr>
        <w:t>eta</w:t>
      </w:r>
      <w:r w:rsidRPr="00A06ECB">
        <w:rPr>
          <w:rFonts w:ascii="Times New Roman" w:eastAsia="宋体" w:hAnsi="Times New Roman" w:cs="Times New Roman"/>
          <w:szCs w:val="22"/>
          <w14:ligatures w14:val="none"/>
        </w:rPr>
        <w:t xml:space="preserve"> potentials of</w:t>
      </w:r>
      <w:r w:rsidRPr="00A06ECB">
        <w:rPr>
          <w:rFonts w:ascii="Times New Roman" w:eastAsia="宋体" w:hAnsi="Times New Roman" w:cs="Times New Roman" w:hint="eastAsia"/>
          <w:szCs w:val="22"/>
          <w14:ligatures w14:val="none"/>
        </w:rPr>
        <w:t xml:space="preserve"> </w:t>
      </w:r>
      <w:r w:rsidRPr="00A06ECB">
        <w:rPr>
          <w:rFonts w:ascii="Times New Roman" w:eastAsia="宋体" w:hAnsi="Times New Roman" w:cs="Times New Roman" w:hint="eastAsia"/>
          <w:bCs/>
          <w:szCs w:val="22"/>
          <w14:ligatures w14:val="none"/>
        </w:rPr>
        <w:t>Omethoate</w:t>
      </w:r>
      <w:r w:rsidRPr="00A06ECB">
        <w:rPr>
          <w:rFonts w:ascii="Times New Roman" w:eastAsia="宋体" w:hAnsi="Times New Roman" w:cs="Times New Roman"/>
          <w:szCs w:val="22"/>
          <w14:ligatures w14:val="none"/>
        </w:rPr>
        <w:t xml:space="preserve"> and </w:t>
      </w:r>
      <w:r w:rsidRPr="00A06ECB">
        <w:rPr>
          <w:rFonts w:ascii="Times New Roman" w:eastAsia="宋体" w:hAnsi="Times New Roman" w:cs="Times New Roman" w:hint="eastAsia"/>
          <w:bCs/>
          <w:szCs w:val="22"/>
          <w14:ligatures w14:val="none"/>
        </w:rPr>
        <w:t>Eu-BBDC/BDC-OH</w:t>
      </w:r>
      <w:r w:rsidRPr="00A06ECB">
        <w:rPr>
          <w:rFonts w:ascii="Times New Roman" w:eastAsia="宋体" w:hAnsi="Times New Roman" w:cs="Times New Roman" w:hint="eastAsia"/>
          <w:szCs w:val="22"/>
          <w14:ligatures w14:val="none"/>
        </w:rPr>
        <w:t xml:space="preserve"> before and after</w:t>
      </w:r>
      <w:r w:rsidRPr="00A06ECB">
        <w:rPr>
          <w:rFonts w:ascii="Times New Roman" w:eastAsia="宋体" w:hAnsi="Times New Roman" w:cs="Times New Roman"/>
          <w:szCs w:val="22"/>
          <w14:ligatures w14:val="none"/>
        </w:rPr>
        <w:t xml:space="preserve"> </w:t>
      </w:r>
      <w:r w:rsidRPr="00A06ECB">
        <w:rPr>
          <w:rFonts w:ascii="Times New Roman" w:eastAsia="宋体" w:hAnsi="Times New Roman" w:cs="Times New Roman" w:hint="eastAsia"/>
          <w:szCs w:val="22"/>
          <w14:ligatures w14:val="none"/>
        </w:rPr>
        <w:t xml:space="preserve">the addition of </w:t>
      </w:r>
      <w:r w:rsidRPr="00A06ECB">
        <w:rPr>
          <w:rFonts w:ascii="Times New Roman" w:eastAsia="宋体" w:hAnsi="Times New Roman" w:cs="Times New Roman" w:hint="eastAsia"/>
          <w:bCs/>
          <w:szCs w:val="22"/>
          <w14:ligatures w14:val="none"/>
        </w:rPr>
        <w:t>Omethoate</w:t>
      </w:r>
      <w:r w:rsidRPr="00A06ECB">
        <w:rPr>
          <w:rFonts w:ascii="Times New Roman" w:eastAsia="宋体" w:hAnsi="Times New Roman" w:cs="Times New Roman" w:hint="eastAsia"/>
          <w:szCs w:val="22"/>
          <w14:ligatures w14:val="none"/>
        </w:rPr>
        <w:t>.</w:t>
      </w:r>
    </w:p>
    <w:p w14:paraId="6FC07254" w14:textId="10C99BB1" w:rsidR="00376DDC" w:rsidRPr="00376DDC" w:rsidRDefault="00376DDC" w:rsidP="00D3572C"/>
    <w:p w14:paraId="202682BA" w14:textId="77777777" w:rsidR="00376DDC" w:rsidRDefault="00376DDC" w:rsidP="00D3572C"/>
    <w:p w14:paraId="2D158605" w14:textId="77777777" w:rsidR="00376DDC" w:rsidRDefault="00376DDC" w:rsidP="00D3572C"/>
    <w:p w14:paraId="33766530" w14:textId="77777777" w:rsidR="00376DDC" w:rsidRDefault="00376DDC" w:rsidP="00D3572C"/>
    <w:p w14:paraId="121124E0" w14:textId="77777777" w:rsidR="00376DDC" w:rsidRDefault="00376DDC" w:rsidP="00D3572C"/>
    <w:p w14:paraId="0D344853" w14:textId="77777777" w:rsidR="00376DDC" w:rsidRDefault="00376DDC" w:rsidP="00D3572C"/>
    <w:p w14:paraId="60F1AB86" w14:textId="77777777" w:rsidR="00376DDC" w:rsidRDefault="00376DDC" w:rsidP="00D3572C"/>
    <w:p w14:paraId="107E752C" w14:textId="3C89FF52" w:rsidR="00376DDC" w:rsidRDefault="00A06ECB" w:rsidP="00D3572C">
      <w:r>
        <w:rPr>
          <w:rFonts w:hint="eastAsia"/>
          <w:noProof/>
        </w:rPr>
        <w:lastRenderedPageBreak/>
        <w:drawing>
          <wp:inline distT="0" distB="0" distL="0" distR="0" wp14:anchorId="560D7E04" wp14:editId="74F708E0">
            <wp:extent cx="5274310" cy="3832225"/>
            <wp:effectExtent l="0" t="0" r="2540" b="0"/>
            <wp:docPr id="548788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88520" name="图片 5487885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832225"/>
                    </a:xfrm>
                    <a:prstGeom prst="rect">
                      <a:avLst/>
                    </a:prstGeom>
                  </pic:spPr>
                </pic:pic>
              </a:graphicData>
            </a:graphic>
          </wp:inline>
        </w:drawing>
      </w:r>
    </w:p>
    <w:p w14:paraId="67A8CB27" w14:textId="77777777" w:rsidR="00376DDC" w:rsidRDefault="00376DDC" w:rsidP="00D3572C"/>
    <w:p w14:paraId="2E6502FE" w14:textId="45B110A5" w:rsidR="00376DDC" w:rsidRPr="00A06ECB" w:rsidRDefault="00A06ECB" w:rsidP="00A06ECB">
      <w:pPr>
        <w:jc w:val="center"/>
        <w:rPr>
          <w:rFonts w:ascii="Times New Roman" w:eastAsia="宋体" w:hAnsi="Times New Roman" w:cs="Times New Roman"/>
          <w:szCs w:val="22"/>
          <w14:ligatures w14:val="none"/>
        </w:rPr>
      </w:pPr>
      <w:r w:rsidRPr="00A06ECB">
        <w:rPr>
          <w:rFonts w:ascii="Times New Roman" w:eastAsia="宋体" w:hAnsi="Times New Roman" w:cs="Times New Roman"/>
          <w:b/>
          <w:bCs/>
          <w:szCs w:val="22"/>
          <w14:ligatures w14:val="none"/>
        </w:rPr>
        <w:t>Fig</w:t>
      </w:r>
      <w:r w:rsidRPr="00A06ECB">
        <w:rPr>
          <w:rFonts w:ascii="Times New Roman" w:eastAsia="宋体" w:hAnsi="Times New Roman" w:cs="Times New Roman" w:hint="eastAsia"/>
          <w:b/>
          <w:bCs/>
          <w:szCs w:val="22"/>
          <w14:ligatures w14:val="none"/>
        </w:rPr>
        <w:t>.</w:t>
      </w:r>
      <w:r w:rsidRPr="00A06ECB">
        <w:rPr>
          <w:rFonts w:ascii="Times New Roman" w:eastAsia="宋体" w:hAnsi="Times New Roman" w:cs="Times New Roman"/>
          <w:b/>
          <w:bCs/>
          <w:szCs w:val="22"/>
          <w14:ligatures w14:val="none"/>
        </w:rPr>
        <w:t xml:space="preserve"> S</w:t>
      </w:r>
      <w:r w:rsidR="00D546C6">
        <w:rPr>
          <w:rFonts w:ascii="Times New Roman" w:eastAsia="宋体" w:hAnsi="Times New Roman" w:cs="Times New Roman" w:hint="eastAsia"/>
          <w:b/>
          <w:bCs/>
          <w:szCs w:val="22"/>
          <w14:ligatures w14:val="none"/>
        </w:rPr>
        <w:t>5</w:t>
      </w:r>
      <w:r w:rsidRPr="00A06ECB">
        <w:rPr>
          <w:rFonts w:ascii="Times New Roman" w:eastAsia="宋体" w:hAnsi="Times New Roman" w:cs="Times New Roman"/>
          <w:b/>
          <w:bCs/>
          <w:szCs w:val="22"/>
          <w14:ligatures w14:val="none"/>
        </w:rPr>
        <w:t>.</w:t>
      </w:r>
      <w:r w:rsidRPr="00A06ECB">
        <w:rPr>
          <w:szCs w:val="22"/>
        </w:rPr>
        <w:t xml:space="preserve"> </w:t>
      </w:r>
      <w:r w:rsidRPr="00A06ECB">
        <w:rPr>
          <w:rFonts w:ascii="Times New Roman" w:eastAsia="宋体" w:hAnsi="Times New Roman" w:cs="Times New Roman"/>
          <w:szCs w:val="22"/>
          <w14:ligatures w14:val="none"/>
        </w:rPr>
        <w:t xml:space="preserve">(A) The effect of different </w:t>
      </w:r>
      <w:r w:rsidRPr="00A06ECB">
        <w:rPr>
          <w:rFonts w:ascii="Times New Roman" w:eastAsia="宋体" w:hAnsi="Times New Roman" w:cs="Times New Roman" w:hint="eastAsia"/>
          <w:bCs/>
          <w:szCs w:val="22"/>
          <w14:ligatures w14:val="none"/>
        </w:rPr>
        <w:t>Eu-BBDC/BDC-OH</w:t>
      </w:r>
      <w:r w:rsidRPr="00A06ECB">
        <w:rPr>
          <w:rFonts w:ascii="Times New Roman" w:eastAsia="宋体" w:hAnsi="Times New Roman" w:cs="Times New Roman"/>
          <w:szCs w:val="22"/>
          <w14:ligatures w14:val="none"/>
        </w:rPr>
        <w:t xml:space="preserve"> concentrations (from left to right: </w:t>
      </w:r>
      <w:r w:rsidRPr="00A06ECB">
        <w:rPr>
          <w:rFonts w:ascii="Times New Roman" w:eastAsia="宋体" w:hAnsi="Times New Roman" w:cs="Times New Roman" w:hint="eastAsia"/>
          <w:szCs w:val="22"/>
          <w14:ligatures w14:val="none"/>
        </w:rPr>
        <w:t>1</w:t>
      </w:r>
      <w:r w:rsidRPr="00A06ECB">
        <w:rPr>
          <w:rFonts w:ascii="Times New Roman" w:eastAsia="宋体" w:hAnsi="Times New Roman" w:cs="Times New Roman"/>
          <w:szCs w:val="22"/>
          <w14:ligatures w14:val="none"/>
        </w:rPr>
        <w:t xml:space="preserve">0, </w:t>
      </w:r>
      <w:r w:rsidRPr="00A06ECB">
        <w:rPr>
          <w:rFonts w:ascii="Times New Roman" w:eastAsia="宋体" w:hAnsi="Times New Roman" w:cs="Times New Roman" w:hint="eastAsia"/>
          <w:szCs w:val="22"/>
          <w14:ligatures w14:val="none"/>
        </w:rPr>
        <w:t>2</w:t>
      </w:r>
      <w:r w:rsidRPr="00A06ECB">
        <w:rPr>
          <w:rFonts w:ascii="Times New Roman" w:eastAsia="宋体" w:hAnsi="Times New Roman" w:cs="Times New Roman"/>
          <w:szCs w:val="22"/>
          <w14:ligatures w14:val="none"/>
        </w:rPr>
        <w:t xml:space="preserve">0, </w:t>
      </w:r>
      <w:r w:rsidRPr="00A06ECB">
        <w:rPr>
          <w:rFonts w:ascii="Times New Roman" w:eastAsia="宋体" w:hAnsi="Times New Roman" w:cs="Times New Roman" w:hint="eastAsia"/>
          <w:szCs w:val="22"/>
          <w14:ligatures w14:val="none"/>
        </w:rPr>
        <w:t>4</w:t>
      </w:r>
      <w:r w:rsidRPr="00A06ECB">
        <w:rPr>
          <w:rFonts w:ascii="Times New Roman" w:eastAsia="宋体" w:hAnsi="Times New Roman" w:cs="Times New Roman"/>
          <w:szCs w:val="22"/>
          <w14:ligatures w14:val="none"/>
        </w:rPr>
        <w:t xml:space="preserve">0, </w:t>
      </w:r>
      <w:r w:rsidRPr="00A06ECB">
        <w:rPr>
          <w:rFonts w:ascii="Times New Roman" w:eastAsia="宋体" w:hAnsi="Times New Roman" w:cs="Times New Roman" w:hint="eastAsia"/>
          <w:szCs w:val="22"/>
          <w14:ligatures w14:val="none"/>
        </w:rPr>
        <w:t>6</w:t>
      </w:r>
      <w:r w:rsidRPr="00A06ECB">
        <w:rPr>
          <w:rFonts w:ascii="Times New Roman" w:eastAsia="宋体" w:hAnsi="Times New Roman" w:cs="Times New Roman"/>
          <w:szCs w:val="22"/>
          <w14:ligatures w14:val="none"/>
        </w:rPr>
        <w:t>0,</w:t>
      </w:r>
      <w:r w:rsidRPr="00A06ECB">
        <w:rPr>
          <w:rFonts w:ascii="Times New Roman" w:eastAsia="宋体" w:hAnsi="Times New Roman" w:cs="Times New Roman" w:hint="eastAsia"/>
          <w:szCs w:val="22"/>
          <w14:ligatures w14:val="none"/>
        </w:rPr>
        <w:t xml:space="preserve"> 8</w:t>
      </w:r>
      <w:r w:rsidRPr="00A06ECB">
        <w:rPr>
          <w:rFonts w:ascii="Times New Roman" w:eastAsia="宋体" w:hAnsi="Times New Roman" w:cs="Times New Roman"/>
          <w:szCs w:val="22"/>
          <w14:ligatures w14:val="none"/>
        </w:rPr>
        <w:t>0, 1</w:t>
      </w:r>
      <w:r w:rsidRPr="00A06ECB">
        <w:rPr>
          <w:rFonts w:ascii="Times New Roman" w:eastAsia="宋体" w:hAnsi="Times New Roman" w:cs="Times New Roman" w:hint="eastAsia"/>
          <w:szCs w:val="22"/>
          <w14:ligatures w14:val="none"/>
        </w:rPr>
        <w:t>0</w:t>
      </w:r>
      <w:r w:rsidRPr="00A06ECB">
        <w:rPr>
          <w:rFonts w:ascii="Times New Roman" w:eastAsia="宋体" w:hAnsi="Times New Roman" w:cs="Times New Roman"/>
          <w:szCs w:val="22"/>
          <w14:ligatures w14:val="none"/>
        </w:rPr>
        <w:t>0, and 1</w:t>
      </w:r>
      <w:r w:rsidRPr="00A06ECB">
        <w:rPr>
          <w:rFonts w:ascii="Times New Roman" w:eastAsia="宋体" w:hAnsi="Times New Roman" w:cs="Times New Roman" w:hint="eastAsia"/>
          <w:szCs w:val="22"/>
          <w14:ligatures w14:val="none"/>
        </w:rPr>
        <w:t>2</w:t>
      </w:r>
      <w:r w:rsidRPr="00A06ECB">
        <w:rPr>
          <w:rFonts w:ascii="Times New Roman" w:eastAsia="宋体" w:hAnsi="Times New Roman" w:cs="Times New Roman"/>
          <w:szCs w:val="22"/>
          <w14:ligatures w14:val="none"/>
        </w:rPr>
        <w:t xml:space="preserve">0 µg/mL) on the </w:t>
      </w:r>
      <w:r w:rsidRPr="00A06ECB">
        <w:rPr>
          <w:rFonts w:ascii="Times New Roman" w:eastAsia="宋体" w:hAnsi="Times New Roman" w:cs="Times New Roman" w:hint="eastAsia"/>
          <w:szCs w:val="22"/>
          <w14:ligatures w14:val="none"/>
        </w:rPr>
        <w:t>F0</w:t>
      </w:r>
      <w:r w:rsidRPr="00A06ECB">
        <w:rPr>
          <w:rFonts w:ascii="Times New Roman" w:eastAsia="宋体" w:hAnsi="Times New Roman" w:cs="Times New Roman"/>
          <w:szCs w:val="22"/>
          <w14:ligatures w14:val="none"/>
        </w:rPr>
        <w:t xml:space="preserve"> and </w:t>
      </w:r>
      <w:r w:rsidRPr="00A06ECB">
        <w:rPr>
          <w:rFonts w:ascii="Times New Roman" w:eastAsia="宋体" w:hAnsi="Times New Roman" w:cs="Times New Roman" w:hint="eastAsia"/>
          <w:szCs w:val="22"/>
          <w14:ligatures w14:val="none"/>
        </w:rPr>
        <w:t>(F0-F)/F0</w:t>
      </w:r>
      <w:r w:rsidRPr="00A06ECB">
        <w:rPr>
          <w:rFonts w:ascii="Times New Roman" w:eastAsia="宋体" w:hAnsi="Times New Roman" w:cs="Times New Roman"/>
          <w:szCs w:val="22"/>
          <w14:ligatures w14:val="none"/>
        </w:rPr>
        <w:t>.</w:t>
      </w:r>
      <w:r w:rsidRPr="00A06ECB">
        <w:rPr>
          <w:rFonts w:ascii="Times New Roman" w:eastAsia="宋体" w:hAnsi="Times New Roman" w:cs="Times New Roman" w:hint="eastAsia"/>
          <w:szCs w:val="22"/>
          <w14:ligatures w14:val="none"/>
        </w:rPr>
        <w:t xml:space="preserve"> </w:t>
      </w:r>
      <w:r w:rsidRPr="00A06ECB">
        <w:rPr>
          <w:rFonts w:ascii="Times New Roman" w:eastAsia="宋体" w:hAnsi="Times New Roman" w:cs="Times New Roman"/>
          <w:szCs w:val="22"/>
          <w14:ligatures w14:val="none"/>
        </w:rPr>
        <w:t xml:space="preserve">(B) The influence of different pH values </w:t>
      </w:r>
      <w:r w:rsidRPr="00A06ECB">
        <w:rPr>
          <w:rFonts w:ascii="Times New Roman" w:eastAsia="宋体" w:hAnsi="Times New Roman" w:cs="Times New Roman" w:hint="eastAsia"/>
          <w:szCs w:val="22"/>
          <w14:ligatures w14:val="none"/>
        </w:rPr>
        <w:t>(</w:t>
      </w:r>
      <w:r w:rsidRPr="00A06ECB">
        <w:rPr>
          <w:rFonts w:ascii="Times New Roman" w:eastAsia="宋体" w:hAnsi="Times New Roman" w:cs="Times New Roman"/>
          <w:szCs w:val="22"/>
          <w14:ligatures w14:val="none"/>
        </w:rPr>
        <w:t xml:space="preserve">from left to right: 5, 6, 7, 8, and 9) on the </w:t>
      </w:r>
      <w:r w:rsidRPr="00A06ECB">
        <w:rPr>
          <w:rFonts w:ascii="Times New Roman" w:eastAsia="宋体" w:hAnsi="Times New Roman" w:cs="Times New Roman" w:hint="eastAsia"/>
          <w:szCs w:val="22"/>
          <w14:ligatures w14:val="none"/>
        </w:rPr>
        <w:t>F0</w:t>
      </w:r>
      <w:r w:rsidRPr="00A06ECB">
        <w:rPr>
          <w:rFonts w:ascii="Times New Roman" w:eastAsia="宋体" w:hAnsi="Times New Roman" w:cs="Times New Roman"/>
          <w:szCs w:val="22"/>
          <w14:ligatures w14:val="none"/>
        </w:rPr>
        <w:t xml:space="preserve"> and </w:t>
      </w:r>
      <w:r w:rsidRPr="00A06ECB">
        <w:rPr>
          <w:rFonts w:ascii="Times New Roman" w:eastAsia="宋体" w:hAnsi="Times New Roman" w:cs="Times New Roman" w:hint="eastAsia"/>
          <w:szCs w:val="22"/>
          <w14:ligatures w14:val="none"/>
        </w:rPr>
        <w:t>(F0-F)/F0</w:t>
      </w:r>
      <w:r w:rsidRPr="00A06ECB">
        <w:rPr>
          <w:rFonts w:ascii="Times New Roman" w:eastAsia="宋体" w:hAnsi="Times New Roman" w:cs="Times New Roman"/>
          <w:szCs w:val="22"/>
          <w14:ligatures w14:val="none"/>
        </w:rPr>
        <w:t>.</w:t>
      </w:r>
      <w:r w:rsidRPr="00A06ECB">
        <w:rPr>
          <w:rFonts w:ascii="Times New Roman" w:eastAsia="宋体" w:hAnsi="Times New Roman" w:cs="Times New Roman" w:hint="eastAsia"/>
          <w:szCs w:val="22"/>
          <w14:ligatures w14:val="none"/>
        </w:rPr>
        <w:t xml:space="preserve"> </w:t>
      </w:r>
      <w:r w:rsidRPr="00A06ECB">
        <w:rPr>
          <w:rFonts w:ascii="Times New Roman" w:eastAsia="宋体" w:hAnsi="Times New Roman" w:cs="Times New Roman"/>
          <w:szCs w:val="22"/>
          <w14:ligatures w14:val="none"/>
        </w:rPr>
        <w:t>(</w:t>
      </w:r>
      <w:r w:rsidRPr="00A06ECB">
        <w:rPr>
          <w:rFonts w:ascii="Times New Roman" w:eastAsia="宋体" w:hAnsi="Times New Roman" w:cs="Times New Roman" w:hint="eastAsia"/>
          <w:szCs w:val="22"/>
          <w14:ligatures w14:val="none"/>
        </w:rPr>
        <w:t>C</w:t>
      </w:r>
      <w:r w:rsidRPr="00A06ECB">
        <w:rPr>
          <w:rFonts w:ascii="Times New Roman" w:eastAsia="宋体" w:hAnsi="Times New Roman" w:cs="Times New Roman"/>
          <w:szCs w:val="22"/>
          <w14:ligatures w14:val="none"/>
        </w:rPr>
        <w:t xml:space="preserve">) The effect of different temperatures (from left to right: </w:t>
      </w:r>
      <w:r w:rsidRPr="00A06ECB">
        <w:rPr>
          <w:rFonts w:ascii="Times New Roman" w:eastAsia="宋体" w:hAnsi="Times New Roman" w:cs="Times New Roman" w:hint="eastAsia"/>
          <w:szCs w:val="22"/>
          <w14:ligatures w14:val="none"/>
        </w:rPr>
        <w:t>10, 20</w:t>
      </w:r>
      <w:r w:rsidRPr="00A06ECB">
        <w:rPr>
          <w:rFonts w:ascii="Times New Roman" w:eastAsia="宋体" w:hAnsi="Times New Roman" w:cs="Times New Roman"/>
          <w:szCs w:val="22"/>
          <w14:ligatures w14:val="none"/>
        </w:rPr>
        <w:t xml:space="preserve">, </w:t>
      </w:r>
      <w:r w:rsidRPr="00A06ECB">
        <w:rPr>
          <w:rFonts w:ascii="Times New Roman" w:eastAsia="宋体" w:hAnsi="Times New Roman" w:cs="Times New Roman" w:hint="eastAsia"/>
          <w:szCs w:val="22"/>
          <w14:ligatures w14:val="none"/>
        </w:rPr>
        <w:t>30</w:t>
      </w:r>
      <w:r w:rsidRPr="00A06ECB">
        <w:rPr>
          <w:rFonts w:ascii="Times New Roman" w:eastAsia="宋体" w:hAnsi="Times New Roman" w:cs="Times New Roman"/>
          <w:szCs w:val="22"/>
          <w14:ligatures w14:val="none"/>
        </w:rPr>
        <w:t xml:space="preserve">, </w:t>
      </w:r>
      <w:r w:rsidRPr="00A06ECB">
        <w:rPr>
          <w:rFonts w:ascii="Times New Roman" w:eastAsia="宋体" w:hAnsi="Times New Roman" w:cs="Times New Roman" w:hint="eastAsia"/>
          <w:szCs w:val="22"/>
          <w14:ligatures w14:val="none"/>
        </w:rPr>
        <w:t>40</w:t>
      </w:r>
      <w:r w:rsidRPr="00A06ECB">
        <w:rPr>
          <w:rFonts w:ascii="Times New Roman" w:eastAsia="宋体" w:hAnsi="Times New Roman" w:cs="Times New Roman"/>
          <w:szCs w:val="22"/>
          <w14:ligatures w14:val="none"/>
        </w:rPr>
        <w:t xml:space="preserve">, </w:t>
      </w:r>
      <w:r w:rsidRPr="00A06ECB">
        <w:rPr>
          <w:rFonts w:ascii="Times New Roman" w:eastAsia="宋体" w:hAnsi="Times New Roman" w:cs="Times New Roman" w:hint="eastAsia"/>
          <w:szCs w:val="22"/>
          <w14:ligatures w14:val="none"/>
        </w:rPr>
        <w:t>50</w:t>
      </w:r>
      <w:r w:rsidRPr="00A06ECB">
        <w:rPr>
          <w:rFonts w:ascii="Times New Roman" w:eastAsia="宋体" w:hAnsi="Times New Roman" w:cs="Times New Roman"/>
          <w:szCs w:val="22"/>
          <w14:ligatures w14:val="none"/>
        </w:rPr>
        <w:t>, and 6</w:t>
      </w:r>
      <w:r w:rsidRPr="00A06ECB">
        <w:rPr>
          <w:rFonts w:ascii="Times New Roman" w:eastAsia="宋体" w:hAnsi="Times New Roman" w:cs="Times New Roman" w:hint="eastAsia"/>
          <w:szCs w:val="22"/>
          <w14:ligatures w14:val="none"/>
        </w:rPr>
        <w:t>0</w:t>
      </w:r>
      <w:r w:rsidRPr="00A06ECB">
        <w:rPr>
          <w:rFonts w:ascii="Times New Roman" w:eastAsia="宋体" w:hAnsi="Times New Roman" w:cs="Times New Roman"/>
          <w:szCs w:val="22"/>
          <w14:ligatures w14:val="none"/>
        </w:rPr>
        <w:t xml:space="preserve"> °C) on the </w:t>
      </w:r>
      <w:r w:rsidRPr="00A06ECB">
        <w:rPr>
          <w:rFonts w:ascii="Times New Roman" w:eastAsia="宋体" w:hAnsi="Times New Roman" w:cs="Times New Roman" w:hint="eastAsia"/>
          <w:szCs w:val="22"/>
          <w14:ligatures w14:val="none"/>
        </w:rPr>
        <w:t>F0</w:t>
      </w:r>
      <w:r w:rsidRPr="00A06ECB">
        <w:rPr>
          <w:rFonts w:ascii="Times New Roman" w:eastAsia="宋体" w:hAnsi="Times New Roman" w:cs="Times New Roman"/>
          <w:szCs w:val="22"/>
          <w14:ligatures w14:val="none"/>
        </w:rPr>
        <w:t xml:space="preserve"> and </w:t>
      </w:r>
      <w:r w:rsidRPr="00A06ECB">
        <w:rPr>
          <w:rFonts w:ascii="Times New Roman" w:eastAsia="宋体" w:hAnsi="Times New Roman" w:cs="Times New Roman" w:hint="eastAsia"/>
          <w:szCs w:val="22"/>
          <w14:ligatures w14:val="none"/>
        </w:rPr>
        <w:t>(F0-F)/F0</w:t>
      </w:r>
      <w:r w:rsidRPr="00A06ECB">
        <w:rPr>
          <w:rFonts w:ascii="Times New Roman" w:eastAsia="宋体" w:hAnsi="Times New Roman" w:cs="Times New Roman"/>
          <w:szCs w:val="22"/>
          <w14:ligatures w14:val="none"/>
        </w:rPr>
        <w:t>. (</w:t>
      </w:r>
      <w:r w:rsidRPr="00A06ECB">
        <w:rPr>
          <w:rFonts w:ascii="Times New Roman" w:eastAsia="宋体" w:hAnsi="Times New Roman" w:cs="Times New Roman" w:hint="eastAsia"/>
          <w:szCs w:val="22"/>
          <w14:ligatures w14:val="none"/>
        </w:rPr>
        <w:t>D</w:t>
      </w:r>
      <w:r w:rsidRPr="00A06ECB">
        <w:rPr>
          <w:rFonts w:ascii="Times New Roman" w:eastAsia="宋体" w:hAnsi="Times New Roman" w:cs="Times New Roman"/>
          <w:szCs w:val="22"/>
          <w14:ligatures w14:val="none"/>
        </w:rPr>
        <w:t>) The influence of different incubation times (from left to right: 0, 10,</w:t>
      </w:r>
      <w:r w:rsidRPr="00A06ECB">
        <w:rPr>
          <w:rFonts w:ascii="Times New Roman" w:eastAsia="宋体" w:hAnsi="Times New Roman" w:cs="Times New Roman" w:hint="eastAsia"/>
          <w:szCs w:val="22"/>
          <w14:ligatures w14:val="none"/>
        </w:rPr>
        <w:t xml:space="preserve"> </w:t>
      </w:r>
      <w:r w:rsidRPr="00A06ECB">
        <w:rPr>
          <w:rFonts w:ascii="Times New Roman" w:eastAsia="宋体" w:hAnsi="Times New Roman" w:cs="Times New Roman"/>
          <w:szCs w:val="22"/>
          <w14:ligatures w14:val="none"/>
        </w:rPr>
        <w:t xml:space="preserve">20, 30, 40, 50, and 60 min) on the </w:t>
      </w:r>
      <w:r w:rsidRPr="00A06ECB">
        <w:rPr>
          <w:rFonts w:ascii="Times New Roman" w:eastAsia="宋体" w:hAnsi="Times New Roman" w:cs="Times New Roman" w:hint="eastAsia"/>
          <w:szCs w:val="22"/>
          <w14:ligatures w14:val="none"/>
        </w:rPr>
        <w:t>F0</w:t>
      </w:r>
      <w:r w:rsidRPr="00A06ECB">
        <w:rPr>
          <w:rFonts w:ascii="Times New Roman" w:eastAsia="宋体" w:hAnsi="Times New Roman" w:cs="Times New Roman"/>
          <w:szCs w:val="22"/>
          <w14:ligatures w14:val="none"/>
        </w:rPr>
        <w:t xml:space="preserve"> and </w:t>
      </w:r>
      <w:r w:rsidRPr="00A06ECB">
        <w:rPr>
          <w:rFonts w:ascii="Times New Roman" w:eastAsia="宋体" w:hAnsi="Times New Roman" w:cs="Times New Roman" w:hint="eastAsia"/>
          <w:szCs w:val="22"/>
          <w14:ligatures w14:val="none"/>
        </w:rPr>
        <w:t>(F0-F)/F0</w:t>
      </w:r>
      <w:r w:rsidRPr="00A06ECB">
        <w:rPr>
          <w:rFonts w:ascii="Times New Roman" w:eastAsia="宋体" w:hAnsi="Times New Roman" w:cs="Times New Roman"/>
          <w:szCs w:val="22"/>
          <w14:ligatures w14:val="none"/>
        </w:rPr>
        <w:t>.</w:t>
      </w:r>
    </w:p>
    <w:p w14:paraId="091D5DD3" w14:textId="77777777" w:rsidR="00376DDC" w:rsidRPr="00A06ECB" w:rsidRDefault="00376DDC" w:rsidP="00D3572C"/>
    <w:p w14:paraId="4525E8A5" w14:textId="77777777" w:rsidR="00376DDC" w:rsidRDefault="00376DDC" w:rsidP="00D3572C"/>
    <w:p w14:paraId="6C1E48C6" w14:textId="77777777" w:rsidR="00376DDC" w:rsidRDefault="00376DDC" w:rsidP="00D3572C"/>
    <w:p w14:paraId="41A7E089" w14:textId="77777777" w:rsidR="00376DDC" w:rsidRDefault="00376DDC" w:rsidP="00D3572C"/>
    <w:p w14:paraId="16D09DCB" w14:textId="77777777" w:rsidR="00904C62" w:rsidRDefault="00904C62" w:rsidP="00D3572C"/>
    <w:p w14:paraId="700B3004" w14:textId="77777777" w:rsidR="00904C62" w:rsidRDefault="00904C62" w:rsidP="00D3572C"/>
    <w:p w14:paraId="2BC0B9BA" w14:textId="77777777" w:rsidR="007869A0" w:rsidRDefault="007869A0" w:rsidP="00D3572C"/>
    <w:p w14:paraId="2A55F115" w14:textId="77777777" w:rsidR="007869A0" w:rsidRDefault="007869A0" w:rsidP="00D3572C"/>
    <w:p w14:paraId="4CCE44AF" w14:textId="77777777" w:rsidR="007869A0" w:rsidRDefault="007869A0" w:rsidP="00D3572C"/>
    <w:p w14:paraId="7D0B5A89" w14:textId="77777777" w:rsidR="00904C62" w:rsidRDefault="00904C62" w:rsidP="00D3572C"/>
    <w:p w14:paraId="4760707A" w14:textId="10D2E281" w:rsidR="008E1B60" w:rsidRDefault="00FD47A9" w:rsidP="00D3572C">
      <w:r>
        <w:rPr>
          <w:noProof/>
        </w:rPr>
        <w:lastRenderedPageBreak/>
        <w:drawing>
          <wp:inline distT="0" distB="0" distL="0" distR="0" wp14:anchorId="3AC12EE2" wp14:editId="6DCD4A8E">
            <wp:extent cx="5257800" cy="4468341"/>
            <wp:effectExtent l="0" t="0" r="0" b="8890"/>
            <wp:docPr id="17197250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25014" name="图片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97653" cy="4502210"/>
                    </a:xfrm>
                    <a:prstGeom prst="rect">
                      <a:avLst/>
                    </a:prstGeom>
                  </pic:spPr>
                </pic:pic>
              </a:graphicData>
            </a:graphic>
          </wp:inline>
        </w:drawing>
      </w:r>
    </w:p>
    <w:p w14:paraId="1647B399" w14:textId="5C6A6BDB" w:rsidR="00FD47A9" w:rsidRPr="00FD47A9" w:rsidRDefault="00FD47A9" w:rsidP="00FD47A9">
      <w:pPr>
        <w:jc w:val="center"/>
        <w:rPr>
          <w:rFonts w:ascii="Times New Roman" w:eastAsia="宋体" w:hAnsi="Times New Roman" w:cs="Times New Roman"/>
          <w:szCs w:val="22"/>
          <w14:ligatures w14:val="none"/>
        </w:rPr>
      </w:pPr>
      <w:r w:rsidRPr="00A0395F">
        <w:rPr>
          <w:rFonts w:ascii="Times New Roman" w:eastAsia="宋体" w:hAnsi="Times New Roman" w:cs="Times New Roman"/>
          <w:b/>
          <w:bCs/>
          <w:szCs w:val="22"/>
          <w14:ligatures w14:val="none"/>
        </w:rPr>
        <w:t>Fig</w:t>
      </w:r>
      <w:r w:rsidRPr="00A0395F">
        <w:rPr>
          <w:rFonts w:ascii="Times New Roman" w:eastAsia="宋体" w:hAnsi="Times New Roman" w:cs="Times New Roman" w:hint="eastAsia"/>
          <w:b/>
          <w:bCs/>
          <w:szCs w:val="22"/>
          <w14:ligatures w14:val="none"/>
        </w:rPr>
        <w:t>.</w:t>
      </w:r>
      <w:r w:rsidRPr="00A0395F">
        <w:rPr>
          <w:rFonts w:ascii="Times New Roman" w:eastAsia="宋体" w:hAnsi="Times New Roman" w:cs="Times New Roman"/>
          <w:b/>
          <w:bCs/>
          <w:szCs w:val="22"/>
          <w14:ligatures w14:val="none"/>
        </w:rPr>
        <w:t xml:space="preserve"> S</w:t>
      </w:r>
      <w:r>
        <w:rPr>
          <w:rFonts w:ascii="Times New Roman" w:eastAsia="宋体" w:hAnsi="Times New Roman" w:cs="Times New Roman" w:hint="eastAsia"/>
          <w:b/>
          <w:bCs/>
          <w:szCs w:val="22"/>
          <w14:ligatures w14:val="none"/>
        </w:rPr>
        <w:t>6</w:t>
      </w:r>
      <w:r w:rsidRPr="00A0395F">
        <w:rPr>
          <w:rFonts w:ascii="Times New Roman" w:eastAsia="宋体" w:hAnsi="Times New Roman" w:cs="Times New Roman"/>
          <w:b/>
          <w:bCs/>
          <w:szCs w:val="22"/>
          <w14:ligatures w14:val="none"/>
        </w:rPr>
        <w:t xml:space="preserve">. </w:t>
      </w:r>
      <w:r w:rsidRPr="00FD47A9">
        <w:rPr>
          <w:rFonts w:ascii="Times New Roman" w:eastAsia="宋体" w:hAnsi="Times New Roman" w:cs="Times New Roman"/>
          <w:szCs w:val="22"/>
          <w14:ligatures w14:val="none"/>
        </w:rPr>
        <w:t>(F</w:t>
      </w:r>
      <w:r w:rsidRPr="00FD47A9">
        <w:rPr>
          <w:rFonts w:ascii="Times New Roman" w:eastAsia="宋体" w:hAnsi="Times New Roman" w:cs="Times New Roman" w:hint="eastAsia"/>
          <w:szCs w:val="22"/>
          <w:vertAlign w:val="subscript"/>
          <w14:ligatures w14:val="none"/>
        </w:rPr>
        <w:t>0</w:t>
      </w:r>
      <w:r w:rsidRPr="00FD47A9">
        <w:rPr>
          <w:rFonts w:ascii="Times New Roman" w:eastAsia="宋体" w:hAnsi="Times New Roman" w:cs="Times New Roman"/>
          <w:szCs w:val="22"/>
          <w14:ligatures w14:val="none"/>
        </w:rPr>
        <w:t>-F)/F</w:t>
      </w:r>
      <w:r w:rsidRPr="00FD47A9">
        <w:rPr>
          <w:rFonts w:ascii="Times New Roman" w:eastAsia="宋体" w:hAnsi="Times New Roman" w:cs="Times New Roman" w:hint="eastAsia"/>
          <w:szCs w:val="22"/>
          <w:vertAlign w:val="subscript"/>
          <w14:ligatures w14:val="none"/>
        </w:rPr>
        <w:t>0</w:t>
      </w:r>
      <w:r w:rsidRPr="00FD47A9">
        <w:rPr>
          <w:rFonts w:ascii="Times New Roman" w:eastAsia="宋体" w:hAnsi="Times New Roman" w:cs="Times New Roman"/>
          <w:szCs w:val="22"/>
          <w14:ligatures w14:val="none"/>
        </w:rPr>
        <w:t xml:space="preserve"> of </w:t>
      </w:r>
      <w:r w:rsidRPr="00A06ECB">
        <w:rPr>
          <w:rFonts w:ascii="Times New Roman" w:eastAsia="宋体" w:hAnsi="Times New Roman" w:cs="Times New Roman" w:hint="eastAsia"/>
          <w:bCs/>
          <w:szCs w:val="22"/>
          <w14:ligatures w14:val="none"/>
        </w:rPr>
        <w:t>Eu-BBDC/BDC-OH</w:t>
      </w:r>
      <w:r w:rsidRPr="00FD47A9">
        <w:rPr>
          <w:rFonts w:ascii="Times New Roman" w:eastAsia="宋体" w:hAnsi="Times New Roman" w:cs="Times New Roman"/>
          <w:szCs w:val="22"/>
          <w14:ligatures w14:val="none"/>
        </w:rPr>
        <w:t xml:space="preserve"> in the presence of a mixed solution of </w:t>
      </w:r>
      <w:r>
        <w:rPr>
          <w:rFonts w:ascii="Times New Roman" w:eastAsia="宋体" w:hAnsi="Times New Roman" w:cs="Times New Roman" w:hint="eastAsia"/>
          <w:szCs w:val="22"/>
          <w14:ligatures w14:val="none"/>
        </w:rPr>
        <w:t xml:space="preserve">OMT </w:t>
      </w:r>
      <w:r w:rsidRPr="00FD47A9">
        <w:rPr>
          <w:rFonts w:ascii="Times New Roman" w:eastAsia="宋体" w:hAnsi="Times New Roman" w:cs="Times New Roman"/>
          <w:szCs w:val="22"/>
          <w14:ligatures w14:val="none"/>
        </w:rPr>
        <w:t>and other interfering substances. Error bar represents the standard deviation (n = 3).</w:t>
      </w:r>
    </w:p>
    <w:p w14:paraId="7547A463" w14:textId="57C1AAC1" w:rsidR="00FD47A9" w:rsidRPr="00A0395F" w:rsidRDefault="00FD47A9" w:rsidP="00B45CE7">
      <w:pPr>
        <w:rPr>
          <w:rFonts w:ascii="Times New Roman" w:eastAsia="宋体" w:hAnsi="Times New Roman" w:cs="Times New Roman"/>
          <w:b/>
          <w:bCs/>
          <w:szCs w:val="22"/>
          <w14:ligatures w14:val="none"/>
        </w:rPr>
      </w:pPr>
    </w:p>
    <w:p w14:paraId="5FA5D0C9" w14:textId="77777777" w:rsidR="008E1B60" w:rsidRPr="00FD47A9" w:rsidRDefault="008E1B60" w:rsidP="00D3572C"/>
    <w:p w14:paraId="125F434C" w14:textId="77777777" w:rsidR="008E1B60" w:rsidRDefault="008E1B60" w:rsidP="00D3572C"/>
    <w:p w14:paraId="478AF07D" w14:textId="77777777" w:rsidR="008E1B60" w:rsidRDefault="008E1B60" w:rsidP="00D3572C"/>
    <w:p w14:paraId="73A688EC" w14:textId="77777777" w:rsidR="008E1B60" w:rsidRDefault="008E1B60" w:rsidP="00D3572C"/>
    <w:p w14:paraId="5E8EBE67" w14:textId="77777777" w:rsidR="008E1B60" w:rsidRDefault="008E1B60" w:rsidP="00D3572C"/>
    <w:p w14:paraId="0C35AA00" w14:textId="77777777" w:rsidR="008E1B60" w:rsidRDefault="008E1B60" w:rsidP="00D3572C"/>
    <w:p w14:paraId="5EFD97F1" w14:textId="77777777" w:rsidR="008E1B60" w:rsidRDefault="008E1B60" w:rsidP="00D3572C"/>
    <w:p w14:paraId="3C30D4F0" w14:textId="77777777" w:rsidR="008E1B60" w:rsidRDefault="008E1B60" w:rsidP="00D3572C"/>
    <w:p w14:paraId="5B910580" w14:textId="77777777" w:rsidR="008E1B60" w:rsidRDefault="008E1B60" w:rsidP="00D3572C">
      <w:pPr>
        <w:rPr>
          <w:rFonts w:hint="eastAsia"/>
        </w:rPr>
      </w:pPr>
    </w:p>
    <w:tbl>
      <w:tblPr>
        <w:tblW w:w="11000" w:type="dxa"/>
        <w:tblInd w:w="-368" w:type="dxa"/>
        <w:tblLook w:val="04A0" w:firstRow="1" w:lastRow="0" w:firstColumn="1" w:lastColumn="0" w:noHBand="0" w:noVBand="1"/>
      </w:tblPr>
      <w:tblGrid>
        <w:gridCol w:w="3173"/>
        <w:gridCol w:w="1505"/>
        <w:gridCol w:w="1360"/>
        <w:gridCol w:w="2552"/>
        <w:gridCol w:w="2410"/>
      </w:tblGrid>
      <w:tr w:rsidR="009B296A" w:rsidRPr="009B296A" w14:paraId="021A4711" w14:textId="77777777" w:rsidTr="009534D5">
        <w:trPr>
          <w:trHeight w:val="480"/>
        </w:trPr>
        <w:tc>
          <w:tcPr>
            <w:tcW w:w="3173" w:type="dxa"/>
            <w:tcBorders>
              <w:top w:val="single" w:sz="12" w:space="0" w:color="auto"/>
              <w:left w:val="nil"/>
              <w:bottom w:val="single" w:sz="12" w:space="0" w:color="auto"/>
              <w:right w:val="nil"/>
            </w:tcBorders>
            <w:noWrap/>
            <w:vAlign w:val="center"/>
            <w:hideMark/>
          </w:tcPr>
          <w:p w14:paraId="4DEDB189"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lastRenderedPageBreak/>
              <w:t>Sensors</w:t>
            </w:r>
          </w:p>
        </w:tc>
        <w:tc>
          <w:tcPr>
            <w:tcW w:w="1505" w:type="dxa"/>
            <w:tcBorders>
              <w:top w:val="single" w:sz="12" w:space="0" w:color="auto"/>
              <w:left w:val="nil"/>
              <w:bottom w:val="single" w:sz="12" w:space="0" w:color="auto"/>
              <w:right w:val="nil"/>
            </w:tcBorders>
            <w:noWrap/>
            <w:vAlign w:val="center"/>
            <w:hideMark/>
          </w:tcPr>
          <w:p w14:paraId="32C0B654"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Linear range (μg/mL)</w:t>
            </w:r>
          </w:p>
        </w:tc>
        <w:tc>
          <w:tcPr>
            <w:tcW w:w="1360" w:type="dxa"/>
            <w:tcBorders>
              <w:top w:val="single" w:sz="12" w:space="0" w:color="auto"/>
              <w:left w:val="nil"/>
              <w:bottom w:val="single" w:sz="12" w:space="0" w:color="auto"/>
              <w:right w:val="nil"/>
            </w:tcBorders>
            <w:noWrap/>
            <w:vAlign w:val="center"/>
            <w:hideMark/>
          </w:tcPr>
          <w:p w14:paraId="261F7B06"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LOD (ng/mL)</w:t>
            </w:r>
          </w:p>
        </w:tc>
        <w:tc>
          <w:tcPr>
            <w:tcW w:w="2552" w:type="dxa"/>
            <w:tcBorders>
              <w:top w:val="single" w:sz="12" w:space="0" w:color="auto"/>
              <w:left w:val="nil"/>
              <w:bottom w:val="single" w:sz="12" w:space="0" w:color="auto"/>
              <w:right w:val="nil"/>
            </w:tcBorders>
            <w:noWrap/>
            <w:vAlign w:val="center"/>
            <w:hideMark/>
          </w:tcPr>
          <w:p w14:paraId="20BF6C19"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Sample type</w:t>
            </w:r>
          </w:p>
        </w:tc>
        <w:tc>
          <w:tcPr>
            <w:tcW w:w="2410" w:type="dxa"/>
            <w:tcBorders>
              <w:top w:val="single" w:sz="12" w:space="0" w:color="auto"/>
              <w:left w:val="nil"/>
              <w:bottom w:val="single" w:sz="12" w:space="0" w:color="auto"/>
              <w:right w:val="nil"/>
            </w:tcBorders>
            <w:noWrap/>
            <w:vAlign w:val="center"/>
            <w:hideMark/>
          </w:tcPr>
          <w:p w14:paraId="6AA2C988"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Cs w:val="22"/>
                <w14:ligatures w14:val="none"/>
              </w:rPr>
            </w:pPr>
            <w:r w:rsidRPr="009B296A">
              <w:rPr>
                <w:rFonts w:ascii="Times New Roman" w:eastAsia="宋体" w:hAnsi="Times New Roman" w:cs="Times New Roman"/>
                <w:color w:val="000000"/>
                <w:kern w:val="0"/>
                <w:szCs w:val="22"/>
                <w14:ligatures w14:val="none"/>
              </w:rPr>
              <w:t>Ref.</w:t>
            </w:r>
          </w:p>
        </w:tc>
      </w:tr>
      <w:tr w:rsidR="009B296A" w:rsidRPr="009B296A" w14:paraId="7E38DA92" w14:textId="77777777" w:rsidTr="009534D5">
        <w:trPr>
          <w:trHeight w:val="379"/>
        </w:trPr>
        <w:tc>
          <w:tcPr>
            <w:tcW w:w="3173" w:type="dxa"/>
            <w:tcBorders>
              <w:top w:val="nil"/>
              <w:left w:val="nil"/>
              <w:bottom w:val="nil"/>
              <w:right w:val="nil"/>
            </w:tcBorders>
            <w:noWrap/>
            <w:vAlign w:val="center"/>
            <w:hideMark/>
          </w:tcPr>
          <w:p w14:paraId="452516CA"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de-CD–Hg</w:t>
            </w:r>
            <w:r w:rsidRPr="009B296A">
              <w:rPr>
                <w:rFonts w:ascii="Times New Roman" w:eastAsia="宋体" w:hAnsi="Times New Roman" w:cs="Times New Roman"/>
                <w:color w:val="000000"/>
                <w:kern w:val="0"/>
                <w:sz w:val="24"/>
                <w:vertAlign w:val="superscript"/>
                <w14:ligatures w14:val="none"/>
              </w:rPr>
              <w:t>2+</w:t>
            </w:r>
          </w:p>
        </w:tc>
        <w:tc>
          <w:tcPr>
            <w:tcW w:w="1505" w:type="dxa"/>
            <w:tcBorders>
              <w:top w:val="nil"/>
              <w:left w:val="nil"/>
              <w:bottom w:val="nil"/>
              <w:right w:val="nil"/>
            </w:tcBorders>
            <w:noWrap/>
            <w:vAlign w:val="center"/>
            <w:hideMark/>
          </w:tcPr>
          <w:p w14:paraId="3AE82564"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0.01–8</w:t>
            </w:r>
          </w:p>
        </w:tc>
        <w:tc>
          <w:tcPr>
            <w:tcW w:w="1360" w:type="dxa"/>
            <w:tcBorders>
              <w:top w:val="nil"/>
              <w:left w:val="nil"/>
              <w:bottom w:val="nil"/>
              <w:right w:val="nil"/>
            </w:tcBorders>
            <w:noWrap/>
            <w:vAlign w:val="center"/>
            <w:hideMark/>
          </w:tcPr>
          <w:p w14:paraId="76EF4E48"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2.8</w:t>
            </w:r>
          </w:p>
        </w:tc>
        <w:tc>
          <w:tcPr>
            <w:tcW w:w="2552" w:type="dxa"/>
            <w:tcBorders>
              <w:top w:val="nil"/>
              <w:left w:val="nil"/>
              <w:bottom w:val="nil"/>
              <w:right w:val="nil"/>
            </w:tcBorders>
            <w:noWrap/>
            <w:vAlign w:val="center"/>
            <w:hideMark/>
          </w:tcPr>
          <w:p w14:paraId="559B2202"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Brassica chinensis</w:t>
            </w:r>
          </w:p>
        </w:tc>
        <w:tc>
          <w:tcPr>
            <w:tcW w:w="2410" w:type="dxa"/>
            <w:tcBorders>
              <w:top w:val="nil"/>
              <w:left w:val="nil"/>
              <w:bottom w:val="nil"/>
              <w:right w:val="nil"/>
            </w:tcBorders>
            <w:noWrap/>
            <w:vAlign w:val="center"/>
            <w:hideMark/>
          </w:tcPr>
          <w:p w14:paraId="3B747853" w14:textId="1F4EA93C" w:rsidR="009B296A" w:rsidRPr="009B296A" w:rsidRDefault="00342940" w:rsidP="009B296A">
            <w:pPr>
              <w:widowControl/>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fldChar w:fldCharType="begin"/>
            </w:r>
            <w:r>
              <w:rPr>
                <w:rFonts w:ascii="Times New Roman" w:eastAsia="宋体" w:hAnsi="Times New Roman" w:cs="Times New Roman"/>
                <w:color w:val="000000"/>
                <w:kern w:val="0"/>
                <w:szCs w:val="22"/>
                <w14:ligatures w14:val="none"/>
              </w:rPr>
              <w:instrText xml:space="preserve"> ADDIN ZOTERO_ITEM CSL_CITATION {"citationID":"6TTXl7ke","properties":{"formattedCitation":"(Wu et al., 2024)","plainCitation":"(Wu et al., 2024)","noteIndex":0},"citationItems":[{"id":402,"uris":["http://zotero.org/users/15826280/items/D9BRTA7V"],"itemData":{"id":402,"type":"article-journal","abstract":"Accurate and rapid monitoring of organophosphorus pesticides (OPs) residues is crucial for regulating food safety. Herein, dual-emission carbon dots (de-CDs) were fabricated for the ratiometric detection of OPs and Hg2+. The de-CDs exhibited two emission peaks at 678 and 485 nm when excited with visible light. Interestingly, the fluorescence at 678 nm was significantly quenched by Hg2+ mainly because of the static quenching effect, whereas that at 485 nm exhibited a slight change. More significantly, the quenched fluorescence of the de-CDs recovered remarkably after introducing omethoate, diazinon and malathion. Accordingly, the ratiometric detection of the three OPs and Hg2+ was achieved with high selectivity and robust performance. In addition, the OPs residues assay in Brassica chinensis was successfully performed with satisfactory results. This study not only provides an attractive tool for the simple and rapid assay of OPs but also offers new insight</w:instrText>
            </w:r>
            <w:r>
              <w:rPr>
                <w:rFonts w:ascii="Times New Roman" w:eastAsia="宋体" w:hAnsi="Times New Roman" w:cs="Times New Roman" w:hint="eastAsia"/>
                <w:color w:val="000000"/>
                <w:kern w:val="0"/>
                <w:szCs w:val="22"/>
                <w14:ligatures w14:val="none"/>
              </w:rPr>
              <w:instrText>s into the fabrication of multi-functional carbon dots.","container-title":"Food Chemistry","DOI":"10.1016/j.foodchem.2024.139755","ISSN":"03088146","journalAbbreviation":"Food Chemistry","language":"en","note":"remark: 6\ntitleTranslation: pH</w:instrText>
            </w:r>
            <w:r>
              <w:rPr>
                <w:rFonts w:ascii="Times New Roman" w:eastAsia="宋体" w:hAnsi="Times New Roman" w:cs="Times New Roman" w:hint="eastAsia"/>
                <w:color w:val="000000"/>
                <w:kern w:val="0"/>
                <w:szCs w:val="22"/>
                <w14:ligatures w14:val="none"/>
              </w:rPr>
              <w:instrText>响应的双发射碳点，用于在中国十字花科中检测有机磷农药和水中的</w:instrText>
            </w:r>
            <w:r>
              <w:rPr>
                <w:rFonts w:ascii="Times New Roman" w:eastAsia="宋体" w:hAnsi="Times New Roman" w:cs="Times New Roman" w:hint="eastAsia"/>
                <w:color w:val="000000"/>
                <w:kern w:val="0"/>
                <w:szCs w:val="22"/>
                <w14:ligatures w14:val="none"/>
              </w:rPr>
              <w:instrText>Hg2+</w:instrText>
            </w:r>
            <w:r>
              <w:rPr>
                <w:rFonts w:ascii="Times New Roman" w:eastAsia="宋体" w:hAnsi="Times New Roman" w:cs="Times New Roman" w:hint="eastAsia"/>
                <w:color w:val="000000"/>
                <w:kern w:val="0"/>
                <w:szCs w:val="22"/>
                <w14:ligatures w14:val="none"/>
              </w:rPr>
              <w:instrText>。</w:instrText>
            </w:r>
            <w:r>
              <w:rPr>
                <w:rFonts w:ascii="Times New Roman" w:eastAsia="宋体" w:hAnsi="Times New Roman" w:cs="Times New Roman" w:hint="eastAsia"/>
                <w:color w:val="000000"/>
                <w:kern w:val="0"/>
                <w:szCs w:val="22"/>
                <w14:ligatures w14:val="none"/>
              </w:rPr>
              <w:instrText>","page":"139755","source":"DOI.org (Crossref)","title":"pH-responsive dual-emission carbon dots for the ratiometric detection of organophosphorus pesticides in Brassica chinensis and Hg2+ in water","volume":"454","author":[{"family</w:instrText>
            </w:r>
            <w:r>
              <w:rPr>
                <w:rFonts w:ascii="Times New Roman" w:eastAsia="宋体" w:hAnsi="Times New Roman" w:cs="Times New Roman"/>
                <w:color w:val="000000"/>
                <w:kern w:val="0"/>
                <w:szCs w:val="22"/>
                <w14:ligatures w14:val="none"/>
              </w:rPr>
              <w:instrText xml:space="preserve">":"Wu","given":"Huifang"},{"family":"Wang","given":"Qiqi"},{"family":"Dong","given":"Miaochen"},{"family":"Liu","given":"Xinyue"},{"family":"Tang","given":"Yanfeng"}],"issued":{"date-parts":[["2024",10]]}}}],"schema":"https://github.com/citation-style-language/schema/raw/master/csl-citation.json"} </w:instrText>
            </w:r>
            <w:r>
              <w:rPr>
                <w:rFonts w:ascii="Times New Roman" w:eastAsia="宋体" w:hAnsi="Times New Roman" w:cs="Times New Roman"/>
                <w:color w:val="000000"/>
                <w:kern w:val="0"/>
                <w:szCs w:val="22"/>
                <w14:ligatures w14:val="none"/>
              </w:rPr>
              <w:fldChar w:fldCharType="separate"/>
            </w:r>
            <w:r w:rsidRPr="00342940">
              <w:rPr>
                <w:rFonts w:ascii="Times New Roman" w:hAnsi="Times New Roman" w:cs="Times New Roman"/>
              </w:rPr>
              <w:t>(Wu et al., 2024)</w:t>
            </w:r>
            <w:r>
              <w:rPr>
                <w:rFonts w:ascii="Times New Roman" w:eastAsia="宋体" w:hAnsi="Times New Roman" w:cs="Times New Roman"/>
                <w:color w:val="000000"/>
                <w:kern w:val="0"/>
                <w:szCs w:val="22"/>
                <w14:ligatures w14:val="none"/>
              </w:rPr>
              <w:fldChar w:fldCharType="end"/>
            </w:r>
          </w:p>
        </w:tc>
      </w:tr>
      <w:tr w:rsidR="009B296A" w:rsidRPr="009B296A" w14:paraId="75900220" w14:textId="77777777" w:rsidTr="009534D5">
        <w:trPr>
          <w:trHeight w:val="379"/>
        </w:trPr>
        <w:tc>
          <w:tcPr>
            <w:tcW w:w="3173" w:type="dxa"/>
            <w:tcBorders>
              <w:top w:val="nil"/>
              <w:left w:val="nil"/>
              <w:bottom w:val="nil"/>
              <w:right w:val="nil"/>
            </w:tcBorders>
            <w:noWrap/>
            <w:vAlign w:val="center"/>
            <w:hideMark/>
          </w:tcPr>
          <w:p w14:paraId="66260BBF"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Cu-MOFs</w:t>
            </w:r>
          </w:p>
        </w:tc>
        <w:tc>
          <w:tcPr>
            <w:tcW w:w="1505" w:type="dxa"/>
            <w:tcBorders>
              <w:top w:val="nil"/>
              <w:left w:val="nil"/>
              <w:bottom w:val="nil"/>
              <w:right w:val="nil"/>
            </w:tcBorders>
            <w:noWrap/>
            <w:vAlign w:val="center"/>
            <w:hideMark/>
          </w:tcPr>
          <w:p w14:paraId="5C9D9034"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0-1</w:t>
            </w:r>
          </w:p>
        </w:tc>
        <w:tc>
          <w:tcPr>
            <w:tcW w:w="1360" w:type="dxa"/>
            <w:tcBorders>
              <w:top w:val="nil"/>
              <w:left w:val="nil"/>
              <w:bottom w:val="nil"/>
              <w:right w:val="nil"/>
            </w:tcBorders>
            <w:noWrap/>
            <w:vAlign w:val="center"/>
            <w:hideMark/>
          </w:tcPr>
          <w:p w14:paraId="23B1F15C"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16</w:t>
            </w:r>
          </w:p>
        </w:tc>
        <w:tc>
          <w:tcPr>
            <w:tcW w:w="2552" w:type="dxa"/>
            <w:tcBorders>
              <w:top w:val="nil"/>
              <w:left w:val="nil"/>
              <w:bottom w:val="nil"/>
              <w:right w:val="nil"/>
            </w:tcBorders>
            <w:noWrap/>
            <w:vAlign w:val="center"/>
            <w:hideMark/>
          </w:tcPr>
          <w:p w14:paraId="7C85216C"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cabbage</w:t>
            </w:r>
          </w:p>
        </w:tc>
        <w:tc>
          <w:tcPr>
            <w:tcW w:w="2410" w:type="dxa"/>
            <w:tcBorders>
              <w:top w:val="nil"/>
              <w:left w:val="nil"/>
              <w:bottom w:val="nil"/>
              <w:right w:val="nil"/>
            </w:tcBorders>
            <w:noWrap/>
            <w:vAlign w:val="center"/>
            <w:hideMark/>
          </w:tcPr>
          <w:p w14:paraId="1A60259F" w14:textId="08D78CD0" w:rsidR="009B296A" w:rsidRPr="009B296A" w:rsidRDefault="00483E16" w:rsidP="009B296A">
            <w:pPr>
              <w:widowControl/>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fldChar w:fldCharType="begin"/>
            </w:r>
            <w:r>
              <w:rPr>
                <w:rFonts w:ascii="Times New Roman" w:eastAsia="宋体" w:hAnsi="Times New Roman" w:cs="Times New Roman"/>
                <w:color w:val="000000"/>
                <w:kern w:val="0"/>
                <w:szCs w:val="22"/>
                <w14:ligatures w14:val="none"/>
              </w:rPr>
              <w:instrText xml:space="preserve"> ADDIN ZOTERO_ITEM CSL_CITATION {"citationID":"1orOBr7a","properties":{"formattedCitation":"(Lin et al., 2025)","plainCitation":"(Lin et al., 2025)","noteIndex":0},"citationItems":[{"id":388,"uris":["http://zotero.org/users/15826280/items/83CMRS4A"],"itemData":{"id":388,"type":"article-journal","abstract":"To effectively overcome the shortcomings of traditional chromatographic and enzymatic methods for detecting organophosphorus pesticides, Cu-MOFs with inherent peroxidase (POD)-like activity were constructed for direct colorimetric detection of omethoate (OMT). Benefiting from the mesoporous and benzene ring structure, CuMOFs demonstrated excellent OMT enrichment capability. OMT exhibited a pronounced inhibitory effect on the POD-like activity of Cu-MOFs whereas other pesticides showed negligible interference, demonstrating the specific identification of OMT by Cu-MOFs. Experimental data and theoretical calculations indicated that OMT effectively bond to Cu-MOFs through Cu2+ coordination and ligand binding. Owning to its enrichment, identification and catalytic abilities, OMT detection was achieved and the limit of detection (LOD) was 16 μg L 1. Furthermore, a smartphone-assisted portable detection was established with a LOD of 79 μg L 1. Validation experiments of cabbage samples confirmed its’ reliability for practical applications. Our system integrated the enrichment, identification, and detection of OMT within a single system, improving both sensitivity and operational convenience.","container-title"</w:instrText>
            </w:r>
            <w:r>
              <w:rPr>
                <w:rFonts w:ascii="Times New Roman" w:eastAsia="宋体" w:hAnsi="Times New Roman" w:cs="Times New Roman" w:hint="eastAsia"/>
                <w:color w:val="000000"/>
                <w:kern w:val="0"/>
                <w:szCs w:val="22"/>
                <w14:ligatures w14:val="none"/>
              </w:rPr>
              <w:instrText xml:space="preserve">:"Food Bioscience","DOI":"10.1016/j.fbio.2025.107533","ISSN":"22124292","journalAbbreviation":"Food Bioscience","language":"en","note":"remark: 2 Cu-MOFs nanozyme 16\ntitleTranslation: </w:instrText>
            </w:r>
            <w:r>
              <w:rPr>
                <w:rFonts w:ascii="Times New Roman" w:eastAsia="宋体" w:hAnsi="Times New Roman" w:cs="Times New Roman" w:hint="eastAsia"/>
                <w:color w:val="000000"/>
                <w:kern w:val="0"/>
                <w:szCs w:val="22"/>
                <w14:ligatures w14:val="none"/>
              </w:rPr>
              <w:instrText>具有</w:instrText>
            </w:r>
            <w:r>
              <w:rPr>
                <w:rFonts w:ascii="Times New Roman" w:eastAsia="宋体" w:hAnsi="Times New Roman" w:cs="Times New Roman" w:hint="eastAsia"/>
                <w:color w:val="000000"/>
                <w:kern w:val="0"/>
                <w:szCs w:val="22"/>
                <w14:ligatures w14:val="none"/>
              </w:rPr>
              <w:instrText>POD</w:instrText>
            </w:r>
            <w:r>
              <w:rPr>
                <w:rFonts w:ascii="Times New Roman" w:eastAsia="宋体" w:hAnsi="Times New Roman" w:cs="Times New Roman" w:hint="eastAsia"/>
                <w:color w:val="000000"/>
                <w:kern w:val="0"/>
                <w:szCs w:val="22"/>
                <w14:ligatures w14:val="none"/>
              </w:rPr>
              <w:instrText>样活性的</w:instrText>
            </w:r>
            <w:r>
              <w:rPr>
                <w:rFonts w:ascii="Times New Roman" w:eastAsia="宋体" w:hAnsi="Times New Roman" w:cs="Times New Roman" w:hint="eastAsia"/>
                <w:color w:val="000000"/>
                <w:kern w:val="0"/>
                <w:szCs w:val="22"/>
                <w14:ligatures w14:val="none"/>
              </w:rPr>
              <w:instrText>Cu-MOFs</w:instrText>
            </w:r>
            <w:r>
              <w:rPr>
                <w:rFonts w:ascii="Times New Roman" w:eastAsia="宋体" w:hAnsi="Times New Roman" w:cs="Times New Roman" w:hint="eastAsia"/>
                <w:color w:val="000000"/>
                <w:kern w:val="0"/>
                <w:szCs w:val="22"/>
                <w14:ligatures w14:val="none"/>
              </w:rPr>
              <w:instrText>纳米酶用于奥米托酸的富集、鉴定和智能比色检测</w:instrText>
            </w:r>
            <w:r>
              <w:rPr>
                <w:rFonts w:ascii="Times New Roman" w:eastAsia="宋体" w:hAnsi="Times New Roman" w:cs="Times New Roman" w:hint="eastAsia"/>
                <w:color w:val="000000"/>
                <w:kern w:val="0"/>
                <w:szCs w:val="22"/>
                <w14:ligatures w14:val="none"/>
              </w:rPr>
              <w:instrText>","page":"107533","source":"DOI.</w:instrText>
            </w:r>
            <w:r>
              <w:rPr>
                <w:rFonts w:ascii="Times New Roman" w:eastAsia="宋体" w:hAnsi="Times New Roman" w:cs="Times New Roman"/>
                <w:color w:val="000000"/>
                <w:kern w:val="0"/>
                <w:szCs w:val="22"/>
                <w14:ligatures w14:val="none"/>
              </w:rPr>
              <w:instrText xml:space="preserve">org (Crossref)","title":"Cu-MOFs nanozyme with POD-like activity for the enrichment, identification, and intelligent colorimetric detection of omethoate","volume":"72","author":[{"family":"Lin","given":"Xueer"},{"family":"Zou","given":"Jiahui"},{"family":"Zhu","given":"Guancheng"},{"family":"Pang","given":"Linfeng"},{"family":"Chen","given":"Yuqi"},{"family":"Huang","given":"Yanyan"}],"issued":{"date-parts":[["2025",10]]}}}],"schema":"https://github.com/citation-style-language/schema/raw/master/csl-citation.json"} </w:instrText>
            </w:r>
            <w:r>
              <w:rPr>
                <w:rFonts w:ascii="Times New Roman" w:eastAsia="宋体" w:hAnsi="Times New Roman" w:cs="Times New Roman"/>
                <w:color w:val="000000"/>
                <w:kern w:val="0"/>
                <w:szCs w:val="22"/>
                <w14:ligatures w14:val="none"/>
              </w:rPr>
              <w:fldChar w:fldCharType="separate"/>
            </w:r>
            <w:r w:rsidRPr="00483E16">
              <w:rPr>
                <w:rFonts w:ascii="Times New Roman" w:hAnsi="Times New Roman" w:cs="Times New Roman"/>
              </w:rPr>
              <w:t>(Lin et al., 2025)</w:t>
            </w:r>
            <w:r>
              <w:rPr>
                <w:rFonts w:ascii="Times New Roman" w:eastAsia="宋体" w:hAnsi="Times New Roman" w:cs="Times New Roman"/>
                <w:color w:val="000000"/>
                <w:kern w:val="0"/>
                <w:szCs w:val="22"/>
                <w14:ligatures w14:val="none"/>
              </w:rPr>
              <w:fldChar w:fldCharType="end"/>
            </w:r>
          </w:p>
        </w:tc>
      </w:tr>
      <w:tr w:rsidR="009B296A" w:rsidRPr="009B296A" w14:paraId="38399954" w14:textId="77777777" w:rsidTr="009534D5">
        <w:trPr>
          <w:trHeight w:val="379"/>
        </w:trPr>
        <w:tc>
          <w:tcPr>
            <w:tcW w:w="3173" w:type="dxa"/>
            <w:tcBorders>
              <w:top w:val="nil"/>
              <w:left w:val="nil"/>
              <w:bottom w:val="nil"/>
              <w:right w:val="nil"/>
            </w:tcBorders>
            <w:noWrap/>
            <w:vAlign w:val="center"/>
            <w:hideMark/>
          </w:tcPr>
          <w:p w14:paraId="30AE7CC3"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Fe3O4@RhB@ZIF90@AChE</w:t>
            </w:r>
          </w:p>
        </w:tc>
        <w:tc>
          <w:tcPr>
            <w:tcW w:w="1505" w:type="dxa"/>
            <w:tcBorders>
              <w:top w:val="nil"/>
              <w:left w:val="nil"/>
              <w:bottom w:val="nil"/>
              <w:right w:val="nil"/>
            </w:tcBorders>
            <w:noWrap/>
            <w:vAlign w:val="center"/>
            <w:hideMark/>
          </w:tcPr>
          <w:p w14:paraId="30F5177D"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0.01-2</w:t>
            </w:r>
          </w:p>
        </w:tc>
        <w:tc>
          <w:tcPr>
            <w:tcW w:w="1360" w:type="dxa"/>
            <w:tcBorders>
              <w:top w:val="nil"/>
              <w:left w:val="nil"/>
              <w:bottom w:val="nil"/>
              <w:right w:val="nil"/>
            </w:tcBorders>
            <w:noWrap/>
            <w:vAlign w:val="center"/>
            <w:hideMark/>
          </w:tcPr>
          <w:p w14:paraId="4592D74C"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15</w:t>
            </w:r>
          </w:p>
        </w:tc>
        <w:tc>
          <w:tcPr>
            <w:tcW w:w="2552" w:type="dxa"/>
            <w:tcBorders>
              <w:top w:val="nil"/>
              <w:left w:val="nil"/>
              <w:bottom w:val="nil"/>
              <w:right w:val="nil"/>
            </w:tcBorders>
            <w:noWrap/>
            <w:vAlign w:val="center"/>
            <w:hideMark/>
          </w:tcPr>
          <w:p w14:paraId="2D5A63FD"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cucumber/tomato/apple</w:t>
            </w:r>
          </w:p>
        </w:tc>
        <w:tc>
          <w:tcPr>
            <w:tcW w:w="2410" w:type="dxa"/>
            <w:tcBorders>
              <w:top w:val="nil"/>
              <w:left w:val="nil"/>
              <w:bottom w:val="nil"/>
              <w:right w:val="nil"/>
            </w:tcBorders>
            <w:noWrap/>
            <w:vAlign w:val="center"/>
            <w:hideMark/>
          </w:tcPr>
          <w:p w14:paraId="7FBAB188" w14:textId="3EEF9944" w:rsidR="009B296A" w:rsidRPr="009B296A" w:rsidRDefault="00483E16" w:rsidP="00483E16">
            <w:pPr>
              <w:widowControl/>
              <w:spacing w:after="0" w:line="240" w:lineRule="auto"/>
              <w:rPr>
                <w:rFonts w:ascii="Times New Roman" w:eastAsia="宋体" w:hAnsi="Times New Roman" w:cs="Times New Roman"/>
                <w:color w:val="000000"/>
                <w:kern w:val="0"/>
                <w:szCs w:val="22"/>
                <w14:ligatures w14:val="none"/>
              </w:rPr>
            </w:pPr>
            <w:r>
              <w:rPr>
                <w:rFonts w:ascii="Times New Roman" w:eastAsia="宋体" w:hAnsi="Times New Roman" w:cs="Times New Roman" w:hint="eastAsia"/>
                <w:color w:val="000000"/>
                <w:kern w:val="0"/>
                <w:szCs w:val="22"/>
                <w14:ligatures w14:val="none"/>
              </w:rPr>
              <w:t xml:space="preserve"> </w:t>
            </w:r>
            <w:r>
              <w:rPr>
                <w:rFonts w:ascii="Times New Roman" w:eastAsia="宋体" w:hAnsi="Times New Roman" w:cs="Times New Roman"/>
                <w:color w:val="000000"/>
                <w:kern w:val="0"/>
                <w:szCs w:val="22"/>
                <w14:ligatures w14:val="none"/>
              </w:rPr>
              <w:fldChar w:fldCharType="begin"/>
            </w:r>
            <w:r>
              <w:rPr>
                <w:rFonts w:ascii="Times New Roman" w:eastAsia="宋体" w:hAnsi="Times New Roman" w:cs="Times New Roman"/>
                <w:color w:val="000000"/>
                <w:kern w:val="0"/>
                <w:szCs w:val="22"/>
                <w14:ligatures w14:val="none"/>
              </w:rPr>
              <w:instrText xml:space="preserve"> ADDIN ZOTERO_ITEM CSL_CITATION {"citationID":"hOAjNUwu","properties":{"formattedCitation":"(Zhao et al., 2025)","plainCitation":"(Zhao et al., 2025)","noteIndex":0},"citationItems":[{"id":390,"uris":["http://zotero.org/users/15826280/items/JTEVNZVP"],"itemData":{"id":390,"type":"article-journal","abstract":"Metal organic frameworks (MOFs), with their ultrahigh surface area and tunable pore architectures, have emerged as transformative materials for pesticide residue detection. Herein, we engineered a multifunctional magnetic-fluorescent nanoprobe (Fe3O4@RhB@ZIF90@AChE) for organophosphorus (OPs) and carbamate (CMs) pesticides detection via a one-pot synthesis strategy. Leveraging the pore confinement effect of ZIF90, the platform enhances enzyme–substrate affinity while enabling a cascade signal transduction to produce quantifiable fluorescence inversely proportional to pesticide concentrations. The sensor achieved ultralow detection limits for omethoate (0.015 mg/L), carbofuran (0.020 mg/L), dichlorvos (0.019 mg/L), and trichlorfon (0.021 mg/L) across a broad linear range (0.01–2 mg/L), with exceptional reproducibility (RSD &lt; 3.74 %) and accuracy (spiked recoveries: 97.7–4.5 % in fruits/vegetables). Integrated magnetic separation streamlined detection to 20 min, outperforming conventional methods in speed and operational simplicity. This work pioneers a MOF-based “capture-release-signal” paradigm, offering a field-deployable solution for rapid, high-throughput pesticide screening in agricultural and foo</w:instrText>
            </w:r>
            <w:r>
              <w:rPr>
                <w:rFonts w:ascii="Times New Roman" w:eastAsia="宋体" w:hAnsi="Times New Roman" w:cs="Times New Roman" w:hint="eastAsia"/>
                <w:color w:val="000000"/>
                <w:kern w:val="0"/>
                <w:szCs w:val="22"/>
                <w14:ligatures w14:val="none"/>
              </w:rPr>
              <w:instrText>d safety monitoring.","container-title":"Food Chemistry","DOI":"10.1016/j.foodchem.2025.145935","ISSN":"03088146","journalAbbreviation":"Food Chemistry","language":"en","note":"remark: 3   15\ntitleTranslation: MOF</w:instrText>
            </w:r>
            <w:r>
              <w:rPr>
                <w:rFonts w:ascii="Times New Roman" w:eastAsia="宋体" w:hAnsi="Times New Roman" w:cs="Times New Roman" w:hint="eastAsia"/>
                <w:color w:val="000000"/>
                <w:kern w:val="0"/>
                <w:szCs w:val="22"/>
                <w14:ligatures w14:val="none"/>
              </w:rPr>
              <w:instrText>支持的磁荧光传感器，用于现场检测水果和蔬菜中的有机磷</w:instrText>
            </w:r>
            <w:r>
              <w:rPr>
                <w:rFonts w:ascii="Times New Roman" w:eastAsia="宋体" w:hAnsi="Times New Roman" w:cs="Times New Roman" w:hint="eastAsia"/>
                <w:color w:val="000000"/>
                <w:kern w:val="0"/>
                <w:szCs w:val="22"/>
                <w14:ligatures w14:val="none"/>
              </w:rPr>
              <w:instrText>/</w:instrText>
            </w:r>
            <w:r>
              <w:rPr>
                <w:rFonts w:ascii="Times New Roman" w:eastAsia="宋体" w:hAnsi="Times New Roman" w:cs="Times New Roman" w:hint="eastAsia"/>
                <w:color w:val="000000"/>
                <w:kern w:val="0"/>
                <w:szCs w:val="22"/>
                <w14:ligatures w14:val="none"/>
              </w:rPr>
              <w:instrText>氨基酸盐农药</w:instrText>
            </w:r>
            <w:r>
              <w:rPr>
                <w:rFonts w:ascii="Times New Roman" w:eastAsia="宋体" w:hAnsi="Times New Roman" w:cs="Times New Roman" w:hint="eastAsia"/>
                <w:color w:val="000000"/>
                <w:kern w:val="0"/>
                <w:szCs w:val="22"/>
                <w14:ligatures w14:val="none"/>
              </w:rPr>
              <w:instrText>","page"</w:instrText>
            </w:r>
            <w:r>
              <w:rPr>
                <w:rFonts w:ascii="Times New Roman" w:eastAsia="宋体" w:hAnsi="Times New Roman" w:cs="Times New Roman"/>
                <w:color w:val="000000"/>
                <w:kern w:val="0"/>
                <w:szCs w:val="22"/>
                <w14:ligatures w14:val="none"/>
              </w:rPr>
              <w:instrText xml:space="preserve">:"145935","source":"DOI.org (Crossref)","title":"MOF-enabled magnetic-fluorescent sensors for on-site organophosphorus/carbamate pesticide detection in fruits and vegetables","volume":"493","author":[{"family":"Zhao","given":"Yihang"},{"family":"Li","given":"Ruonan"},{"family":"Tang","given":"Jiaze"},{"family":"Liu","given":"Mengge"},{"family":"Zhang","given":"Beining"},{"family":"Chen","given":"Jie"},{"family":"Ren","given":"Shujuan"},{"family":"Ma","given":"Qiang"},{"family":"Sun","given":"Zhaowei"},{"family":"Weng","given":"Haibo"}],"issued":{"date-parts":[["2025",11]]}}}],"schema":"https://github.com/citation-style-language/schema/raw/master/csl-citation.json"} </w:instrText>
            </w:r>
            <w:r>
              <w:rPr>
                <w:rFonts w:ascii="Times New Roman" w:eastAsia="宋体" w:hAnsi="Times New Roman" w:cs="Times New Roman"/>
                <w:color w:val="000000"/>
                <w:kern w:val="0"/>
                <w:szCs w:val="22"/>
                <w14:ligatures w14:val="none"/>
              </w:rPr>
              <w:fldChar w:fldCharType="separate"/>
            </w:r>
            <w:r w:rsidRPr="00483E16">
              <w:rPr>
                <w:rFonts w:ascii="Times New Roman" w:hAnsi="Times New Roman" w:cs="Times New Roman"/>
              </w:rPr>
              <w:t>(Zhao et al., 2025)</w:t>
            </w:r>
            <w:r>
              <w:rPr>
                <w:rFonts w:ascii="Times New Roman" w:eastAsia="宋体" w:hAnsi="Times New Roman" w:cs="Times New Roman"/>
                <w:color w:val="000000"/>
                <w:kern w:val="0"/>
                <w:szCs w:val="22"/>
                <w14:ligatures w14:val="none"/>
              </w:rPr>
              <w:fldChar w:fldCharType="end"/>
            </w:r>
          </w:p>
        </w:tc>
      </w:tr>
      <w:tr w:rsidR="009B296A" w:rsidRPr="009B296A" w14:paraId="4BC0EC85" w14:textId="77777777" w:rsidTr="009534D5">
        <w:trPr>
          <w:trHeight w:val="379"/>
        </w:trPr>
        <w:tc>
          <w:tcPr>
            <w:tcW w:w="3173" w:type="dxa"/>
            <w:tcBorders>
              <w:top w:val="nil"/>
              <w:left w:val="nil"/>
              <w:bottom w:val="nil"/>
              <w:right w:val="nil"/>
            </w:tcBorders>
            <w:noWrap/>
            <w:vAlign w:val="center"/>
            <w:hideMark/>
          </w:tcPr>
          <w:p w14:paraId="14BC0D26"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SACe-N-C nanozyme</w:t>
            </w:r>
          </w:p>
        </w:tc>
        <w:tc>
          <w:tcPr>
            <w:tcW w:w="1505" w:type="dxa"/>
            <w:tcBorders>
              <w:top w:val="nil"/>
              <w:left w:val="nil"/>
              <w:bottom w:val="nil"/>
              <w:right w:val="nil"/>
            </w:tcBorders>
            <w:noWrap/>
            <w:vAlign w:val="center"/>
            <w:hideMark/>
          </w:tcPr>
          <w:p w14:paraId="0D513849"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2-2.85</w:t>
            </w:r>
          </w:p>
        </w:tc>
        <w:tc>
          <w:tcPr>
            <w:tcW w:w="1360" w:type="dxa"/>
            <w:tcBorders>
              <w:top w:val="nil"/>
              <w:left w:val="nil"/>
              <w:bottom w:val="nil"/>
              <w:right w:val="nil"/>
            </w:tcBorders>
            <w:noWrap/>
            <w:vAlign w:val="center"/>
            <w:hideMark/>
          </w:tcPr>
          <w:p w14:paraId="7FE8F4F3"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55.83</w:t>
            </w:r>
          </w:p>
        </w:tc>
        <w:tc>
          <w:tcPr>
            <w:tcW w:w="2552" w:type="dxa"/>
            <w:tcBorders>
              <w:top w:val="nil"/>
              <w:left w:val="nil"/>
              <w:bottom w:val="nil"/>
              <w:right w:val="nil"/>
            </w:tcBorders>
            <w:noWrap/>
            <w:vAlign w:val="center"/>
            <w:hideMark/>
          </w:tcPr>
          <w:p w14:paraId="270A0378"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broccoli</w:t>
            </w:r>
          </w:p>
        </w:tc>
        <w:tc>
          <w:tcPr>
            <w:tcW w:w="2410" w:type="dxa"/>
            <w:tcBorders>
              <w:top w:val="nil"/>
              <w:left w:val="nil"/>
              <w:bottom w:val="nil"/>
              <w:right w:val="nil"/>
            </w:tcBorders>
            <w:noWrap/>
            <w:vAlign w:val="center"/>
            <w:hideMark/>
          </w:tcPr>
          <w:p w14:paraId="4633C95E" w14:textId="366A3342" w:rsidR="009B296A" w:rsidRPr="009B296A" w:rsidRDefault="00972473" w:rsidP="009B296A">
            <w:pPr>
              <w:widowControl/>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fldChar w:fldCharType="begin"/>
            </w:r>
            <w:r>
              <w:rPr>
                <w:rFonts w:ascii="Times New Roman" w:eastAsia="宋体" w:hAnsi="Times New Roman" w:cs="Times New Roman"/>
                <w:color w:val="000000"/>
                <w:kern w:val="0"/>
                <w:szCs w:val="22"/>
                <w14:ligatures w14:val="none"/>
              </w:rPr>
              <w:instrText xml:space="preserve"> ADDIN ZOTERO_ITEM CSL_CITATION {"citationID":"UBiac17m","properties":{"formattedCitation":"(Song et al., 2022)","plainCitation":"(Song et al., 2022)","noteIndex":0},"citationItems":[{"id":398,"uris":["http://zotero.org/users/15826280/items/LB8WT2DY"],"itemData":{"id":398,"type":"article-journal","abstract":"Rapid detection of pesticide residues based on enzyme mimics has recently attracted much interest. However, most nanozymes have low activity. Herein, a “single-atom Ce-N-C nanozyme” (SACe-N-C nanozyme) was rationally devised and verified to mimic peroxidase (POD-like) with superior activity. Based on its high POD-like activities and cascaded catalytic reactions with acetylcholinesterase (AChE), we constructed a bioactive paper for the detection of pesticide residues, which offered a portable approach to monitor fruits and vegetables within 30 min. More importantly, a 3D printed platform was integrated on the basis of SACe-N-C bioactive paper to achieve on-site portable testing of omethoate, methamidophos, carbofuran, and carbosulfan, showing limits of detection (LODs) of 55.83, 71.51, 81.81, and 74.98 ng/mL, respectively. The recovery rates were 84.09–104.68%. This study provided new insight into the design of novel single-atom nanozymes for cascaded catalytic detection and other rapid detection applications with high efficiency and low cost.","container-title":"Food Chemistry","DOI":"10.1016/j.foodchem.2022.132896","ISSN":"03088146","journalAbbreviation":"Food Chemistry","language":"en","note":"remar</w:instrText>
            </w:r>
            <w:r>
              <w:rPr>
                <w:rFonts w:ascii="Times New Roman" w:eastAsia="宋体" w:hAnsi="Times New Roman" w:cs="Times New Roman" w:hint="eastAsia"/>
                <w:color w:val="000000"/>
                <w:kern w:val="0"/>
                <w:szCs w:val="22"/>
                <w14:ligatures w14:val="none"/>
              </w:rPr>
              <w:instrText xml:space="preserve">k: 5\nTLDR: This study provided new insight into the design of novel single-atom nanozymes for cascaded catalytic detection and other rapid detection applications with high efficiency and low cost.\nabstractTranslation: </w:instrText>
            </w:r>
            <w:r>
              <w:rPr>
                <w:rFonts w:ascii="Times New Roman" w:eastAsia="宋体" w:hAnsi="Times New Roman" w:cs="Times New Roman" w:hint="eastAsia"/>
                <w:color w:val="000000"/>
                <w:kern w:val="0"/>
                <w:szCs w:val="22"/>
                <w14:ligatures w14:val="none"/>
              </w:rPr>
              <w:instrText>基于酶模拟的农药残基快速检测近年来引起了广泛关注。然而，大多数纳米酶活性较低。在该研究中，合理性地设计并验证了一种“单原子</w:instrText>
            </w:r>
            <w:r>
              <w:rPr>
                <w:rFonts w:ascii="Times New Roman" w:eastAsia="宋体" w:hAnsi="Times New Roman" w:cs="Times New Roman" w:hint="eastAsia"/>
                <w:color w:val="000000"/>
                <w:kern w:val="0"/>
                <w:szCs w:val="22"/>
                <w14:ligatures w14:val="none"/>
              </w:rPr>
              <w:instrText>Ce-N-C</w:instrText>
            </w:r>
            <w:r>
              <w:rPr>
                <w:rFonts w:ascii="Times New Roman" w:eastAsia="宋体" w:hAnsi="Times New Roman" w:cs="Times New Roman" w:hint="eastAsia"/>
                <w:color w:val="000000"/>
                <w:kern w:val="0"/>
                <w:szCs w:val="22"/>
                <w14:ligatures w14:val="none"/>
              </w:rPr>
              <w:instrText>纳米酶”，以模仿过氧化物酶（类似</w:instrText>
            </w:r>
            <w:r>
              <w:rPr>
                <w:rFonts w:ascii="Times New Roman" w:eastAsia="宋体" w:hAnsi="Times New Roman" w:cs="Times New Roman" w:hint="eastAsia"/>
                <w:color w:val="000000"/>
                <w:kern w:val="0"/>
                <w:szCs w:val="22"/>
                <w14:ligatures w14:val="none"/>
              </w:rPr>
              <w:instrText>POD</w:instrText>
            </w:r>
            <w:r>
              <w:rPr>
                <w:rFonts w:ascii="Times New Roman" w:eastAsia="宋体" w:hAnsi="Times New Roman" w:cs="Times New Roman" w:hint="eastAsia"/>
                <w:color w:val="000000"/>
                <w:kern w:val="0"/>
                <w:szCs w:val="22"/>
                <w14:ligatures w14:val="none"/>
              </w:rPr>
              <w:instrText>）且活性更优。基于其高</w:instrText>
            </w:r>
            <w:r>
              <w:rPr>
                <w:rFonts w:ascii="Times New Roman" w:eastAsia="宋体" w:hAnsi="Times New Roman" w:cs="Times New Roman" w:hint="eastAsia"/>
                <w:color w:val="000000"/>
                <w:kern w:val="0"/>
                <w:szCs w:val="22"/>
                <w14:ligatures w14:val="none"/>
              </w:rPr>
              <w:instrText>POD</w:instrText>
            </w:r>
            <w:r>
              <w:rPr>
                <w:rFonts w:ascii="Times New Roman" w:eastAsia="宋体" w:hAnsi="Times New Roman" w:cs="Times New Roman" w:hint="eastAsia"/>
                <w:color w:val="000000"/>
                <w:kern w:val="0"/>
                <w:szCs w:val="22"/>
                <w14:ligatures w14:val="none"/>
              </w:rPr>
              <w:instrText>样活性及与乙酰胆碱酯酶（</w:instrText>
            </w:r>
            <w:r>
              <w:rPr>
                <w:rFonts w:ascii="Times New Roman" w:eastAsia="宋体" w:hAnsi="Times New Roman" w:cs="Times New Roman" w:hint="eastAsia"/>
                <w:color w:val="000000"/>
                <w:kern w:val="0"/>
                <w:szCs w:val="22"/>
                <w14:ligatures w14:val="none"/>
              </w:rPr>
              <w:instrText>AChE</w:instrText>
            </w:r>
            <w:r>
              <w:rPr>
                <w:rFonts w:ascii="Times New Roman" w:eastAsia="宋体" w:hAnsi="Times New Roman" w:cs="Times New Roman" w:hint="eastAsia"/>
                <w:color w:val="000000"/>
                <w:kern w:val="0"/>
                <w:szCs w:val="22"/>
                <w14:ligatures w14:val="none"/>
              </w:rPr>
              <w:instrText>）的级联催化反应，我们构建了一种用于检测农药残留的生物活性论文，提供了便携式方法，可在</w:instrText>
            </w:r>
            <w:r>
              <w:rPr>
                <w:rFonts w:ascii="Times New Roman" w:eastAsia="宋体" w:hAnsi="Times New Roman" w:cs="Times New Roman" w:hint="eastAsia"/>
                <w:color w:val="000000"/>
                <w:kern w:val="0"/>
                <w:szCs w:val="22"/>
                <w14:ligatures w14:val="none"/>
              </w:rPr>
              <w:instrText>30</w:instrText>
            </w:r>
            <w:r>
              <w:rPr>
                <w:rFonts w:ascii="Times New Roman" w:eastAsia="宋体" w:hAnsi="Times New Roman" w:cs="Times New Roman" w:hint="eastAsia"/>
                <w:color w:val="000000"/>
                <w:kern w:val="0"/>
                <w:szCs w:val="22"/>
                <w14:ligatures w14:val="none"/>
              </w:rPr>
              <w:instrText>分钟内监测水果和蔬菜。更重要的是，基于</w:instrText>
            </w:r>
            <w:r>
              <w:rPr>
                <w:rFonts w:ascii="Times New Roman" w:eastAsia="宋体" w:hAnsi="Times New Roman" w:cs="Times New Roman" w:hint="eastAsia"/>
                <w:color w:val="000000"/>
                <w:kern w:val="0"/>
                <w:szCs w:val="22"/>
                <w14:ligatures w14:val="none"/>
              </w:rPr>
              <w:instrText>SACe-N-C</w:instrText>
            </w:r>
            <w:r>
              <w:rPr>
                <w:rFonts w:ascii="Times New Roman" w:eastAsia="宋体" w:hAnsi="Times New Roman" w:cs="Times New Roman" w:hint="eastAsia"/>
                <w:color w:val="000000"/>
                <w:kern w:val="0"/>
                <w:szCs w:val="22"/>
                <w14:ligatures w14:val="none"/>
              </w:rPr>
              <w:instrText>生物活性纸集成了一个</w:instrText>
            </w:r>
            <w:r>
              <w:rPr>
                <w:rFonts w:ascii="Times New Roman" w:eastAsia="宋体" w:hAnsi="Times New Roman" w:cs="Times New Roman" w:hint="eastAsia"/>
                <w:color w:val="000000"/>
                <w:kern w:val="0"/>
                <w:szCs w:val="22"/>
                <w14:ligatures w14:val="none"/>
              </w:rPr>
              <w:instrText>3D</w:instrText>
            </w:r>
            <w:r>
              <w:rPr>
                <w:rFonts w:ascii="Times New Roman" w:eastAsia="宋体" w:hAnsi="Times New Roman" w:cs="Times New Roman" w:hint="eastAsia"/>
                <w:color w:val="000000"/>
                <w:kern w:val="0"/>
                <w:szCs w:val="22"/>
                <w14:ligatures w14:val="none"/>
              </w:rPr>
              <w:instrText>打印平台，实现了对甲基酸盐、甲酰胺膦、碳呋喃和碳磺的现场便携检测，检测极限（</w:instrText>
            </w:r>
            <w:r>
              <w:rPr>
                <w:rFonts w:ascii="Times New Roman" w:eastAsia="宋体" w:hAnsi="Times New Roman" w:cs="Times New Roman" w:hint="eastAsia"/>
                <w:color w:val="000000"/>
                <w:kern w:val="0"/>
                <w:szCs w:val="22"/>
                <w14:ligatures w14:val="none"/>
              </w:rPr>
              <w:instrText>LOD</w:instrText>
            </w:r>
            <w:r>
              <w:rPr>
                <w:rFonts w:ascii="Times New Roman" w:eastAsia="宋体" w:hAnsi="Times New Roman" w:cs="Times New Roman" w:hint="eastAsia"/>
                <w:color w:val="000000"/>
                <w:kern w:val="0"/>
                <w:szCs w:val="22"/>
                <w14:ligatures w14:val="none"/>
              </w:rPr>
              <w:instrText>）分别为</w:instrText>
            </w:r>
            <w:r>
              <w:rPr>
                <w:rFonts w:ascii="Times New Roman" w:eastAsia="宋体" w:hAnsi="Times New Roman" w:cs="Times New Roman" w:hint="eastAsia"/>
                <w:color w:val="000000"/>
                <w:kern w:val="0"/>
                <w:szCs w:val="22"/>
                <w14:ligatures w14:val="none"/>
              </w:rPr>
              <w:instrText>55.83</w:instrText>
            </w:r>
            <w:r>
              <w:rPr>
                <w:rFonts w:ascii="Times New Roman" w:eastAsia="宋体" w:hAnsi="Times New Roman" w:cs="Times New Roman" w:hint="eastAsia"/>
                <w:color w:val="000000"/>
                <w:kern w:val="0"/>
                <w:szCs w:val="22"/>
                <w14:ligatures w14:val="none"/>
              </w:rPr>
              <w:instrText>、</w:instrText>
            </w:r>
            <w:r>
              <w:rPr>
                <w:rFonts w:ascii="Times New Roman" w:eastAsia="宋体" w:hAnsi="Times New Roman" w:cs="Times New Roman" w:hint="eastAsia"/>
                <w:color w:val="000000"/>
                <w:kern w:val="0"/>
                <w:szCs w:val="22"/>
                <w14:ligatures w14:val="none"/>
              </w:rPr>
              <w:instrText>71.51</w:instrText>
            </w:r>
            <w:r>
              <w:rPr>
                <w:rFonts w:ascii="Times New Roman" w:eastAsia="宋体" w:hAnsi="Times New Roman" w:cs="Times New Roman" w:hint="eastAsia"/>
                <w:color w:val="000000"/>
                <w:kern w:val="0"/>
                <w:szCs w:val="22"/>
                <w14:ligatures w14:val="none"/>
              </w:rPr>
              <w:instrText>、</w:instrText>
            </w:r>
            <w:r>
              <w:rPr>
                <w:rFonts w:ascii="Times New Roman" w:eastAsia="宋体" w:hAnsi="Times New Roman" w:cs="Times New Roman" w:hint="eastAsia"/>
                <w:color w:val="000000"/>
                <w:kern w:val="0"/>
                <w:szCs w:val="22"/>
                <w14:ligatures w14:val="none"/>
              </w:rPr>
              <w:instrText>81.81</w:instrText>
            </w:r>
            <w:r>
              <w:rPr>
                <w:rFonts w:ascii="Times New Roman" w:eastAsia="宋体" w:hAnsi="Times New Roman" w:cs="Times New Roman" w:hint="eastAsia"/>
                <w:color w:val="000000"/>
                <w:kern w:val="0"/>
                <w:szCs w:val="22"/>
                <w14:ligatures w14:val="none"/>
              </w:rPr>
              <w:instrText>和</w:instrText>
            </w:r>
            <w:r>
              <w:rPr>
                <w:rFonts w:ascii="Times New Roman" w:eastAsia="宋体" w:hAnsi="Times New Roman" w:cs="Times New Roman" w:hint="eastAsia"/>
                <w:color w:val="000000"/>
                <w:kern w:val="0"/>
                <w:szCs w:val="22"/>
                <w14:ligatures w14:val="none"/>
              </w:rPr>
              <w:instrText>74.98 ng/mL</w:instrText>
            </w:r>
            <w:r>
              <w:rPr>
                <w:rFonts w:ascii="Times New Roman" w:eastAsia="宋体" w:hAnsi="Times New Roman" w:cs="Times New Roman" w:hint="eastAsia"/>
                <w:color w:val="000000"/>
                <w:kern w:val="0"/>
                <w:szCs w:val="22"/>
                <w14:ligatures w14:val="none"/>
              </w:rPr>
              <w:instrText>。康复率为</w:instrText>
            </w:r>
            <w:r>
              <w:rPr>
                <w:rFonts w:ascii="Times New Roman" w:eastAsia="宋体" w:hAnsi="Times New Roman" w:cs="Times New Roman" w:hint="eastAsia"/>
                <w:color w:val="000000"/>
                <w:kern w:val="0"/>
                <w:szCs w:val="22"/>
                <w14:ligatures w14:val="none"/>
              </w:rPr>
              <w:instrText>84.09%</w:instrText>
            </w:r>
            <w:r>
              <w:rPr>
                <w:rFonts w:ascii="Times New Roman" w:eastAsia="宋体" w:hAnsi="Times New Roman" w:cs="Times New Roman" w:hint="eastAsia"/>
                <w:color w:val="000000"/>
                <w:kern w:val="0"/>
                <w:szCs w:val="22"/>
                <w14:ligatures w14:val="none"/>
              </w:rPr>
              <w:instrText>至</w:instrText>
            </w:r>
            <w:r>
              <w:rPr>
                <w:rFonts w:ascii="Times New Roman" w:eastAsia="宋体" w:hAnsi="Times New Roman" w:cs="Times New Roman" w:hint="eastAsia"/>
                <w:color w:val="000000"/>
                <w:kern w:val="0"/>
                <w:szCs w:val="22"/>
                <w14:ligatures w14:val="none"/>
              </w:rPr>
              <w:instrText>104.68%</w:instrText>
            </w:r>
            <w:r>
              <w:rPr>
                <w:rFonts w:ascii="Times New Roman" w:eastAsia="宋体" w:hAnsi="Times New Roman" w:cs="Times New Roman" w:hint="eastAsia"/>
                <w:color w:val="000000"/>
                <w:kern w:val="0"/>
                <w:szCs w:val="22"/>
                <w14:ligatures w14:val="none"/>
              </w:rPr>
              <w:instrText>。本研究为新型单原子纳米酶设计提供了新的见解，用于级联催化检测及其他快速检测应用，且高效且成本低。</w:instrText>
            </w:r>
            <w:r>
              <w:rPr>
                <w:rFonts w:ascii="Times New Roman" w:eastAsia="宋体" w:hAnsi="Times New Roman" w:cs="Times New Roman" w:hint="eastAsia"/>
                <w:color w:val="000000"/>
                <w:kern w:val="0"/>
                <w:szCs w:val="22"/>
                <w14:ligatures w14:val="none"/>
              </w:rPr>
              <w:instrText xml:space="preserve">\ntitleTranslation: </w:instrText>
            </w:r>
            <w:r>
              <w:rPr>
                <w:rFonts w:ascii="Times New Roman" w:eastAsia="宋体" w:hAnsi="Times New Roman" w:cs="Times New Roman" w:hint="eastAsia"/>
                <w:color w:val="000000"/>
                <w:kern w:val="0"/>
                <w:szCs w:val="22"/>
                <w14:ligatures w14:val="none"/>
              </w:rPr>
              <w:instrText>单原子</w:instrText>
            </w:r>
            <w:r>
              <w:rPr>
                <w:rFonts w:ascii="Times New Roman" w:eastAsia="宋体" w:hAnsi="Times New Roman" w:cs="Times New Roman" w:hint="eastAsia"/>
                <w:color w:val="000000"/>
                <w:kern w:val="0"/>
                <w:szCs w:val="22"/>
                <w14:ligatures w14:val="none"/>
              </w:rPr>
              <w:instrText>Ce-N-C</w:instrText>
            </w:r>
            <w:r>
              <w:rPr>
                <w:rFonts w:ascii="Times New Roman" w:eastAsia="宋体" w:hAnsi="Times New Roman" w:cs="Times New Roman" w:hint="eastAsia"/>
                <w:color w:val="000000"/>
                <w:kern w:val="0"/>
                <w:szCs w:val="22"/>
                <w14:ligatures w14:val="none"/>
              </w:rPr>
              <w:instrText>纳米酶生物活性纸，配备</w:instrText>
            </w:r>
            <w:r>
              <w:rPr>
                <w:rFonts w:ascii="Times New Roman" w:eastAsia="宋体" w:hAnsi="Times New Roman" w:cs="Times New Roman" w:hint="eastAsia"/>
                <w:color w:val="000000"/>
                <w:kern w:val="0"/>
                <w:szCs w:val="22"/>
                <w14:ligatures w14:val="none"/>
              </w:rPr>
              <w:instrText>3D</w:instrText>
            </w:r>
            <w:r>
              <w:rPr>
                <w:rFonts w:ascii="Times New Roman" w:eastAsia="宋体" w:hAnsi="Times New Roman" w:cs="Times New Roman" w:hint="eastAsia"/>
                <w:color w:val="000000"/>
                <w:kern w:val="0"/>
                <w:szCs w:val="22"/>
                <w14:ligatures w14:val="none"/>
              </w:rPr>
              <w:instrText>打印平台，用于快速检测有机磷和氨基酸盐农药残留物</w:instrText>
            </w:r>
            <w:r>
              <w:rPr>
                <w:rFonts w:ascii="Times New Roman" w:eastAsia="宋体" w:hAnsi="Times New Roman" w:cs="Times New Roman" w:hint="eastAsia"/>
                <w:color w:val="000000"/>
                <w:kern w:val="0"/>
                <w:szCs w:val="22"/>
                <w14:ligatures w14:val="none"/>
              </w:rPr>
              <w:instrText>","page":"132896","source":"DOI.org (Crossref)","title":"Single-atom Ce-N-C nanozyme bioactive paper with a 3D-printed platform for rapid</w:instrText>
            </w:r>
            <w:r>
              <w:rPr>
                <w:rFonts w:ascii="Times New Roman" w:eastAsia="宋体" w:hAnsi="Times New Roman" w:cs="Times New Roman"/>
                <w:color w:val="000000"/>
                <w:kern w:val="0"/>
                <w:szCs w:val="22"/>
                <w14:ligatures w14:val="none"/>
              </w:rPr>
              <w:instrText xml:space="preserve"> detection of organophosphorus and carbamate pesticide residues","volume":"387","author":[{"family":"Song","given":"Guangchun"},{"family":"Zhang","given":"Junjie"},{"family":"Huang","given":"Huixian"},{"family":"Wang","given":"Xin"},{"family":"He","given":"Xiaoyun"},{"family":"Luo","given":"Yunbo"},{"family":"Li","given":"Jin-cheng"},{"family":"Huang","given":"Kunlun"},{"family":"Cheng","given":"Nan"}],"issued":{"date-parts":[["2022",9]]}}}],"schema":"https://github.com/citation-style-language/schema/raw/master/csl-citation.json"} </w:instrText>
            </w:r>
            <w:r>
              <w:rPr>
                <w:rFonts w:ascii="Times New Roman" w:eastAsia="宋体" w:hAnsi="Times New Roman" w:cs="Times New Roman"/>
                <w:color w:val="000000"/>
                <w:kern w:val="0"/>
                <w:szCs w:val="22"/>
                <w14:ligatures w14:val="none"/>
              </w:rPr>
              <w:fldChar w:fldCharType="separate"/>
            </w:r>
            <w:r w:rsidRPr="00972473">
              <w:rPr>
                <w:rFonts w:ascii="Times New Roman" w:hAnsi="Times New Roman" w:cs="Times New Roman"/>
              </w:rPr>
              <w:t>(Song et al., 2022)</w:t>
            </w:r>
            <w:r>
              <w:rPr>
                <w:rFonts w:ascii="Times New Roman" w:eastAsia="宋体" w:hAnsi="Times New Roman" w:cs="Times New Roman"/>
                <w:color w:val="000000"/>
                <w:kern w:val="0"/>
                <w:szCs w:val="22"/>
                <w14:ligatures w14:val="none"/>
              </w:rPr>
              <w:fldChar w:fldCharType="end"/>
            </w:r>
          </w:p>
        </w:tc>
      </w:tr>
      <w:tr w:rsidR="009B296A" w:rsidRPr="009B296A" w14:paraId="6800B37F" w14:textId="77777777" w:rsidTr="009534D5">
        <w:trPr>
          <w:trHeight w:val="379"/>
        </w:trPr>
        <w:tc>
          <w:tcPr>
            <w:tcW w:w="3173" w:type="dxa"/>
            <w:tcBorders>
              <w:top w:val="nil"/>
              <w:left w:val="nil"/>
              <w:bottom w:val="nil"/>
              <w:right w:val="nil"/>
            </w:tcBorders>
            <w:noWrap/>
            <w:vAlign w:val="center"/>
            <w:hideMark/>
          </w:tcPr>
          <w:p w14:paraId="433E8E32"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SERS</w:t>
            </w:r>
          </w:p>
        </w:tc>
        <w:tc>
          <w:tcPr>
            <w:tcW w:w="1505" w:type="dxa"/>
            <w:tcBorders>
              <w:top w:val="nil"/>
              <w:left w:val="nil"/>
              <w:bottom w:val="nil"/>
              <w:right w:val="nil"/>
            </w:tcBorders>
            <w:noWrap/>
            <w:vAlign w:val="center"/>
            <w:hideMark/>
          </w:tcPr>
          <w:p w14:paraId="51E1F2DF"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0.01-1000</w:t>
            </w:r>
          </w:p>
        </w:tc>
        <w:tc>
          <w:tcPr>
            <w:tcW w:w="1360" w:type="dxa"/>
            <w:tcBorders>
              <w:top w:val="nil"/>
              <w:left w:val="nil"/>
              <w:bottom w:val="nil"/>
              <w:right w:val="nil"/>
            </w:tcBorders>
            <w:noWrap/>
            <w:vAlign w:val="center"/>
            <w:hideMark/>
          </w:tcPr>
          <w:p w14:paraId="642F45A1"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10</w:t>
            </w:r>
          </w:p>
        </w:tc>
        <w:tc>
          <w:tcPr>
            <w:tcW w:w="2552" w:type="dxa"/>
            <w:tcBorders>
              <w:top w:val="nil"/>
              <w:left w:val="nil"/>
              <w:bottom w:val="nil"/>
              <w:right w:val="nil"/>
            </w:tcBorders>
            <w:noWrap/>
            <w:vAlign w:val="center"/>
            <w:hideMark/>
          </w:tcPr>
          <w:p w14:paraId="048F0B8E"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peach</w:t>
            </w:r>
          </w:p>
        </w:tc>
        <w:tc>
          <w:tcPr>
            <w:tcW w:w="2410" w:type="dxa"/>
            <w:tcBorders>
              <w:top w:val="nil"/>
              <w:left w:val="nil"/>
              <w:bottom w:val="nil"/>
              <w:right w:val="nil"/>
            </w:tcBorders>
            <w:noWrap/>
            <w:vAlign w:val="center"/>
            <w:hideMark/>
          </w:tcPr>
          <w:p w14:paraId="7EBB06CC" w14:textId="4394CCE3" w:rsidR="009B296A" w:rsidRPr="009B296A" w:rsidRDefault="00972473" w:rsidP="009B296A">
            <w:pPr>
              <w:widowControl/>
              <w:spacing w:after="0" w:line="240" w:lineRule="auto"/>
              <w:jc w:val="center"/>
              <w:rPr>
                <w:rFonts w:ascii="Times New Roman" w:eastAsia="宋体" w:hAnsi="Times New Roman" w:cs="Times New Roman"/>
                <w:color w:val="000000"/>
                <w:kern w:val="0"/>
                <w:szCs w:val="22"/>
                <w14:ligatures w14:val="none"/>
              </w:rPr>
            </w:pPr>
            <w:r>
              <w:rPr>
                <w:rFonts w:ascii="Times New Roman" w:eastAsia="宋体" w:hAnsi="Times New Roman" w:cs="Times New Roman"/>
                <w:color w:val="000000"/>
                <w:kern w:val="0"/>
                <w:szCs w:val="22"/>
                <w14:ligatures w14:val="none"/>
              </w:rPr>
              <w:fldChar w:fldCharType="begin"/>
            </w:r>
            <w:r>
              <w:rPr>
                <w:rFonts w:ascii="Times New Roman" w:eastAsia="宋体" w:hAnsi="Times New Roman" w:cs="Times New Roman"/>
                <w:color w:val="000000"/>
                <w:kern w:val="0"/>
                <w:szCs w:val="22"/>
                <w14:ligatures w14:val="none"/>
              </w:rPr>
              <w:instrText xml:space="preserve"> ADDIN ZOTERO_ITEM CSL_CITATION {"citationID":"vMownJB6","properties":{"formattedCitation":"(Yaseen et al., 2018)","plainCitation":"(Yaseen et al., 2018)","noteIndex":0},"citationItems":[{"id":385,"uris":["http://zotero.org/users/15826280/items/RYRQPAZM"],"itemData":{"id":385,"type":"article-journal","abstract":"In this work, surface-enhanced Raman spectroscopy (SERS) was used with silver colloid substrate for rapid detection of omethoate (an organophosphate pesticide) in standard solution and peach extract. The findings demonstrated that the characteristic wavenumber of the pesticide could be precisely identified using the SERS method. The calibration curve was plotted between concentrations and Raman intensities of the target peak at 1649 cm−1 for the peach extract and at 1647 cm−1 for the standard solution. The coefficients of determination (R2) of 0.9829 and 0.98 were obtained for standard solution and for peach extract, respectively. The calculated limits of detection for omethoate in standard solution and in peach extracts were 0.001 mg L−1 and 0.01 mg kg−1, respectively. This study revealed that the proposed method could be used for the analysis of trace contaminants like omethoate in multifaceted food matrices.","container-title":"Food Analytical </w:instrText>
            </w:r>
            <w:r>
              <w:rPr>
                <w:rFonts w:ascii="Times New Roman" w:eastAsia="宋体" w:hAnsi="Times New Roman" w:cs="Times New Roman" w:hint="eastAsia"/>
                <w:color w:val="000000"/>
                <w:kern w:val="0"/>
                <w:szCs w:val="22"/>
                <w14:ligatures w14:val="none"/>
              </w:rPr>
              <w:instrText xml:space="preserve">Methods","DOI":"10.1007/s12161-018-1233-y","ISSN":"1936-9751, 1936-976X","issue":"9","journalAbbreviation":"Food Anal. Methods","language":"en","note":"remark: 110ng/mL\ntitleTranslation: </w:instrText>
            </w:r>
            <w:r>
              <w:rPr>
                <w:rFonts w:ascii="Times New Roman" w:eastAsia="宋体" w:hAnsi="Times New Roman" w:cs="Times New Roman" w:hint="eastAsia"/>
                <w:color w:val="000000"/>
                <w:kern w:val="0"/>
                <w:szCs w:val="22"/>
                <w14:ligatures w14:val="none"/>
              </w:rPr>
              <w:instrText>利用表面增强拉曼光谱检测桃中奥托酸盐残基</w:instrText>
            </w:r>
            <w:r>
              <w:rPr>
                <w:rFonts w:ascii="Times New Roman" w:eastAsia="宋体" w:hAnsi="Times New Roman" w:cs="Times New Roman" w:hint="eastAsia"/>
                <w:color w:val="000000"/>
                <w:kern w:val="0"/>
                <w:szCs w:val="22"/>
                <w14:ligatures w14:val="none"/>
              </w:rPr>
              <w:instrText>","page":"2518-2527","source":"DOI.org (Crossre</w:instrText>
            </w:r>
            <w:r>
              <w:rPr>
                <w:rFonts w:ascii="Times New Roman" w:eastAsia="宋体" w:hAnsi="Times New Roman" w:cs="Times New Roman"/>
                <w:color w:val="000000"/>
                <w:kern w:val="0"/>
                <w:szCs w:val="22"/>
                <w14:ligatures w14:val="none"/>
              </w:rPr>
              <w:instrText xml:space="preserve">f)","title":"Detection of Omethoate Residues in Peach with Surface-Enhanced Raman Spectroscopy","volume":"11","author":[{"family":"Yaseen","given":"Tehseen"},{"family":"Sun","given":"Da-Wen"},{"family":"Pu","given":"Hongbin"},{"family":"Pan","given":"Ting-Tiao"}],"issued":{"date-parts":[["2018",9]]}}}],"schema":"https://github.com/citation-style-language/schema/raw/master/csl-citation.json"} </w:instrText>
            </w:r>
            <w:r>
              <w:rPr>
                <w:rFonts w:ascii="Times New Roman" w:eastAsia="宋体" w:hAnsi="Times New Roman" w:cs="Times New Roman"/>
                <w:color w:val="000000"/>
                <w:kern w:val="0"/>
                <w:szCs w:val="22"/>
                <w14:ligatures w14:val="none"/>
              </w:rPr>
              <w:fldChar w:fldCharType="separate"/>
            </w:r>
            <w:r w:rsidRPr="00972473">
              <w:rPr>
                <w:rFonts w:ascii="Times New Roman" w:hAnsi="Times New Roman" w:cs="Times New Roman"/>
              </w:rPr>
              <w:t>(Yaseen et al., 2018)</w:t>
            </w:r>
            <w:r>
              <w:rPr>
                <w:rFonts w:ascii="Times New Roman" w:eastAsia="宋体" w:hAnsi="Times New Roman" w:cs="Times New Roman"/>
                <w:color w:val="000000"/>
                <w:kern w:val="0"/>
                <w:szCs w:val="22"/>
                <w14:ligatures w14:val="none"/>
              </w:rPr>
              <w:fldChar w:fldCharType="end"/>
            </w:r>
          </w:p>
        </w:tc>
      </w:tr>
      <w:tr w:rsidR="009B296A" w:rsidRPr="009B296A" w14:paraId="57B996F2" w14:textId="77777777" w:rsidTr="009534D5">
        <w:trPr>
          <w:trHeight w:val="70"/>
        </w:trPr>
        <w:tc>
          <w:tcPr>
            <w:tcW w:w="3173" w:type="dxa"/>
            <w:tcBorders>
              <w:top w:val="nil"/>
              <w:left w:val="nil"/>
              <w:bottom w:val="single" w:sz="12" w:space="0" w:color="auto"/>
              <w:right w:val="nil"/>
            </w:tcBorders>
            <w:noWrap/>
            <w:vAlign w:val="center"/>
            <w:hideMark/>
          </w:tcPr>
          <w:p w14:paraId="7DF304D8"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Eu-BBDC/BDC-OH</w:t>
            </w:r>
          </w:p>
        </w:tc>
        <w:tc>
          <w:tcPr>
            <w:tcW w:w="1505" w:type="dxa"/>
            <w:tcBorders>
              <w:top w:val="nil"/>
              <w:left w:val="nil"/>
              <w:bottom w:val="single" w:sz="12" w:space="0" w:color="auto"/>
              <w:right w:val="nil"/>
            </w:tcBorders>
            <w:noWrap/>
            <w:vAlign w:val="center"/>
            <w:hideMark/>
          </w:tcPr>
          <w:p w14:paraId="6F0DE061"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0.025-0.9</w:t>
            </w:r>
          </w:p>
        </w:tc>
        <w:tc>
          <w:tcPr>
            <w:tcW w:w="1360" w:type="dxa"/>
            <w:tcBorders>
              <w:top w:val="nil"/>
              <w:left w:val="nil"/>
              <w:bottom w:val="single" w:sz="12" w:space="0" w:color="auto"/>
              <w:right w:val="nil"/>
            </w:tcBorders>
            <w:noWrap/>
            <w:vAlign w:val="center"/>
            <w:hideMark/>
          </w:tcPr>
          <w:p w14:paraId="0265EAA5"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7.35</w:t>
            </w:r>
          </w:p>
        </w:tc>
        <w:tc>
          <w:tcPr>
            <w:tcW w:w="2552" w:type="dxa"/>
            <w:tcBorders>
              <w:top w:val="nil"/>
              <w:left w:val="nil"/>
              <w:bottom w:val="single" w:sz="12" w:space="0" w:color="auto"/>
              <w:right w:val="nil"/>
            </w:tcBorders>
            <w:noWrap/>
            <w:vAlign w:val="center"/>
            <w:hideMark/>
          </w:tcPr>
          <w:p w14:paraId="1AE763BB"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 w:val="24"/>
                <w14:ligatures w14:val="none"/>
              </w:rPr>
            </w:pPr>
            <w:r w:rsidRPr="009B296A">
              <w:rPr>
                <w:rFonts w:ascii="Times New Roman" w:eastAsia="宋体" w:hAnsi="Times New Roman" w:cs="Times New Roman"/>
                <w:color w:val="000000"/>
                <w:kern w:val="0"/>
                <w:sz w:val="24"/>
                <w14:ligatures w14:val="none"/>
              </w:rPr>
              <w:t>Cucumbers/strawberries</w:t>
            </w:r>
          </w:p>
        </w:tc>
        <w:tc>
          <w:tcPr>
            <w:tcW w:w="2410" w:type="dxa"/>
            <w:tcBorders>
              <w:top w:val="nil"/>
              <w:left w:val="nil"/>
              <w:bottom w:val="single" w:sz="12" w:space="0" w:color="auto"/>
              <w:right w:val="nil"/>
            </w:tcBorders>
            <w:noWrap/>
            <w:vAlign w:val="center"/>
            <w:hideMark/>
          </w:tcPr>
          <w:p w14:paraId="39E9C1B9" w14:textId="77777777" w:rsidR="009B296A" w:rsidRPr="009B296A" w:rsidRDefault="009B296A" w:rsidP="009B296A">
            <w:pPr>
              <w:widowControl/>
              <w:spacing w:after="0" w:line="240" w:lineRule="auto"/>
              <w:jc w:val="center"/>
              <w:rPr>
                <w:rFonts w:ascii="Times New Roman" w:eastAsia="宋体" w:hAnsi="Times New Roman" w:cs="Times New Roman"/>
                <w:color w:val="000000"/>
                <w:kern w:val="0"/>
                <w:szCs w:val="22"/>
                <w14:ligatures w14:val="none"/>
              </w:rPr>
            </w:pPr>
            <w:r w:rsidRPr="009B296A">
              <w:rPr>
                <w:rFonts w:ascii="Times New Roman" w:eastAsia="宋体" w:hAnsi="Times New Roman" w:cs="Times New Roman"/>
                <w:color w:val="000000"/>
                <w:kern w:val="0"/>
                <w:szCs w:val="22"/>
                <w14:ligatures w14:val="none"/>
              </w:rPr>
              <w:t>This work</w:t>
            </w:r>
          </w:p>
        </w:tc>
      </w:tr>
    </w:tbl>
    <w:p w14:paraId="457F8E3A" w14:textId="00BECB49" w:rsidR="008C7101" w:rsidRDefault="008C7101" w:rsidP="008C7101">
      <w:pPr>
        <w:jc w:val="center"/>
        <w:rPr>
          <w:rFonts w:ascii="Times New Roman" w:eastAsia="宋体" w:hAnsi="Times New Roman" w:cs="Times New Roman" w:hint="eastAsia"/>
          <w:b/>
          <w:bCs/>
          <w:szCs w:val="22"/>
          <w14:ligatures w14:val="none"/>
        </w:rPr>
      </w:pPr>
    </w:p>
    <w:p w14:paraId="6846AE20" w14:textId="31412C5F" w:rsidR="008E1B60" w:rsidRDefault="008E1B60" w:rsidP="008C7101">
      <w:pPr>
        <w:jc w:val="center"/>
        <w:rPr>
          <w:rFonts w:ascii="Times New Roman" w:eastAsia="宋体" w:hAnsi="Times New Roman" w:cs="Times New Roman"/>
          <w:szCs w:val="22"/>
          <w14:ligatures w14:val="none"/>
        </w:rPr>
      </w:pPr>
      <w:r w:rsidRPr="008E1B60">
        <w:rPr>
          <w:rFonts w:ascii="Times New Roman" w:eastAsia="宋体" w:hAnsi="Times New Roman" w:cs="Times New Roman" w:hint="eastAsia"/>
          <w:b/>
          <w:bCs/>
          <w:szCs w:val="22"/>
          <w14:ligatures w14:val="none"/>
        </w:rPr>
        <w:t>T</w:t>
      </w:r>
      <w:r w:rsidRPr="008E1B60">
        <w:rPr>
          <w:rFonts w:ascii="Times New Roman" w:eastAsia="宋体" w:hAnsi="Times New Roman" w:cs="Times New Roman"/>
          <w:b/>
          <w:bCs/>
          <w:szCs w:val="22"/>
          <w14:ligatures w14:val="none"/>
        </w:rPr>
        <w:t>able S1</w:t>
      </w:r>
      <w:r w:rsidRPr="008E1B60">
        <w:rPr>
          <w:rFonts w:ascii="Times New Roman" w:eastAsia="宋体" w:hAnsi="Times New Roman" w:cs="Times New Roman" w:hint="eastAsia"/>
          <w:b/>
          <w:bCs/>
          <w:szCs w:val="22"/>
          <w14:ligatures w14:val="none"/>
        </w:rPr>
        <w:t>.</w:t>
      </w:r>
      <w:r w:rsidRPr="008E1B60">
        <w:rPr>
          <w:rFonts w:ascii="Times New Roman" w:eastAsia="宋体" w:hAnsi="Times New Roman" w:cs="Times New Roman" w:hint="eastAsia"/>
          <w:szCs w:val="22"/>
          <w14:ligatures w14:val="none"/>
        </w:rPr>
        <w:t xml:space="preserve"> C</w:t>
      </w:r>
      <w:r w:rsidRPr="008E1B60">
        <w:rPr>
          <w:rFonts w:ascii="Times New Roman" w:eastAsia="宋体" w:hAnsi="Times New Roman" w:cs="Times New Roman"/>
          <w:szCs w:val="22"/>
          <w14:ligatures w14:val="none"/>
        </w:rPr>
        <w:t xml:space="preserve">omparison of analytical characteristics of different </w:t>
      </w:r>
      <w:r w:rsidRPr="008E1B60">
        <w:rPr>
          <w:rFonts w:ascii="Times New Roman" w:eastAsia="宋体" w:hAnsi="Times New Roman" w:cs="Times New Roman" w:hint="eastAsia"/>
          <w:szCs w:val="22"/>
          <w14:ligatures w14:val="none"/>
        </w:rPr>
        <w:t>s</w:t>
      </w:r>
      <w:r w:rsidRPr="008E1B60">
        <w:rPr>
          <w:rFonts w:ascii="Times New Roman" w:eastAsia="宋体" w:hAnsi="Times New Roman" w:cs="Times New Roman"/>
          <w:szCs w:val="22"/>
          <w14:ligatures w14:val="none"/>
        </w:rPr>
        <w:t xml:space="preserve">ensors for </w:t>
      </w:r>
      <w:r w:rsidRPr="008E1B60">
        <w:rPr>
          <w:rFonts w:ascii="Times New Roman" w:eastAsia="宋体" w:hAnsi="Times New Roman" w:cs="Times New Roman" w:hint="eastAsia"/>
          <w:szCs w:val="22"/>
          <w14:ligatures w14:val="none"/>
        </w:rPr>
        <w:t xml:space="preserve">OMT </w:t>
      </w:r>
      <w:r w:rsidRPr="008E1B60">
        <w:rPr>
          <w:rFonts w:ascii="Times New Roman" w:eastAsia="宋体" w:hAnsi="Times New Roman" w:cs="Times New Roman"/>
          <w:szCs w:val="22"/>
          <w14:ligatures w14:val="none"/>
        </w:rPr>
        <w:t>detection.</w:t>
      </w:r>
    </w:p>
    <w:p w14:paraId="5C71651A" w14:textId="77777777" w:rsidR="00042892" w:rsidRDefault="00042892" w:rsidP="008C7101">
      <w:pPr>
        <w:jc w:val="center"/>
        <w:rPr>
          <w:rFonts w:ascii="Times New Roman" w:eastAsia="宋体" w:hAnsi="Times New Roman" w:cs="Times New Roman"/>
          <w:szCs w:val="22"/>
          <w14:ligatures w14:val="none"/>
        </w:rPr>
      </w:pPr>
    </w:p>
    <w:p w14:paraId="179E69F9" w14:textId="77777777" w:rsidR="00042892" w:rsidRDefault="00042892" w:rsidP="008C7101">
      <w:pPr>
        <w:jc w:val="center"/>
        <w:rPr>
          <w:rFonts w:ascii="Times New Roman" w:eastAsia="宋体" w:hAnsi="Times New Roman" w:cs="Times New Roman"/>
          <w:szCs w:val="22"/>
          <w14:ligatures w14:val="none"/>
        </w:rPr>
      </w:pPr>
    </w:p>
    <w:p w14:paraId="4481B584" w14:textId="77777777" w:rsidR="00042892" w:rsidRDefault="00042892" w:rsidP="008C7101">
      <w:pPr>
        <w:jc w:val="center"/>
        <w:rPr>
          <w:rFonts w:ascii="Times New Roman" w:eastAsia="宋体" w:hAnsi="Times New Roman" w:cs="Times New Roman"/>
          <w:szCs w:val="22"/>
          <w14:ligatures w14:val="none"/>
        </w:rPr>
      </w:pPr>
    </w:p>
    <w:p w14:paraId="676EFFE1" w14:textId="77777777" w:rsidR="00042892" w:rsidRDefault="00042892" w:rsidP="008C7101">
      <w:pPr>
        <w:jc w:val="center"/>
        <w:rPr>
          <w:rFonts w:ascii="Times New Roman" w:eastAsia="宋体" w:hAnsi="Times New Roman" w:cs="Times New Roman"/>
          <w:szCs w:val="22"/>
          <w14:ligatures w14:val="none"/>
        </w:rPr>
      </w:pPr>
    </w:p>
    <w:p w14:paraId="5080C678" w14:textId="77777777" w:rsidR="00042892" w:rsidRDefault="00042892" w:rsidP="008C7101">
      <w:pPr>
        <w:jc w:val="center"/>
        <w:rPr>
          <w:rFonts w:ascii="Times New Roman" w:eastAsia="宋体" w:hAnsi="Times New Roman" w:cs="Times New Roman" w:hint="eastAsia"/>
          <w:szCs w:val="22"/>
          <w14:ligatures w14:val="none"/>
        </w:rPr>
      </w:pPr>
    </w:p>
    <w:p w14:paraId="31A14DAE" w14:textId="77777777" w:rsidR="00972473" w:rsidRPr="00972473" w:rsidRDefault="00042892" w:rsidP="00972473">
      <w:pPr>
        <w:pStyle w:val="af2"/>
        <w:rPr>
          <w:rFonts w:ascii="Times New Roman" w:hAnsi="Times New Roman" w:cs="Times New Roman"/>
        </w:rPr>
      </w:pPr>
      <w:r>
        <w:rPr>
          <w:rFonts w:eastAsia="宋体"/>
          <w:szCs w:val="22"/>
          <w14:ligatures w14:val="none"/>
        </w:rPr>
        <w:fldChar w:fldCharType="begin"/>
      </w:r>
      <w:r>
        <w:rPr>
          <w:rFonts w:eastAsia="宋体"/>
          <w:szCs w:val="22"/>
          <w14:ligatures w14:val="none"/>
        </w:rPr>
        <w:instrText xml:space="preserve"> ADDIN ZOTERO_BIBL {"uncited":[],"omitted":[],"custom":[]} CSL_BIBLIOGRAPHY </w:instrText>
      </w:r>
      <w:r>
        <w:rPr>
          <w:rFonts w:eastAsia="宋体"/>
          <w:szCs w:val="22"/>
          <w14:ligatures w14:val="none"/>
        </w:rPr>
        <w:fldChar w:fldCharType="separate"/>
      </w:r>
      <w:r w:rsidR="00972473" w:rsidRPr="00972473">
        <w:rPr>
          <w:rFonts w:ascii="Times New Roman" w:hAnsi="Times New Roman" w:cs="Times New Roman"/>
        </w:rPr>
        <w:t>Lin, X., Zou, J., Zhu, G., Pang, L., Chen, Y., Huang, Y., 2025. Cu-MOFs nanozyme with POD-like activity for the enrichment, identification, and intelligent colorimetric detection of omethoate. Food Bioscience 72, 107533. https://doi.org/10.1016/j.fbio.2025.107533</w:t>
      </w:r>
    </w:p>
    <w:p w14:paraId="142DD3FF" w14:textId="77777777" w:rsidR="00972473" w:rsidRPr="00972473" w:rsidRDefault="00972473" w:rsidP="00972473">
      <w:pPr>
        <w:pStyle w:val="af2"/>
        <w:rPr>
          <w:rFonts w:ascii="Times New Roman" w:hAnsi="Times New Roman" w:cs="Times New Roman"/>
        </w:rPr>
      </w:pPr>
      <w:r w:rsidRPr="00972473">
        <w:rPr>
          <w:rFonts w:ascii="Times New Roman" w:hAnsi="Times New Roman" w:cs="Times New Roman"/>
        </w:rPr>
        <w:t>Song, G., Zhang, J., Huang, H., Wang, X., He, X., Luo, Y., Li, J., Huang, K., Cheng, N., 2022. Single-atom Ce-N-C nanozyme bioactive paper with a 3D-printed platform for rapid detection of organophosphorus and carbamate pesticide residues. Food Chemistry 387, 132896. https://doi.org/10.1016/j.foodchem.2022.132896</w:t>
      </w:r>
    </w:p>
    <w:p w14:paraId="3D2A9190" w14:textId="77777777" w:rsidR="00972473" w:rsidRPr="00972473" w:rsidRDefault="00972473" w:rsidP="00972473">
      <w:pPr>
        <w:pStyle w:val="af2"/>
        <w:rPr>
          <w:rFonts w:ascii="Times New Roman" w:hAnsi="Times New Roman" w:cs="Times New Roman"/>
        </w:rPr>
      </w:pPr>
      <w:r w:rsidRPr="00972473">
        <w:rPr>
          <w:rFonts w:ascii="Times New Roman" w:hAnsi="Times New Roman" w:cs="Times New Roman"/>
        </w:rPr>
        <w:t>Wu, H., Wang, Q., Dong, M., Liu, X., Tang, Y., 2024. pH-responsive dual-emission carbon dots for the ratiometric detection of organophosphorus pesticides in Brassica chinensis and Hg2+ in water. Food Chemistry 454, 139755. https://doi.org/10.1016/j.foodchem.2024.139755</w:t>
      </w:r>
    </w:p>
    <w:p w14:paraId="251F166F" w14:textId="77777777" w:rsidR="00972473" w:rsidRPr="00972473" w:rsidRDefault="00972473" w:rsidP="00972473">
      <w:pPr>
        <w:pStyle w:val="af2"/>
        <w:rPr>
          <w:rFonts w:ascii="Times New Roman" w:hAnsi="Times New Roman" w:cs="Times New Roman"/>
        </w:rPr>
      </w:pPr>
      <w:r w:rsidRPr="00972473">
        <w:rPr>
          <w:rFonts w:ascii="Times New Roman" w:hAnsi="Times New Roman" w:cs="Times New Roman"/>
        </w:rPr>
        <w:t>Yaseen, T., Sun, D.-W., Pu, H., Pan, T.-T., 2018. Detection of Omethoate Residues in Peach with Surface-Enhanced Raman Spectroscopy. Food Anal. Methods 11, 2518–2527. https://doi.org/10.1007/s12161-018-1233-y</w:t>
      </w:r>
    </w:p>
    <w:p w14:paraId="34AC60FD" w14:textId="77777777" w:rsidR="00972473" w:rsidRPr="00972473" w:rsidRDefault="00972473" w:rsidP="00972473">
      <w:pPr>
        <w:pStyle w:val="af2"/>
        <w:rPr>
          <w:rFonts w:ascii="Times New Roman" w:hAnsi="Times New Roman" w:cs="Times New Roman"/>
        </w:rPr>
      </w:pPr>
      <w:r w:rsidRPr="00972473">
        <w:rPr>
          <w:rFonts w:ascii="Times New Roman" w:hAnsi="Times New Roman" w:cs="Times New Roman"/>
        </w:rPr>
        <w:t>Zhao, Y., Li, R., Tang, J., Liu, M., Zhang, B., Chen, J., Ren, S., Ma, Q., Sun, Z., Weng, H., 2025. MOF-enabled magnetic-fluorescent sensors for on-site organophosphorus/carbamate pesticide detection in fruits and vegetables. Food Chemistry 493, 145935. https://doi.org/10.1016/j.foodchem.2025.145935</w:t>
      </w:r>
    </w:p>
    <w:p w14:paraId="5B52CC7D" w14:textId="71712A4A" w:rsidR="00042892" w:rsidRPr="008C7101" w:rsidRDefault="00042892" w:rsidP="00042892">
      <w:pPr>
        <w:rPr>
          <w:rFonts w:ascii="Times New Roman" w:eastAsia="宋体" w:hAnsi="Times New Roman" w:cs="Times New Roman" w:hint="eastAsia"/>
          <w:szCs w:val="22"/>
          <w14:ligatures w14:val="none"/>
        </w:rPr>
      </w:pPr>
      <w:r>
        <w:rPr>
          <w:rFonts w:ascii="Times New Roman" w:eastAsia="宋体" w:hAnsi="Times New Roman" w:cs="Times New Roman"/>
          <w:szCs w:val="22"/>
          <w14:ligatures w14:val="none"/>
        </w:rPr>
        <w:fldChar w:fldCharType="end"/>
      </w:r>
    </w:p>
    <w:sectPr w:rsidR="00042892" w:rsidRPr="008C7101" w:rsidSect="00417DDF">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93EA7" w14:textId="77777777" w:rsidR="00A13F50" w:rsidRDefault="00A13F50" w:rsidP="00D3572C">
      <w:pPr>
        <w:spacing w:after="0" w:line="240" w:lineRule="auto"/>
      </w:pPr>
      <w:r>
        <w:separator/>
      </w:r>
    </w:p>
  </w:endnote>
  <w:endnote w:type="continuationSeparator" w:id="0">
    <w:p w14:paraId="69351789" w14:textId="77777777" w:rsidR="00A13F50" w:rsidRDefault="00A13F50" w:rsidP="00D35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692A2" w14:textId="77777777" w:rsidR="00A9095E" w:rsidRDefault="00A9095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F62B" w14:textId="77777777" w:rsidR="00A9095E" w:rsidRDefault="00A9095E">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3D01" w14:textId="77777777" w:rsidR="00A9095E" w:rsidRDefault="00A9095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DE4BD" w14:textId="77777777" w:rsidR="00A13F50" w:rsidRDefault="00A13F50" w:rsidP="00D3572C">
      <w:pPr>
        <w:spacing w:after="0" w:line="240" w:lineRule="auto"/>
      </w:pPr>
      <w:r>
        <w:separator/>
      </w:r>
    </w:p>
  </w:footnote>
  <w:footnote w:type="continuationSeparator" w:id="0">
    <w:p w14:paraId="0E247FA8" w14:textId="77777777" w:rsidR="00A13F50" w:rsidRDefault="00A13F50" w:rsidP="00D35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E904" w14:textId="77777777" w:rsidR="00A9095E" w:rsidRDefault="00A9095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C099" w14:textId="77777777" w:rsidR="00A9095E" w:rsidRDefault="00A9095E">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0CDB" w14:textId="77777777" w:rsidR="00A9095E" w:rsidRDefault="00A9095E">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3AD"/>
    <w:rsid w:val="0002459F"/>
    <w:rsid w:val="00042892"/>
    <w:rsid w:val="00083539"/>
    <w:rsid w:val="00084C94"/>
    <w:rsid w:val="000F1F02"/>
    <w:rsid w:val="001646E1"/>
    <w:rsid w:val="001B09DB"/>
    <w:rsid w:val="001B246E"/>
    <w:rsid w:val="00250A16"/>
    <w:rsid w:val="00322C28"/>
    <w:rsid w:val="00342940"/>
    <w:rsid w:val="00373A5E"/>
    <w:rsid w:val="00376DDC"/>
    <w:rsid w:val="00417DDF"/>
    <w:rsid w:val="00483E16"/>
    <w:rsid w:val="00556C45"/>
    <w:rsid w:val="00562357"/>
    <w:rsid w:val="005E008A"/>
    <w:rsid w:val="00654E4F"/>
    <w:rsid w:val="00743C78"/>
    <w:rsid w:val="007869A0"/>
    <w:rsid w:val="007A6051"/>
    <w:rsid w:val="007F02FE"/>
    <w:rsid w:val="008A5A65"/>
    <w:rsid w:val="008C7101"/>
    <w:rsid w:val="008E1B60"/>
    <w:rsid w:val="00904C62"/>
    <w:rsid w:val="009534D5"/>
    <w:rsid w:val="00972473"/>
    <w:rsid w:val="009B296A"/>
    <w:rsid w:val="009B4CF9"/>
    <w:rsid w:val="00A0395F"/>
    <w:rsid w:val="00A06ECB"/>
    <w:rsid w:val="00A13F50"/>
    <w:rsid w:val="00A9095E"/>
    <w:rsid w:val="00B055C8"/>
    <w:rsid w:val="00B45CE7"/>
    <w:rsid w:val="00B8543A"/>
    <w:rsid w:val="00B94C35"/>
    <w:rsid w:val="00BF44C3"/>
    <w:rsid w:val="00C7107F"/>
    <w:rsid w:val="00CC1087"/>
    <w:rsid w:val="00D3572C"/>
    <w:rsid w:val="00D472DE"/>
    <w:rsid w:val="00D52C0F"/>
    <w:rsid w:val="00D546C6"/>
    <w:rsid w:val="00D924FF"/>
    <w:rsid w:val="00E7492A"/>
    <w:rsid w:val="00E85C01"/>
    <w:rsid w:val="00F84D65"/>
    <w:rsid w:val="00FD47A9"/>
    <w:rsid w:val="00FF73AD"/>
    <w:rsid w:val="00FF7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62266"/>
  <w15:chartTrackingRefBased/>
  <w15:docId w15:val="{DC431491-1482-4B73-8B1F-D9406226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F73A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F73A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F73A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F73A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F73AD"/>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FF73AD"/>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FF73A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F73A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FF73A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F73A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F73A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F73A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F73AD"/>
    <w:rPr>
      <w:rFonts w:cstheme="majorBidi"/>
      <w:color w:val="2F5496" w:themeColor="accent1" w:themeShade="BF"/>
      <w:sz w:val="28"/>
      <w:szCs w:val="28"/>
    </w:rPr>
  </w:style>
  <w:style w:type="character" w:customStyle="1" w:styleId="50">
    <w:name w:val="标题 5 字符"/>
    <w:basedOn w:val="a0"/>
    <w:link w:val="5"/>
    <w:uiPriority w:val="9"/>
    <w:semiHidden/>
    <w:rsid w:val="00FF73AD"/>
    <w:rPr>
      <w:rFonts w:cstheme="majorBidi"/>
      <w:color w:val="2F5496" w:themeColor="accent1" w:themeShade="BF"/>
      <w:sz w:val="24"/>
    </w:rPr>
  </w:style>
  <w:style w:type="character" w:customStyle="1" w:styleId="60">
    <w:name w:val="标题 6 字符"/>
    <w:basedOn w:val="a0"/>
    <w:link w:val="6"/>
    <w:uiPriority w:val="9"/>
    <w:semiHidden/>
    <w:rsid w:val="00FF73AD"/>
    <w:rPr>
      <w:rFonts w:cstheme="majorBidi"/>
      <w:b/>
      <w:bCs/>
      <w:color w:val="2F5496" w:themeColor="accent1" w:themeShade="BF"/>
    </w:rPr>
  </w:style>
  <w:style w:type="character" w:customStyle="1" w:styleId="70">
    <w:name w:val="标题 7 字符"/>
    <w:basedOn w:val="a0"/>
    <w:link w:val="7"/>
    <w:uiPriority w:val="9"/>
    <w:semiHidden/>
    <w:rsid w:val="00FF73AD"/>
    <w:rPr>
      <w:rFonts w:cstheme="majorBidi"/>
      <w:b/>
      <w:bCs/>
      <w:color w:val="595959" w:themeColor="text1" w:themeTint="A6"/>
    </w:rPr>
  </w:style>
  <w:style w:type="character" w:customStyle="1" w:styleId="80">
    <w:name w:val="标题 8 字符"/>
    <w:basedOn w:val="a0"/>
    <w:link w:val="8"/>
    <w:uiPriority w:val="9"/>
    <w:semiHidden/>
    <w:rsid w:val="00FF73AD"/>
    <w:rPr>
      <w:rFonts w:cstheme="majorBidi"/>
      <w:color w:val="595959" w:themeColor="text1" w:themeTint="A6"/>
    </w:rPr>
  </w:style>
  <w:style w:type="character" w:customStyle="1" w:styleId="90">
    <w:name w:val="标题 9 字符"/>
    <w:basedOn w:val="a0"/>
    <w:link w:val="9"/>
    <w:uiPriority w:val="9"/>
    <w:semiHidden/>
    <w:rsid w:val="00FF73AD"/>
    <w:rPr>
      <w:rFonts w:eastAsiaTheme="majorEastAsia" w:cstheme="majorBidi"/>
      <w:color w:val="595959" w:themeColor="text1" w:themeTint="A6"/>
    </w:rPr>
  </w:style>
  <w:style w:type="paragraph" w:styleId="a3">
    <w:name w:val="Title"/>
    <w:basedOn w:val="a"/>
    <w:next w:val="a"/>
    <w:link w:val="a4"/>
    <w:uiPriority w:val="10"/>
    <w:qFormat/>
    <w:rsid w:val="00FF73A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F73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73A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F73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73AD"/>
    <w:pPr>
      <w:spacing w:before="160"/>
      <w:jc w:val="center"/>
    </w:pPr>
    <w:rPr>
      <w:i/>
      <w:iCs/>
      <w:color w:val="404040" w:themeColor="text1" w:themeTint="BF"/>
    </w:rPr>
  </w:style>
  <w:style w:type="character" w:customStyle="1" w:styleId="a8">
    <w:name w:val="引用 字符"/>
    <w:basedOn w:val="a0"/>
    <w:link w:val="a7"/>
    <w:uiPriority w:val="29"/>
    <w:rsid w:val="00FF73AD"/>
    <w:rPr>
      <w:i/>
      <w:iCs/>
      <w:color w:val="404040" w:themeColor="text1" w:themeTint="BF"/>
    </w:rPr>
  </w:style>
  <w:style w:type="paragraph" w:styleId="a9">
    <w:name w:val="List Paragraph"/>
    <w:basedOn w:val="a"/>
    <w:uiPriority w:val="34"/>
    <w:qFormat/>
    <w:rsid w:val="00FF73AD"/>
    <w:pPr>
      <w:ind w:left="720"/>
      <w:contextualSpacing/>
    </w:pPr>
  </w:style>
  <w:style w:type="character" w:styleId="aa">
    <w:name w:val="Intense Emphasis"/>
    <w:basedOn w:val="a0"/>
    <w:uiPriority w:val="21"/>
    <w:qFormat/>
    <w:rsid w:val="00FF73AD"/>
    <w:rPr>
      <w:i/>
      <w:iCs/>
      <w:color w:val="2F5496" w:themeColor="accent1" w:themeShade="BF"/>
    </w:rPr>
  </w:style>
  <w:style w:type="paragraph" w:styleId="ab">
    <w:name w:val="Intense Quote"/>
    <w:basedOn w:val="a"/>
    <w:next w:val="a"/>
    <w:link w:val="ac"/>
    <w:uiPriority w:val="30"/>
    <w:qFormat/>
    <w:rsid w:val="00FF73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FF73AD"/>
    <w:rPr>
      <w:i/>
      <w:iCs/>
      <w:color w:val="2F5496" w:themeColor="accent1" w:themeShade="BF"/>
    </w:rPr>
  </w:style>
  <w:style w:type="character" w:styleId="ad">
    <w:name w:val="Intense Reference"/>
    <w:basedOn w:val="a0"/>
    <w:uiPriority w:val="32"/>
    <w:qFormat/>
    <w:rsid w:val="00FF73AD"/>
    <w:rPr>
      <w:b/>
      <w:bCs/>
      <w:smallCaps/>
      <w:color w:val="2F5496" w:themeColor="accent1" w:themeShade="BF"/>
      <w:spacing w:val="5"/>
    </w:rPr>
  </w:style>
  <w:style w:type="paragraph" w:styleId="ae">
    <w:name w:val="header"/>
    <w:basedOn w:val="a"/>
    <w:link w:val="af"/>
    <w:uiPriority w:val="99"/>
    <w:unhideWhenUsed/>
    <w:rsid w:val="00D3572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3572C"/>
    <w:rPr>
      <w:sz w:val="18"/>
      <w:szCs w:val="18"/>
    </w:rPr>
  </w:style>
  <w:style w:type="paragraph" w:styleId="af0">
    <w:name w:val="footer"/>
    <w:basedOn w:val="a"/>
    <w:link w:val="af1"/>
    <w:uiPriority w:val="99"/>
    <w:unhideWhenUsed/>
    <w:rsid w:val="00D3572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D3572C"/>
    <w:rPr>
      <w:sz w:val="18"/>
      <w:szCs w:val="18"/>
    </w:rPr>
  </w:style>
  <w:style w:type="paragraph" w:styleId="af2">
    <w:name w:val="Bibliography"/>
    <w:basedOn w:val="a"/>
    <w:next w:val="a"/>
    <w:uiPriority w:val="37"/>
    <w:unhideWhenUsed/>
    <w:rsid w:val="00042892"/>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2070</Words>
  <Characters>12463</Characters>
  <Application>Microsoft Office Word</Application>
  <DocSecurity>0</DocSecurity>
  <Lines>197</Lines>
  <Paragraphs>59</Paragraphs>
  <ScaleCrop>false</ScaleCrop>
  <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The</dc:creator>
  <cp:keywords/>
  <dc:description/>
  <cp:lastModifiedBy>shi The</cp:lastModifiedBy>
  <cp:revision>27</cp:revision>
  <dcterms:created xsi:type="dcterms:W3CDTF">2025-09-30T04:51:00Z</dcterms:created>
  <dcterms:modified xsi:type="dcterms:W3CDTF">2026-02-04T07:26:00Z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id="OtgziXrn"/&gt;&lt;style id="http://www.zotero.org/styles/elsevier-harvard" hasBibliography="1" bibliographyStyleHasBeenSet="1"/&gt;&lt;prefs&gt;&lt;pref name="fieldType" value="Field"/&gt;&lt;/prefs&gt;&lt;/data&gt;</vt:lpwstr>
  </property>
</Properties>
</file>