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31388" w14:textId="77777777" w:rsidR="000B23DC" w:rsidRDefault="000B23DC" w:rsidP="000B23DC">
      <w:pPr>
        <w:pStyle w:val="ManuscriptTitle"/>
        <w:ind w:firstLine="480"/>
      </w:pPr>
      <w:bookmarkStart w:id="0" w:name="OLE_LINK30"/>
      <w:bookmarkStart w:id="1" w:name="OLE_LINK36"/>
      <w:r>
        <w:rPr>
          <w:sz w:val="24"/>
        </w:rPr>
        <w:t>Changes in Seasonal Patterns and Meteorologic Sensitivity of Other Infectious Diarrhea and Norovirus Genogroups after the 2022 Breakpoint, Shenzhen, China, 2013–2025</w:t>
      </w:r>
      <w:bookmarkEnd w:id="0"/>
    </w:p>
    <w:p w14:paraId="3B24DF86" w14:textId="77777777" w:rsidR="007938CD" w:rsidRDefault="007938CD" w:rsidP="000B23DC">
      <w:pPr>
        <w:jc w:val="center"/>
        <w:rPr>
          <w:b/>
          <w:color w:val="182A50"/>
          <w:lang w:eastAsia="zh-CN"/>
        </w:rPr>
      </w:pPr>
      <w:bookmarkStart w:id="2" w:name="OLE_LINK31"/>
      <w:bookmarkEnd w:id="1"/>
    </w:p>
    <w:bookmarkEnd w:id="2"/>
    <w:p w14:paraId="16C26CA4" w14:textId="77777777" w:rsidR="00F83BFD" w:rsidRPr="00180C8B" w:rsidRDefault="00F83BFD" w:rsidP="005D13A2">
      <w:pPr>
        <w:spacing w:line="240" w:lineRule="auto"/>
        <w:rPr>
          <w:rFonts w:ascii="Arial" w:hAnsi="Arial" w:cs="Arial"/>
          <w:b/>
          <w:sz w:val="16"/>
          <w:szCs w:val="16"/>
          <w:lang w:eastAsia="zh-CN"/>
        </w:rPr>
      </w:pPr>
    </w:p>
    <w:p w14:paraId="7FD5B00B" w14:textId="237D3E0E" w:rsidR="000B23DC" w:rsidRPr="005D13A2" w:rsidRDefault="000B23DC" w:rsidP="005D13A2">
      <w:pPr>
        <w:spacing w:line="240" w:lineRule="auto"/>
        <w:rPr>
          <w:rFonts w:ascii="Arial" w:hAnsi="Arial" w:cs="Arial"/>
          <w:sz w:val="16"/>
          <w:szCs w:val="16"/>
        </w:rPr>
      </w:pPr>
      <w:r w:rsidRPr="005D13A2">
        <w:rPr>
          <w:rFonts w:ascii="Arial" w:hAnsi="Arial" w:cs="Arial"/>
          <w:b/>
          <w:sz w:val="16"/>
          <w:szCs w:val="16"/>
        </w:rPr>
        <w:t>Table S1. Breakpoint comparison for monthly OID interrupted time-series models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334"/>
        <w:gridCol w:w="1059"/>
        <w:gridCol w:w="1177"/>
        <w:gridCol w:w="1022"/>
        <w:gridCol w:w="930"/>
        <w:gridCol w:w="2774"/>
      </w:tblGrid>
      <w:tr w:rsidR="000B23DC" w:rsidRPr="005D13A2" w14:paraId="7F1E3AB4" w14:textId="77777777" w:rsidTr="00624808">
        <w:trPr>
          <w:tblHeader/>
        </w:trPr>
        <w:tc>
          <w:tcPr>
            <w:tcW w:w="1334" w:type="dxa"/>
            <w:shd w:val="clear" w:color="auto" w:fill="D9E2F3"/>
            <w:vAlign w:val="center"/>
          </w:tcPr>
          <w:p w14:paraId="43CF8BDC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b/>
                <w:sz w:val="16"/>
                <w:szCs w:val="16"/>
              </w:rPr>
              <w:t>Candidate breakpoint</w:t>
            </w:r>
          </w:p>
        </w:tc>
        <w:tc>
          <w:tcPr>
            <w:tcW w:w="1059" w:type="dxa"/>
            <w:shd w:val="clear" w:color="auto" w:fill="D9E2F3"/>
            <w:vAlign w:val="center"/>
          </w:tcPr>
          <w:p w14:paraId="0C354620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b/>
                <w:sz w:val="16"/>
                <w:szCs w:val="16"/>
              </w:rPr>
              <w:t>BIC</w:t>
            </w:r>
          </w:p>
        </w:tc>
        <w:tc>
          <w:tcPr>
            <w:tcW w:w="1177" w:type="dxa"/>
            <w:shd w:val="clear" w:color="auto" w:fill="D9E2F3"/>
            <w:vAlign w:val="center"/>
          </w:tcPr>
          <w:p w14:paraId="72CFECE0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b/>
                <w:sz w:val="16"/>
                <w:szCs w:val="16"/>
              </w:rPr>
              <w:t>R-squared</w:t>
            </w:r>
          </w:p>
        </w:tc>
        <w:tc>
          <w:tcPr>
            <w:tcW w:w="1022" w:type="dxa"/>
            <w:shd w:val="clear" w:color="auto" w:fill="D9E2F3"/>
            <w:vAlign w:val="center"/>
          </w:tcPr>
          <w:p w14:paraId="2DBF3082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b/>
                <w:sz w:val="16"/>
                <w:szCs w:val="16"/>
              </w:rPr>
              <w:t>Chow F</w:t>
            </w:r>
          </w:p>
        </w:tc>
        <w:tc>
          <w:tcPr>
            <w:tcW w:w="930" w:type="dxa"/>
            <w:shd w:val="clear" w:color="auto" w:fill="D9E2F3"/>
            <w:vAlign w:val="center"/>
          </w:tcPr>
          <w:p w14:paraId="1AB4AAB2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b/>
                <w:sz w:val="16"/>
                <w:szCs w:val="16"/>
              </w:rPr>
              <w:t>p value</w:t>
            </w:r>
          </w:p>
        </w:tc>
        <w:tc>
          <w:tcPr>
            <w:tcW w:w="2774" w:type="dxa"/>
            <w:shd w:val="clear" w:color="auto" w:fill="D9E2F3"/>
            <w:vAlign w:val="center"/>
          </w:tcPr>
          <w:p w14:paraId="20051C5F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b/>
                <w:sz w:val="16"/>
                <w:szCs w:val="16"/>
              </w:rPr>
              <w:t>Interpretation</w:t>
            </w:r>
          </w:p>
        </w:tc>
      </w:tr>
      <w:tr w:rsidR="000B23DC" w:rsidRPr="005D13A2" w14:paraId="4CA67EA2" w14:textId="77777777" w:rsidTr="00624808">
        <w:tc>
          <w:tcPr>
            <w:tcW w:w="1334" w:type="dxa"/>
            <w:vAlign w:val="center"/>
          </w:tcPr>
          <w:p w14:paraId="45BF158F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2020-01</w:t>
            </w:r>
          </w:p>
        </w:tc>
        <w:tc>
          <w:tcPr>
            <w:tcW w:w="1059" w:type="dxa"/>
            <w:vAlign w:val="center"/>
          </w:tcPr>
          <w:p w14:paraId="4EAAE6B1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2764.02</w:t>
            </w:r>
          </w:p>
        </w:tc>
        <w:tc>
          <w:tcPr>
            <w:tcW w:w="1177" w:type="dxa"/>
            <w:vAlign w:val="center"/>
          </w:tcPr>
          <w:p w14:paraId="0D60E2AE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0.454</w:t>
            </w:r>
          </w:p>
        </w:tc>
        <w:tc>
          <w:tcPr>
            <w:tcW w:w="1022" w:type="dxa"/>
            <w:vAlign w:val="center"/>
          </w:tcPr>
          <w:p w14:paraId="58E4E089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5.80</w:t>
            </w:r>
          </w:p>
        </w:tc>
        <w:tc>
          <w:tcPr>
            <w:tcW w:w="930" w:type="dxa"/>
            <w:vAlign w:val="center"/>
          </w:tcPr>
          <w:p w14:paraId="5F86D1DE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&lt;0.001</w:t>
            </w:r>
          </w:p>
        </w:tc>
        <w:tc>
          <w:tcPr>
            <w:tcW w:w="2774" w:type="dxa"/>
            <w:vAlign w:val="center"/>
          </w:tcPr>
          <w:p w14:paraId="522E1347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Significant, but weaker overall fit than January 2022</w:t>
            </w:r>
          </w:p>
        </w:tc>
      </w:tr>
      <w:tr w:rsidR="000B23DC" w:rsidRPr="005D13A2" w14:paraId="7DE3D102" w14:textId="77777777" w:rsidTr="00624808">
        <w:tc>
          <w:tcPr>
            <w:tcW w:w="1334" w:type="dxa"/>
            <w:vAlign w:val="center"/>
          </w:tcPr>
          <w:p w14:paraId="2A54DFA6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2021-01</w:t>
            </w:r>
          </w:p>
        </w:tc>
        <w:tc>
          <w:tcPr>
            <w:tcW w:w="1059" w:type="dxa"/>
            <w:vAlign w:val="center"/>
          </w:tcPr>
          <w:p w14:paraId="1514B222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2763.73</w:t>
            </w:r>
          </w:p>
        </w:tc>
        <w:tc>
          <w:tcPr>
            <w:tcW w:w="1177" w:type="dxa"/>
            <w:vAlign w:val="center"/>
          </w:tcPr>
          <w:p w14:paraId="56027920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0.456</w:t>
            </w:r>
          </w:p>
        </w:tc>
        <w:tc>
          <w:tcPr>
            <w:tcW w:w="1022" w:type="dxa"/>
            <w:vAlign w:val="center"/>
          </w:tcPr>
          <w:p w14:paraId="37ED91FF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6.18</w:t>
            </w:r>
          </w:p>
        </w:tc>
        <w:tc>
          <w:tcPr>
            <w:tcW w:w="930" w:type="dxa"/>
            <w:vAlign w:val="center"/>
          </w:tcPr>
          <w:p w14:paraId="3006C784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&lt;0.001</w:t>
            </w:r>
          </w:p>
        </w:tc>
        <w:tc>
          <w:tcPr>
            <w:tcW w:w="2774" w:type="dxa"/>
            <w:vAlign w:val="center"/>
          </w:tcPr>
          <w:p w14:paraId="0F20F1AA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Highest Chow F among candidates, but poorer overall fit</w:t>
            </w:r>
          </w:p>
        </w:tc>
      </w:tr>
      <w:tr w:rsidR="000B23DC" w:rsidRPr="005D13A2" w14:paraId="3EFD9ACA" w14:textId="77777777" w:rsidTr="00624808">
        <w:tc>
          <w:tcPr>
            <w:tcW w:w="1334" w:type="dxa"/>
            <w:vAlign w:val="center"/>
          </w:tcPr>
          <w:p w14:paraId="27D63A28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2022-01</w:t>
            </w:r>
          </w:p>
        </w:tc>
        <w:tc>
          <w:tcPr>
            <w:tcW w:w="1059" w:type="dxa"/>
            <w:vAlign w:val="center"/>
          </w:tcPr>
          <w:p w14:paraId="6081D0BE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2743.31</w:t>
            </w:r>
          </w:p>
        </w:tc>
        <w:tc>
          <w:tcPr>
            <w:tcW w:w="1177" w:type="dxa"/>
            <w:vAlign w:val="center"/>
          </w:tcPr>
          <w:p w14:paraId="6F31FC69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0.524</w:t>
            </w:r>
          </w:p>
        </w:tc>
        <w:tc>
          <w:tcPr>
            <w:tcW w:w="1022" w:type="dxa"/>
            <w:vAlign w:val="center"/>
          </w:tcPr>
          <w:p w14:paraId="6BAD3DDB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2.90</w:t>
            </w:r>
          </w:p>
        </w:tc>
        <w:tc>
          <w:tcPr>
            <w:tcW w:w="930" w:type="dxa"/>
            <w:vAlign w:val="center"/>
          </w:tcPr>
          <w:p w14:paraId="702AE22F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0.003</w:t>
            </w:r>
          </w:p>
        </w:tc>
        <w:tc>
          <w:tcPr>
            <w:tcW w:w="2774" w:type="dxa"/>
            <w:vAlign w:val="center"/>
          </w:tcPr>
          <w:p w14:paraId="38340702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Best combined support; retained as the main breakpoint</w:t>
            </w:r>
          </w:p>
        </w:tc>
      </w:tr>
      <w:tr w:rsidR="000B23DC" w:rsidRPr="005D13A2" w14:paraId="1BB48E92" w14:textId="77777777" w:rsidTr="00624808">
        <w:tc>
          <w:tcPr>
            <w:tcW w:w="1334" w:type="dxa"/>
            <w:vAlign w:val="center"/>
          </w:tcPr>
          <w:p w14:paraId="222800AA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2022-03</w:t>
            </w:r>
          </w:p>
        </w:tc>
        <w:tc>
          <w:tcPr>
            <w:tcW w:w="1059" w:type="dxa"/>
            <w:vAlign w:val="center"/>
          </w:tcPr>
          <w:p w14:paraId="73AE45F5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2749.25</w:t>
            </w:r>
          </w:p>
        </w:tc>
        <w:tc>
          <w:tcPr>
            <w:tcW w:w="1177" w:type="dxa"/>
            <w:vAlign w:val="center"/>
          </w:tcPr>
          <w:p w14:paraId="7FBEBDCA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0.505</w:t>
            </w:r>
          </w:p>
        </w:tc>
        <w:tc>
          <w:tcPr>
            <w:tcW w:w="1022" w:type="dxa"/>
            <w:vAlign w:val="center"/>
          </w:tcPr>
          <w:p w14:paraId="5383DCE7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3.76</w:t>
            </w:r>
          </w:p>
        </w:tc>
        <w:tc>
          <w:tcPr>
            <w:tcW w:w="930" w:type="dxa"/>
            <w:vAlign w:val="center"/>
          </w:tcPr>
          <w:p w14:paraId="04BE60C4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&lt;0.001</w:t>
            </w:r>
          </w:p>
        </w:tc>
        <w:tc>
          <w:tcPr>
            <w:tcW w:w="2774" w:type="dxa"/>
            <w:vAlign w:val="center"/>
          </w:tcPr>
          <w:p w14:paraId="1692E053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Nearby significant alternative breakpoint</w:t>
            </w:r>
          </w:p>
        </w:tc>
      </w:tr>
      <w:tr w:rsidR="000B23DC" w:rsidRPr="005D13A2" w14:paraId="436F1EC1" w14:textId="77777777" w:rsidTr="00624808">
        <w:tc>
          <w:tcPr>
            <w:tcW w:w="1334" w:type="dxa"/>
            <w:vAlign w:val="center"/>
          </w:tcPr>
          <w:p w14:paraId="78CE3647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2022-07</w:t>
            </w:r>
          </w:p>
        </w:tc>
        <w:tc>
          <w:tcPr>
            <w:tcW w:w="1059" w:type="dxa"/>
            <w:vAlign w:val="center"/>
          </w:tcPr>
          <w:p w14:paraId="1A052753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2749.05</w:t>
            </w:r>
          </w:p>
        </w:tc>
        <w:tc>
          <w:tcPr>
            <w:tcW w:w="1177" w:type="dxa"/>
            <w:vAlign w:val="center"/>
          </w:tcPr>
          <w:p w14:paraId="52C2536C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0.506</w:t>
            </w:r>
          </w:p>
        </w:tc>
        <w:tc>
          <w:tcPr>
            <w:tcW w:w="1022" w:type="dxa"/>
            <w:vAlign w:val="center"/>
          </w:tcPr>
          <w:p w14:paraId="04073FE3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4.07</w:t>
            </w:r>
          </w:p>
        </w:tc>
        <w:tc>
          <w:tcPr>
            <w:tcW w:w="930" w:type="dxa"/>
            <w:vAlign w:val="center"/>
          </w:tcPr>
          <w:p w14:paraId="252A9F4A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&lt;0.001</w:t>
            </w:r>
          </w:p>
        </w:tc>
        <w:tc>
          <w:tcPr>
            <w:tcW w:w="2774" w:type="dxa"/>
            <w:vAlign w:val="center"/>
          </w:tcPr>
          <w:p w14:paraId="6F2D99B8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Nearby significant alternative breakpoint</w:t>
            </w:r>
          </w:p>
        </w:tc>
      </w:tr>
      <w:tr w:rsidR="000B23DC" w:rsidRPr="005D13A2" w14:paraId="40E72815" w14:textId="77777777" w:rsidTr="00624808">
        <w:tc>
          <w:tcPr>
            <w:tcW w:w="1334" w:type="dxa"/>
            <w:vAlign w:val="center"/>
          </w:tcPr>
          <w:p w14:paraId="18FBB625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2023-01</w:t>
            </w:r>
          </w:p>
        </w:tc>
        <w:tc>
          <w:tcPr>
            <w:tcW w:w="1059" w:type="dxa"/>
            <w:vAlign w:val="center"/>
          </w:tcPr>
          <w:p w14:paraId="0B876FBA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2748.88</w:t>
            </w:r>
          </w:p>
        </w:tc>
        <w:tc>
          <w:tcPr>
            <w:tcW w:w="1177" w:type="dxa"/>
            <w:vAlign w:val="center"/>
          </w:tcPr>
          <w:p w14:paraId="65D5F495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0.507</w:t>
            </w:r>
          </w:p>
        </w:tc>
        <w:tc>
          <w:tcPr>
            <w:tcW w:w="1022" w:type="dxa"/>
            <w:vAlign w:val="center"/>
          </w:tcPr>
          <w:p w14:paraId="5C14D2F1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2.87</w:t>
            </w:r>
          </w:p>
        </w:tc>
        <w:tc>
          <w:tcPr>
            <w:tcW w:w="930" w:type="dxa"/>
            <w:vAlign w:val="center"/>
          </w:tcPr>
          <w:p w14:paraId="25ED4716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0.003</w:t>
            </w:r>
          </w:p>
        </w:tc>
        <w:tc>
          <w:tcPr>
            <w:tcW w:w="2774" w:type="dxa"/>
            <w:vAlign w:val="center"/>
          </w:tcPr>
          <w:p w14:paraId="1ACCE12C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Later significant alternative breakpoint</w:t>
            </w:r>
          </w:p>
        </w:tc>
      </w:tr>
    </w:tbl>
    <w:p w14:paraId="562F19C5" w14:textId="53BD1F05" w:rsidR="00C53CD1" w:rsidRDefault="00624808" w:rsidP="005D13A2">
      <w:pPr>
        <w:spacing w:line="240" w:lineRule="auto"/>
        <w:rPr>
          <w:rFonts w:ascii="Arial" w:hAnsi="Arial" w:cs="Arial"/>
          <w:i/>
          <w:sz w:val="16"/>
          <w:szCs w:val="16"/>
          <w:lang w:eastAsia="zh-CN"/>
        </w:rPr>
      </w:pPr>
      <w:r w:rsidRPr="00624808">
        <w:rPr>
          <w:rFonts w:ascii="Arial" w:hAnsi="Arial" w:cs="Arial"/>
          <w:i/>
          <w:sz w:val="16"/>
          <w:szCs w:val="16"/>
        </w:rPr>
        <w:t>Note. January 2022 was retained as the main breakpoint because it provided the best combined support by Bayesian information criterion and R-squared, even though adjacent breakpoints also had statistically significant Chow tests.</w:t>
      </w:r>
    </w:p>
    <w:p w14:paraId="778B43E7" w14:textId="77777777" w:rsidR="00624808" w:rsidRDefault="00624808" w:rsidP="005D13A2">
      <w:pPr>
        <w:spacing w:line="240" w:lineRule="auto"/>
        <w:rPr>
          <w:rFonts w:ascii="Arial" w:hAnsi="Arial" w:cs="Arial"/>
          <w:b/>
          <w:sz w:val="16"/>
          <w:szCs w:val="16"/>
          <w:lang w:eastAsia="zh-CN"/>
        </w:rPr>
      </w:pPr>
    </w:p>
    <w:p w14:paraId="0A5ACB8D" w14:textId="3F87C220" w:rsidR="000B23DC" w:rsidRPr="005D13A2" w:rsidRDefault="000B23DC" w:rsidP="005D13A2">
      <w:pPr>
        <w:spacing w:line="240" w:lineRule="auto"/>
        <w:rPr>
          <w:rFonts w:ascii="Arial" w:hAnsi="Arial" w:cs="Arial"/>
          <w:sz w:val="16"/>
          <w:szCs w:val="16"/>
        </w:rPr>
      </w:pPr>
      <w:r w:rsidRPr="005D13A2">
        <w:rPr>
          <w:rFonts w:ascii="Arial" w:hAnsi="Arial" w:cs="Arial"/>
          <w:b/>
          <w:sz w:val="16"/>
          <w:szCs w:val="16"/>
        </w:rPr>
        <w:t>Table S2. Full interrupted time-series coefficient table for monthly OID counts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024"/>
        <w:gridCol w:w="1212"/>
        <w:gridCol w:w="1033"/>
        <w:gridCol w:w="976"/>
        <w:gridCol w:w="908"/>
        <w:gridCol w:w="2143"/>
      </w:tblGrid>
      <w:tr w:rsidR="000B23DC" w:rsidRPr="005D13A2" w14:paraId="12322AC1" w14:textId="77777777" w:rsidTr="0078697E">
        <w:trPr>
          <w:tblHeader/>
        </w:trPr>
        <w:tc>
          <w:tcPr>
            <w:tcW w:w="2448" w:type="dxa"/>
            <w:shd w:val="clear" w:color="auto" w:fill="D9E2F3"/>
            <w:vAlign w:val="center"/>
          </w:tcPr>
          <w:p w14:paraId="583F969F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b/>
                <w:sz w:val="16"/>
                <w:szCs w:val="16"/>
              </w:rPr>
              <w:t>Term</w:t>
            </w:r>
          </w:p>
        </w:tc>
        <w:tc>
          <w:tcPr>
            <w:tcW w:w="1296" w:type="dxa"/>
            <w:shd w:val="clear" w:color="auto" w:fill="D9E2F3"/>
            <w:vAlign w:val="center"/>
          </w:tcPr>
          <w:p w14:paraId="1A8226A8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b/>
                <w:sz w:val="16"/>
                <w:szCs w:val="16"/>
              </w:rPr>
              <w:t>Coefficient</w:t>
            </w:r>
          </w:p>
        </w:tc>
        <w:tc>
          <w:tcPr>
            <w:tcW w:w="1152" w:type="dxa"/>
            <w:shd w:val="clear" w:color="auto" w:fill="D9E2F3"/>
            <w:vAlign w:val="center"/>
          </w:tcPr>
          <w:p w14:paraId="0E11CD28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b/>
                <w:sz w:val="16"/>
                <w:szCs w:val="16"/>
              </w:rPr>
              <w:t>SE</w:t>
            </w:r>
          </w:p>
        </w:tc>
        <w:tc>
          <w:tcPr>
            <w:tcW w:w="1152" w:type="dxa"/>
            <w:shd w:val="clear" w:color="auto" w:fill="D9E2F3"/>
            <w:vAlign w:val="center"/>
          </w:tcPr>
          <w:p w14:paraId="5BF82E01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b/>
                <w:sz w:val="16"/>
                <w:szCs w:val="16"/>
              </w:rPr>
              <w:t>t value</w:t>
            </w:r>
          </w:p>
        </w:tc>
        <w:tc>
          <w:tcPr>
            <w:tcW w:w="1008" w:type="dxa"/>
            <w:shd w:val="clear" w:color="auto" w:fill="D9E2F3"/>
            <w:vAlign w:val="center"/>
          </w:tcPr>
          <w:p w14:paraId="5B09B839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b/>
                <w:sz w:val="16"/>
                <w:szCs w:val="16"/>
              </w:rPr>
              <w:t>p value</w:t>
            </w:r>
          </w:p>
        </w:tc>
        <w:tc>
          <w:tcPr>
            <w:tcW w:w="2592" w:type="dxa"/>
            <w:shd w:val="clear" w:color="auto" w:fill="D9E2F3"/>
            <w:vAlign w:val="center"/>
          </w:tcPr>
          <w:p w14:paraId="1EED5713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b/>
                <w:sz w:val="16"/>
                <w:szCs w:val="16"/>
              </w:rPr>
              <w:t>Interpretation</w:t>
            </w:r>
          </w:p>
        </w:tc>
      </w:tr>
      <w:tr w:rsidR="000B23DC" w:rsidRPr="005D13A2" w14:paraId="3D75BCE7" w14:textId="77777777" w:rsidTr="0078697E">
        <w:tc>
          <w:tcPr>
            <w:tcW w:w="2448" w:type="dxa"/>
          </w:tcPr>
          <w:p w14:paraId="299EE018" w14:textId="77777777" w:rsidR="000B23DC" w:rsidRPr="005D13A2" w:rsidRDefault="000B23DC" w:rsidP="005D13A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Intercept (beta0)</w:t>
            </w:r>
          </w:p>
        </w:tc>
        <w:tc>
          <w:tcPr>
            <w:tcW w:w="1296" w:type="dxa"/>
          </w:tcPr>
          <w:p w14:paraId="4F07B21D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2307.53</w:t>
            </w:r>
          </w:p>
        </w:tc>
        <w:tc>
          <w:tcPr>
            <w:tcW w:w="1152" w:type="dxa"/>
          </w:tcPr>
          <w:p w14:paraId="7548E19E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358.19</w:t>
            </w:r>
          </w:p>
        </w:tc>
        <w:tc>
          <w:tcPr>
            <w:tcW w:w="1152" w:type="dxa"/>
          </w:tcPr>
          <w:p w14:paraId="0804577F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6.44</w:t>
            </w:r>
          </w:p>
        </w:tc>
        <w:tc>
          <w:tcPr>
            <w:tcW w:w="1008" w:type="dxa"/>
          </w:tcPr>
          <w:p w14:paraId="299D6899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&lt;0.001</w:t>
            </w:r>
          </w:p>
        </w:tc>
        <w:tc>
          <w:tcPr>
            <w:tcW w:w="2592" w:type="dxa"/>
          </w:tcPr>
          <w:p w14:paraId="16C277AC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Baseline monthly level</w:t>
            </w:r>
          </w:p>
        </w:tc>
      </w:tr>
      <w:tr w:rsidR="000B23DC" w:rsidRPr="005D13A2" w14:paraId="2CED8970" w14:textId="77777777" w:rsidTr="0078697E">
        <w:tc>
          <w:tcPr>
            <w:tcW w:w="2448" w:type="dxa"/>
          </w:tcPr>
          <w:p w14:paraId="68DCC554" w14:textId="77777777" w:rsidR="000B23DC" w:rsidRPr="005D13A2" w:rsidRDefault="000B23DC" w:rsidP="005D13A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Time trend (beta1)</w:t>
            </w:r>
          </w:p>
        </w:tc>
        <w:tc>
          <w:tcPr>
            <w:tcW w:w="1296" w:type="dxa"/>
          </w:tcPr>
          <w:p w14:paraId="788B186E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16.17</w:t>
            </w:r>
          </w:p>
        </w:tc>
        <w:tc>
          <w:tcPr>
            <w:tcW w:w="1152" w:type="dxa"/>
          </w:tcPr>
          <w:p w14:paraId="0B3529E7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5.79</w:t>
            </w:r>
          </w:p>
        </w:tc>
        <w:tc>
          <w:tcPr>
            <w:tcW w:w="1152" w:type="dxa"/>
          </w:tcPr>
          <w:p w14:paraId="119532A7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2.79</w:t>
            </w:r>
          </w:p>
        </w:tc>
        <w:tc>
          <w:tcPr>
            <w:tcW w:w="1008" w:type="dxa"/>
          </w:tcPr>
          <w:p w14:paraId="23C4D8D5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0.006</w:t>
            </w:r>
          </w:p>
        </w:tc>
        <w:tc>
          <w:tcPr>
            <w:tcW w:w="2592" w:type="dxa"/>
          </w:tcPr>
          <w:p w14:paraId="51BF24A4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Gradual pre-break increase</w:t>
            </w:r>
          </w:p>
        </w:tc>
      </w:tr>
      <w:tr w:rsidR="000B23DC" w:rsidRPr="005D13A2" w14:paraId="0C6916F5" w14:textId="77777777" w:rsidTr="0078697E">
        <w:tc>
          <w:tcPr>
            <w:tcW w:w="2448" w:type="dxa"/>
          </w:tcPr>
          <w:p w14:paraId="2FBE49B5" w14:textId="77777777" w:rsidR="000B23DC" w:rsidRPr="005D13A2" w:rsidRDefault="000B23DC" w:rsidP="005D13A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Post-break level change (beta2)</w:t>
            </w:r>
          </w:p>
        </w:tc>
        <w:tc>
          <w:tcPr>
            <w:tcW w:w="1296" w:type="dxa"/>
          </w:tcPr>
          <w:p w14:paraId="321E6B30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-20171.79</w:t>
            </w:r>
          </w:p>
        </w:tc>
        <w:tc>
          <w:tcPr>
            <w:tcW w:w="1152" w:type="dxa"/>
          </w:tcPr>
          <w:p w14:paraId="5402E063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3004.02</w:t>
            </w:r>
          </w:p>
        </w:tc>
        <w:tc>
          <w:tcPr>
            <w:tcW w:w="1152" w:type="dxa"/>
          </w:tcPr>
          <w:p w14:paraId="0D67088A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-6.71</w:t>
            </w:r>
          </w:p>
        </w:tc>
        <w:tc>
          <w:tcPr>
            <w:tcW w:w="1008" w:type="dxa"/>
          </w:tcPr>
          <w:p w14:paraId="44BF500D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&lt;0.001</w:t>
            </w:r>
          </w:p>
        </w:tc>
        <w:tc>
          <w:tcPr>
            <w:tcW w:w="2592" w:type="dxa"/>
          </w:tcPr>
          <w:p w14:paraId="7A6EEC38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Immediate downward level displacement at breakpoint coding</w:t>
            </w:r>
          </w:p>
        </w:tc>
      </w:tr>
      <w:tr w:rsidR="000B23DC" w:rsidRPr="005D13A2" w14:paraId="74D956E2" w14:textId="77777777" w:rsidTr="0078697E">
        <w:tc>
          <w:tcPr>
            <w:tcW w:w="2448" w:type="dxa"/>
          </w:tcPr>
          <w:p w14:paraId="36A27D29" w14:textId="77777777" w:rsidR="000B23DC" w:rsidRPr="005D13A2" w:rsidRDefault="000B23DC" w:rsidP="005D13A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Post-break slope change (beta3)</w:t>
            </w:r>
          </w:p>
        </w:tc>
        <w:tc>
          <w:tcPr>
            <w:tcW w:w="1296" w:type="dxa"/>
          </w:tcPr>
          <w:p w14:paraId="12A864AA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164.92</w:t>
            </w:r>
          </w:p>
        </w:tc>
        <w:tc>
          <w:tcPr>
            <w:tcW w:w="1152" w:type="dxa"/>
          </w:tcPr>
          <w:p w14:paraId="612A8E45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23.72</w:t>
            </w:r>
          </w:p>
        </w:tc>
        <w:tc>
          <w:tcPr>
            <w:tcW w:w="1152" w:type="dxa"/>
          </w:tcPr>
          <w:p w14:paraId="38A0D5F7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6.95</w:t>
            </w:r>
          </w:p>
        </w:tc>
        <w:tc>
          <w:tcPr>
            <w:tcW w:w="1008" w:type="dxa"/>
          </w:tcPr>
          <w:p w14:paraId="0D3D49F6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&lt;0.001</w:t>
            </w:r>
          </w:p>
        </w:tc>
        <w:tc>
          <w:tcPr>
            <w:tcW w:w="2592" w:type="dxa"/>
          </w:tcPr>
          <w:p w14:paraId="034B250F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Strong slope acceleration after January 2022</w:t>
            </w:r>
          </w:p>
        </w:tc>
      </w:tr>
      <w:tr w:rsidR="000B23DC" w:rsidRPr="005D13A2" w14:paraId="76AFF398" w14:textId="77777777" w:rsidTr="0078697E">
        <w:tc>
          <w:tcPr>
            <w:tcW w:w="2448" w:type="dxa"/>
          </w:tcPr>
          <w:p w14:paraId="50E72346" w14:textId="77777777" w:rsidR="000B23DC" w:rsidRPr="005D13A2" w:rsidRDefault="000B23DC" w:rsidP="005D13A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sin(2*pi*t/12)</w:t>
            </w:r>
          </w:p>
        </w:tc>
        <w:tc>
          <w:tcPr>
            <w:tcW w:w="1296" w:type="dxa"/>
          </w:tcPr>
          <w:p w14:paraId="4E4118E8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-328.92</w:t>
            </w:r>
          </w:p>
        </w:tc>
        <w:tc>
          <w:tcPr>
            <w:tcW w:w="1152" w:type="dxa"/>
          </w:tcPr>
          <w:p w14:paraId="32656C60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216.85</w:t>
            </w:r>
          </w:p>
        </w:tc>
        <w:tc>
          <w:tcPr>
            <w:tcW w:w="1152" w:type="dxa"/>
          </w:tcPr>
          <w:p w14:paraId="77FB6E85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-1.52</w:t>
            </w:r>
          </w:p>
        </w:tc>
        <w:tc>
          <w:tcPr>
            <w:tcW w:w="1008" w:type="dxa"/>
          </w:tcPr>
          <w:p w14:paraId="03CBE7BF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0.132</w:t>
            </w:r>
          </w:p>
        </w:tc>
        <w:tc>
          <w:tcPr>
            <w:tcW w:w="2592" w:type="dxa"/>
          </w:tcPr>
          <w:p w14:paraId="40862E6D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Not statistically significant</w:t>
            </w:r>
          </w:p>
        </w:tc>
      </w:tr>
      <w:tr w:rsidR="000B23DC" w:rsidRPr="005D13A2" w14:paraId="39247CF8" w14:textId="77777777" w:rsidTr="0078697E">
        <w:tc>
          <w:tcPr>
            <w:tcW w:w="2448" w:type="dxa"/>
          </w:tcPr>
          <w:p w14:paraId="572112EA" w14:textId="77777777" w:rsidR="000B23DC" w:rsidRPr="005D13A2" w:rsidRDefault="000B23DC" w:rsidP="005D13A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cos(2*pi*t/12)</w:t>
            </w:r>
          </w:p>
        </w:tc>
        <w:tc>
          <w:tcPr>
            <w:tcW w:w="1296" w:type="dxa"/>
          </w:tcPr>
          <w:p w14:paraId="2ADF8F39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1103.92</w:t>
            </w:r>
          </w:p>
        </w:tc>
        <w:tc>
          <w:tcPr>
            <w:tcW w:w="1152" w:type="dxa"/>
          </w:tcPr>
          <w:p w14:paraId="5D864CFB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214.67</w:t>
            </w:r>
          </w:p>
        </w:tc>
        <w:tc>
          <w:tcPr>
            <w:tcW w:w="1152" w:type="dxa"/>
          </w:tcPr>
          <w:p w14:paraId="044419C5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5.14</w:t>
            </w:r>
          </w:p>
        </w:tc>
        <w:tc>
          <w:tcPr>
            <w:tcW w:w="1008" w:type="dxa"/>
          </w:tcPr>
          <w:p w14:paraId="439D5336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&lt;0.001</w:t>
            </w:r>
          </w:p>
        </w:tc>
        <w:tc>
          <w:tcPr>
            <w:tcW w:w="2592" w:type="dxa"/>
          </w:tcPr>
          <w:p w14:paraId="058E24C0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Dominant annual seasonal component</w:t>
            </w:r>
          </w:p>
        </w:tc>
      </w:tr>
      <w:tr w:rsidR="000B23DC" w:rsidRPr="005D13A2" w14:paraId="183B14DA" w14:textId="77777777" w:rsidTr="0078697E">
        <w:tc>
          <w:tcPr>
            <w:tcW w:w="2448" w:type="dxa"/>
          </w:tcPr>
          <w:p w14:paraId="47DAF7CE" w14:textId="77777777" w:rsidR="000B23DC" w:rsidRPr="005D13A2" w:rsidRDefault="000B23DC" w:rsidP="005D13A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sin(4*pi*t/12)</w:t>
            </w:r>
          </w:p>
        </w:tc>
        <w:tc>
          <w:tcPr>
            <w:tcW w:w="1296" w:type="dxa"/>
          </w:tcPr>
          <w:p w14:paraId="36617F24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-27.50</w:t>
            </w:r>
          </w:p>
        </w:tc>
        <w:tc>
          <w:tcPr>
            <w:tcW w:w="1152" w:type="dxa"/>
          </w:tcPr>
          <w:p w14:paraId="555751BB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216.35</w:t>
            </w:r>
          </w:p>
        </w:tc>
        <w:tc>
          <w:tcPr>
            <w:tcW w:w="1152" w:type="dxa"/>
          </w:tcPr>
          <w:p w14:paraId="11E761FB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-0.13</w:t>
            </w:r>
          </w:p>
        </w:tc>
        <w:tc>
          <w:tcPr>
            <w:tcW w:w="1008" w:type="dxa"/>
          </w:tcPr>
          <w:p w14:paraId="74A69500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0.899</w:t>
            </w:r>
          </w:p>
        </w:tc>
        <w:tc>
          <w:tcPr>
            <w:tcW w:w="2592" w:type="dxa"/>
          </w:tcPr>
          <w:p w14:paraId="35AF1165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Not statistically significant</w:t>
            </w:r>
          </w:p>
        </w:tc>
      </w:tr>
      <w:tr w:rsidR="000B23DC" w:rsidRPr="005D13A2" w14:paraId="37B51EDC" w14:textId="77777777" w:rsidTr="0078697E">
        <w:tc>
          <w:tcPr>
            <w:tcW w:w="2448" w:type="dxa"/>
          </w:tcPr>
          <w:p w14:paraId="2D9BBBC6" w14:textId="77777777" w:rsidR="000B23DC" w:rsidRPr="005D13A2" w:rsidRDefault="000B23DC" w:rsidP="005D13A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cos(4*pi*t/12)</w:t>
            </w:r>
          </w:p>
        </w:tc>
        <w:tc>
          <w:tcPr>
            <w:tcW w:w="1296" w:type="dxa"/>
          </w:tcPr>
          <w:p w14:paraId="4A7F66D5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702.57</w:t>
            </w:r>
          </w:p>
        </w:tc>
        <w:tc>
          <w:tcPr>
            <w:tcW w:w="1152" w:type="dxa"/>
          </w:tcPr>
          <w:p w14:paraId="1498D34C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214.54</w:t>
            </w:r>
          </w:p>
        </w:tc>
        <w:tc>
          <w:tcPr>
            <w:tcW w:w="1152" w:type="dxa"/>
          </w:tcPr>
          <w:p w14:paraId="45EEBCE3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3.27</w:t>
            </w:r>
          </w:p>
        </w:tc>
        <w:tc>
          <w:tcPr>
            <w:tcW w:w="1008" w:type="dxa"/>
          </w:tcPr>
          <w:p w14:paraId="72D125BB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0.001</w:t>
            </w:r>
          </w:p>
        </w:tc>
        <w:tc>
          <w:tcPr>
            <w:tcW w:w="2592" w:type="dxa"/>
          </w:tcPr>
          <w:p w14:paraId="5CA16BE5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Semiannual seasonal component</w:t>
            </w:r>
          </w:p>
        </w:tc>
      </w:tr>
      <w:tr w:rsidR="000B23DC" w:rsidRPr="005D13A2" w14:paraId="18E840B0" w14:textId="77777777" w:rsidTr="0078697E">
        <w:tc>
          <w:tcPr>
            <w:tcW w:w="2448" w:type="dxa"/>
          </w:tcPr>
          <w:p w14:paraId="3A6DC2A0" w14:textId="77777777" w:rsidR="000B23DC" w:rsidRPr="005D13A2" w:rsidRDefault="000B23DC" w:rsidP="005D13A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sin(6*pi*t/12)</w:t>
            </w:r>
          </w:p>
        </w:tc>
        <w:tc>
          <w:tcPr>
            <w:tcW w:w="1296" w:type="dxa"/>
          </w:tcPr>
          <w:p w14:paraId="1FD052C3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-277.07</w:t>
            </w:r>
          </w:p>
        </w:tc>
        <w:tc>
          <w:tcPr>
            <w:tcW w:w="1152" w:type="dxa"/>
          </w:tcPr>
          <w:p w14:paraId="1603C621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215.92</w:t>
            </w:r>
          </w:p>
        </w:tc>
        <w:tc>
          <w:tcPr>
            <w:tcW w:w="1152" w:type="dxa"/>
          </w:tcPr>
          <w:p w14:paraId="29D497D0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-1.28</w:t>
            </w:r>
          </w:p>
        </w:tc>
        <w:tc>
          <w:tcPr>
            <w:tcW w:w="1008" w:type="dxa"/>
          </w:tcPr>
          <w:p w14:paraId="5BD0C666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0.202</w:t>
            </w:r>
          </w:p>
        </w:tc>
        <w:tc>
          <w:tcPr>
            <w:tcW w:w="2592" w:type="dxa"/>
          </w:tcPr>
          <w:p w14:paraId="73582DF7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Not statistically significant</w:t>
            </w:r>
          </w:p>
        </w:tc>
      </w:tr>
      <w:tr w:rsidR="000B23DC" w:rsidRPr="005D13A2" w14:paraId="4E17E600" w14:textId="77777777" w:rsidTr="0078697E">
        <w:tc>
          <w:tcPr>
            <w:tcW w:w="2448" w:type="dxa"/>
          </w:tcPr>
          <w:p w14:paraId="21065F41" w14:textId="77777777" w:rsidR="000B23DC" w:rsidRPr="005D13A2" w:rsidRDefault="000B23DC" w:rsidP="005D13A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cos(6*pi*t/12)</w:t>
            </w:r>
          </w:p>
        </w:tc>
        <w:tc>
          <w:tcPr>
            <w:tcW w:w="1296" w:type="dxa"/>
          </w:tcPr>
          <w:p w14:paraId="0C8106C0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238.34</w:t>
            </w:r>
          </w:p>
        </w:tc>
        <w:tc>
          <w:tcPr>
            <w:tcW w:w="1152" w:type="dxa"/>
          </w:tcPr>
          <w:p w14:paraId="4CECA7D3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214.58</w:t>
            </w:r>
          </w:p>
        </w:tc>
        <w:tc>
          <w:tcPr>
            <w:tcW w:w="1152" w:type="dxa"/>
          </w:tcPr>
          <w:p w14:paraId="2DEF2CB5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1.11</w:t>
            </w:r>
          </w:p>
        </w:tc>
        <w:tc>
          <w:tcPr>
            <w:tcW w:w="1008" w:type="dxa"/>
          </w:tcPr>
          <w:p w14:paraId="4B92FA8A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0.269</w:t>
            </w:r>
          </w:p>
        </w:tc>
        <w:tc>
          <w:tcPr>
            <w:tcW w:w="2592" w:type="dxa"/>
          </w:tcPr>
          <w:p w14:paraId="60A2515A" w14:textId="77777777" w:rsidR="000B23DC" w:rsidRPr="005D13A2" w:rsidRDefault="000B23DC" w:rsidP="005D13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3A2">
              <w:rPr>
                <w:rFonts w:ascii="Arial" w:hAnsi="Arial" w:cs="Arial"/>
                <w:sz w:val="16"/>
                <w:szCs w:val="16"/>
              </w:rPr>
              <w:t>Not statistically significant</w:t>
            </w:r>
          </w:p>
        </w:tc>
      </w:tr>
    </w:tbl>
    <w:p w14:paraId="05DF74F5" w14:textId="748F1E11" w:rsidR="002211A6" w:rsidRPr="005D13A2" w:rsidRDefault="000B23DC" w:rsidP="005D13A2">
      <w:pPr>
        <w:spacing w:line="240" w:lineRule="auto"/>
        <w:rPr>
          <w:rFonts w:ascii="Arial" w:hAnsi="Arial" w:cs="Arial"/>
          <w:i/>
          <w:sz w:val="16"/>
          <w:szCs w:val="16"/>
        </w:rPr>
      </w:pPr>
      <w:r w:rsidRPr="005D13A2">
        <w:rPr>
          <w:rFonts w:ascii="Arial" w:hAnsi="Arial" w:cs="Arial"/>
          <w:i/>
          <w:sz w:val="16"/>
          <w:szCs w:val="16"/>
        </w:rPr>
        <w:lastRenderedPageBreak/>
        <w:t>Note. Model summary: n=151 months, breakpoint at 2022-01, R-squared=0.524, adjusted R-squared=0.494, F=17.27, model p&lt;0.001. The negative beta2 coefficient reflects model coding of the segmented transition and should not be interpreted in isolation from the strongly positive post-break slope change.</w:t>
      </w:r>
    </w:p>
    <w:p w14:paraId="10B1337B" w14:textId="77777777" w:rsidR="00C53CD1" w:rsidRDefault="00C53CD1" w:rsidP="00F047DB">
      <w:pPr>
        <w:spacing w:line="240" w:lineRule="auto"/>
        <w:rPr>
          <w:rFonts w:ascii="Arial" w:hAnsi="Arial" w:cs="Arial"/>
          <w:b/>
          <w:sz w:val="16"/>
          <w:szCs w:val="16"/>
          <w:lang w:eastAsia="zh-CN"/>
        </w:rPr>
      </w:pPr>
    </w:p>
    <w:p w14:paraId="7072328C" w14:textId="0AEBBCA8" w:rsidR="000B23DC" w:rsidRPr="00F047DB" w:rsidRDefault="000B23DC" w:rsidP="00F047DB">
      <w:pPr>
        <w:spacing w:line="240" w:lineRule="auto"/>
        <w:rPr>
          <w:rFonts w:ascii="Arial" w:hAnsi="Arial" w:cs="Arial"/>
          <w:sz w:val="16"/>
          <w:szCs w:val="16"/>
        </w:rPr>
      </w:pPr>
      <w:r w:rsidRPr="00F047DB">
        <w:rPr>
          <w:rFonts w:ascii="Arial" w:hAnsi="Arial" w:cs="Arial"/>
          <w:b/>
          <w:sz w:val="16"/>
          <w:szCs w:val="16"/>
        </w:rPr>
        <w:t>Table S3. Supplementary environmental-analysis settings and period-stratified correlations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42"/>
        <w:gridCol w:w="2347"/>
        <w:gridCol w:w="1818"/>
        <w:gridCol w:w="2489"/>
      </w:tblGrid>
      <w:tr w:rsidR="000B23DC" w:rsidRPr="00F047DB" w14:paraId="73D290C9" w14:textId="77777777" w:rsidTr="009C7884">
        <w:trPr>
          <w:tblHeader/>
        </w:trPr>
        <w:tc>
          <w:tcPr>
            <w:tcW w:w="1642" w:type="dxa"/>
            <w:shd w:val="clear" w:color="auto" w:fill="D9E2F3"/>
            <w:vAlign w:val="center"/>
          </w:tcPr>
          <w:p w14:paraId="680A0E48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b/>
                <w:sz w:val="16"/>
                <w:szCs w:val="16"/>
              </w:rPr>
              <w:t>Component</w:t>
            </w:r>
          </w:p>
        </w:tc>
        <w:tc>
          <w:tcPr>
            <w:tcW w:w="2347" w:type="dxa"/>
            <w:shd w:val="clear" w:color="auto" w:fill="D9E2F3"/>
            <w:vAlign w:val="center"/>
          </w:tcPr>
          <w:p w14:paraId="64D2CFDF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b/>
                <w:sz w:val="16"/>
                <w:szCs w:val="16"/>
              </w:rPr>
              <w:t>Specification or result</w:t>
            </w:r>
          </w:p>
        </w:tc>
        <w:tc>
          <w:tcPr>
            <w:tcW w:w="1818" w:type="dxa"/>
            <w:shd w:val="clear" w:color="auto" w:fill="D9E2F3"/>
            <w:vAlign w:val="center"/>
          </w:tcPr>
          <w:p w14:paraId="067D978D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b/>
                <w:sz w:val="16"/>
                <w:szCs w:val="16"/>
              </w:rPr>
              <w:t>Value</w:t>
            </w:r>
          </w:p>
        </w:tc>
        <w:tc>
          <w:tcPr>
            <w:tcW w:w="2489" w:type="dxa"/>
            <w:shd w:val="clear" w:color="auto" w:fill="D9E2F3"/>
            <w:vAlign w:val="center"/>
          </w:tcPr>
          <w:p w14:paraId="1B2BA12A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b/>
                <w:sz w:val="16"/>
                <w:szCs w:val="16"/>
              </w:rPr>
              <w:t>Comment</w:t>
            </w:r>
          </w:p>
        </w:tc>
      </w:tr>
      <w:tr w:rsidR="000B23DC" w:rsidRPr="00F047DB" w14:paraId="69B0BCDA" w14:textId="77777777" w:rsidTr="00F047DB">
        <w:tc>
          <w:tcPr>
            <w:tcW w:w="1642" w:type="dxa"/>
            <w:vAlign w:val="center"/>
          </w:tcPr>
          <w:p w14:paraId="700968A0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Environmental time scale</w:t>
            </w:r>
          </w:p>
        </w:tc>
        <w:tc>
          <w:tcPr>
            <w:tcW w:w="2347" w:type="dxa"/>
            <w:vAlign w:val="center"/>
          </w:tcPr>
          <w:p w14:paraId="33FFBAD6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Observation window</w:t>
            </w:r>
          </w:p>
        </w:tc>
        <w:tc>
          <w:tcPr>
            <w:tcW w:w="1818" w:type="dxa"/>
            <w:vAlign w:val="center"/>
          </w:tcPr>
          <w:p w14:paraId="74AF6F31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2013-01 to 2025-07</w:t>
            </w:r>
          </w:p>
        </w:tc>
        <w:tc>
          <w:tcPr>
            <w:tcW w:w="2489" w:type="dxa"/>
            <w:vAlign w:val="center"/>
          </w:tcPr>
          <w:p w14:paraId="0949A7A3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151 monthly observations overall</w:t>
            </w:r>
          </w:p>
        </w:tc>
      </w:tr>
      <w:tr w:rsidR="000B23DC" w:rsidRPr="00F047DB" w14:paraId="6FD4C464" w14:textId="77777777" w:rsidTr="00F047DB">
        <w:tc>
          <w:tcPr>
            <w:tcW w:w="1642" w:type="dxa"/>
            <w:vAlign w:val="center"/>
          </w:tcPr>
          <w:p w14:paraId="3C49F094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Descriptive periods</w:t>
            </w:r>
          </w:p>
        </w:tc>
        <w:tc>
          <w:tcPr>
            <w:tcW w:w="2347" w:type="dxa"/>
            <w:vAlign w:val="center"/>
          </w:tcPr>
          <w:p w14:paraId="7B9F417E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Pre-COVID / During-COVID / Post-COVID</w:t>
            </w:r>
          </w:p>
        </w:tc>
        <w:tc>
          <w:tcPr>
            <w:tcW w:w="1818" w:type="dxa"/>
            <w:vAlign w:val="center"/>
          </w:tcPr>
          <w:p w14:paraId="27A075E9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84 / 36 / 31 months</w:t>
            </w:r>
          </w:p>
        </w:tc>
        <w:tc>
          <w:tcPr>
            <w:tcW w:w="2489" w:type="dxa"/>
            <w:vAlign w:val="center"/>
          </w:tcPr>
          <w:p w14:paraId="51D83E24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Used for seasonal comparison and period-stratified environmental summaries</w:t>
            </w:r>
          </w:p>
        </w:tc>
      </w:tr>
      <w:tr w:rsidR="000B23DC" w:rsidRPr="00F047DB" w14:paraId="312D527F" w14:textId="77777777" w:rsidTr="00F047DB">
        <w:tc>
          <w:tcPr>
            <w:tcW w:w="1642" w:type="dxa"/>
            <w:vAlign w:val="center"/>
          </w:tcPr>
          <w:p w14:paraId="507F1DF3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Lag framework</w:t>
            </w:r>
          </w:p>
        </w:tc>
        <w:tc>
          <w:tcPr>
            <w:tcW w:w="2347" w:type="dxa"/>
            <w:vAlign w:val="center"/>
          </w:tcPr>
          <w:p w14:paraId="37ACC33A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Maximum lag</w:t>
            </w:r>
          </w:p>
        </w:tc>
        <w:tc>
          <w:tcPr>
            <w:tcW w:w="1818" w:type="dxa"/>
            <w:vAlign w:val="center"/>
          </w:tcPr>
          <w:p w14:paraId="79CA5AA3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0-6 months</w:t>
            </w:r>
          </w:p>
        </w:tc>
        <w:tc>
          <w:tcPr>
            <w:tcW w:w="2489" w:type="dxa"/>
            <w:vAlign w:val="center"/>
          </w:tcPr>
          <w:p w14:paraId="630425DC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Displayed in Figure S1</w:t>
            </w:r>
          </w:p>
        </w:tc>
      </w:tr>
      <w:tr w:rsidR="000B23DC" w:rsidRPr="00F047DB" w14:paraId="68B6D9E2" w14:textId="77777777" w:rsidTr="00F047DB">
        <w:tc>
          <w:tcPr>
            <w:tcW w:w="1642" w:type="dxa"/>
            <w:vAlign w:val="center"/>
          </w:tcPr>
          <w:p w14:paraId="32C2A95B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Exposure variables</w:t>
            </w:r>
          </w:p>
        </w:tc>
        <w:tc>
          <w:tcPr>
            <w:tcW w:w="2347" w:type="dxa"/>
            <w:vAlign w:val="center"/>
          </w:tcPr>
          <w:p w14:paraId="70E7CC04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Temperature / relative humidity / rainfall</w:t>
            </w:r>
          </w:p>
        </w:tc>
        <w:tc>
          <w:tcPr>
            <w:tcW w:w="1818" w:type="dxa"/>
            <w:vAlign w:val="center"/>
          </w:tcPr>
          <w:p w14:paraId="078AABFE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3 variables</w:t>
            </w:r>
          </w:p>
        </w:tc>
        <w:tc>
          <w:tcPr>
            <w:tcW w:w="2489" w:type="dxa"/>
            <w:vAlign w:val="center"/>
          </w:tcPr>
          <w:p w14:paraId="6DF4F062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Monthly summaries and lag-response panels</w:t>
            </w:r>
          </w:p>
        </w:tc>
      </w:tr>
      <w:tr w:rsidR="000B23DC" w:rsidRPr="00F047DB" w14:paraId="2F79C91C" w14:textId="77777777" w:rsidTr="00F047DB">
        <w:tc>
          <w:tcPr>
            <w:tcW w:w="1642" w:type="dxa"/>
            <w:vAlign w:val="center"/>
          </w:tcPr>
          <w:p w14:paraId="49D19DB9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OID correlations</w:t>
            </w:r>
          </w:p>
        </w:tc>
        <w:tc>
          <w:tcPr>
            <w:tcW w:w="2347" w:type="dxa"/>
            <w:vAlign w:val="center"/>
          </w:tcPr>
          <w:p w14:paraId="099CAE42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Pre-COVID temperature / humidity / rainfall</w:t>
            </w:r>
          </w:p>
        </w:tc>
        <w:tc>
          <w:tcPr>
            <w:tcW w:w="1818" w:type="dxa"/>
            <w:vAlign w:val="center"/>
          </w:tcPr>
          <w:p w14:paraId="5AD5CA9B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-0.486 / -0.553 / -0.224</w:t>
            </w:r>
          </w:p>
        </w:tc>
        <w:tc>
          <w:tcPr>
            <w:tcW w:w="2489" w:type="dxa"/>
            <w:vAlign w:val="center"/>
          </w:tcPr>
          <w:p w14:paraId="56CA71BA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All inverse; rainfall weak</w:t>
            </w:r>
          </w:p>
        </w:tc>
      </w:tr>
      <w:tr w:rsidR="000B23DC" w:rsidRPr="00F047DB" w14:paraId="5FD392BC" w14:textId="77777777" w:rsidTr="00F047DB">
        <w:tc>
          <w:tcPr>
            <w:tcW w:w="1642" w:type="dxa"/>
            <w:vAlign w:val="center"/>
          </w:tcPr>
          <w:p w14:paraId="6E24F728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OID correlations</w:t>
            </w:r>
          </w:p>
        </w:tc>
        <w:tc>
          <w:tcPr>
            <w:tcW w:w="2347" w:type="dxa"/>
            <w:vAlign w:val="center"/>
          </w:tcPr>
          <w:p w14:paraId="1B2ABE62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Post-COVID temperature / humidity / rainfall</w:t>
            </w:r>
          </w:p>
        </w:tc>
        <w:tc>
          <w:tcPr>
            <w:tcW w:w="1818" w:type="dxa"/>
            <w:vAlign w:val="center"/>
          </w:tcPr>
          <w:p w14:paraId="51D66B06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-0.320 / -0.257 / -0.194</w:t>
            </w:r>
          </w:p>
        </w:tc>
        <w:tc>
          <w:tcPr>
            <w:tcW w:w="2489" w:type="dxa"/>
            <w:vAlign w:val="center"/>
          </w:tcPr>
          <w:p w14:paraId="29D4B294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Attenuated and not statistically significant</w:t>
            </w:r>
          </w:p>
        </w:tc>
      </w:tr>
      <w:tr w:rsidR="000B23DC" w:rsidRPr="00F047DB" w14:paraId="188B8820" w14:textId="77777777" w:rsidTr="00F047DB">
        <w:tc>
          <w:tcPr>
            <w:tcW w:w="1642" w:type="dxa"/>
            <w:vAlign w:val="center"/>
          </w:tcPr>
          <w:p w14:paraId="52B10E43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GI correlations</w:t>
            </w:r>
          </w:p>
        </w:tc>
        <w:tc>
          <w:tcPr>
            <w:tcW w:w="2347" w:type="dxa"/>
            <w:vAlign w:val="center"/>
          </w:tcPr>
          <w:p w14:paraId="6D7D039E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Post-COVID temperature</w:t>
            </w:r>
          </w:p>
        </w:tc>
        <w:tc>
          <w:tcPr>
            <w:tcW w:w="1818" w:type="dxa"/>
            <w:vAlign w:val="center"/>
          </w:tcPr>
          <w:p w14:paraId="7000B816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-0.419</w:t>
            </w:r>
          </w:p>
        </w:tc>
        <w:tc>
          <w:tcPr>
            <w:tcW w:w="2489" w:type="dxa"/>
            <w:vAlign w:val="center"/>
          </w:tcPr>
          <w:p w14:paraId="66A30F36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Inverse association emerged after 2022</w:t>
            </w:r>
          </w:p>
        </w:tc>
      </w:tr>
      <w:tr w:rsidR="000B23DC" w:rsidRPr="00F047DB" w14:paraId="0ED848CA" w14:textId="77777777" w:rsidTr="00F047DB">
        <w:tc>
          <w:tcPr>
            <w:tcW w:w="1642" w:type="dxa"/>
            <w:vAlign w:val="center"/>
          </w:tcPr>
          <w:p w14:paraId="3BF1F09E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GII correlations</w:t>
            </w:r>
          </w:p>
        </w:tc>
        <w:tc>
          <w:tcPr>
            <w:tcW w:w="2347" w:type="dxa"/>
            <w:vAlign w:val="center"/>
          </w:tcPr>
          <w:p w14:paraId="4BA8B1B1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Post-COVID humidity</w:t>
            </w:r>
          </w:p>
        </w:tc>
        <w:tc>
          <w:tcPr>
            <w:tcW w:w="1818" w:type="dxa"/>
            <w:vAlign w:val="center"/>
          </w:tcPr>
          <w:p w14:paraId="21B5BA67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-0.431</w:t>
            </w:r>
          </w:p>
        </w:tc>
        <w:tc>
          <w:tcPr>
            <w:tcW w:w="2489" w:type="dxa"/>
            <w:vAlign w:val="center"/>
          </w:tcPr>
          <w:p w14:paraId="53BCD8DC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Inverse humidity association strengthened after 2022</w:t>
            </w:r>
          </w:p>
        </w:tc>
      </w:tr>
      <w:tr w:rsidR="000B23DC" w:rsidRPr="00F047DB" w14:paraId="6A1C0CBF" w14:textId="77777777" w:rsidTr="00F047DB">
        <w:tc>
          <w:tcPr>
            <w:tcW w:w="1642" w:type="dxa"/>
            <w:vAlign w:val="center"/>
          </w:tcPr>
          <w:p w14:paraId="1A6D3132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GI+GII correlations</w:t>
            </w:r>
          </w:p>
        </w:tc>
        <w:tc>
          <w:tcPr>
            <w:tcW w:w="2347" w:type="dxa"/>
            <w:vAlign w:val="center"/>
          </w:tcPr>
          <w:p w14:paraId="6A050D66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Stable pattern</w:t>
            </w:r>
          </w:p>
        </w:tc>
        <w:tc>
          <w:tcPr>
            <w:tcW w:w="1818" w:type="dxa"/>
            <w:vAlign w:val="center"/>
          </w:tcPr>
          <w:p w14:paraId="5EDFF1C5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No consistent correlation</w:t>
            </w:r>
          </w:p>
        </w:tc>
        <w:tc>
          <w:tcPr>
            <w:tcW w:w="2489" w:type="dxa"/>
            <w:vAlign w:val="center"/>
          </w:tcPr>
          <w:p w14:paraId="504B0C19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Mixed detections remained heterogeneous</w:t>
            </w:r>
          </w:p>
        </w:tc>
      </w:tr>
    </w:tbl>
    <w:p w14:paraId="5121EA48" w14:textId="77777777" w:rsidR="000B23DC" w:rsidRPr="00F047DB" w:rsidRDefault="000B23DC" w:rsidP="00F047DB">
      <w:pPr>
        <w:spacing w:line="240" w:lineRule="auto"/>
        <w:rPr>
          <w:rFonts w:ascii="Arial" w:hAnsi="Arial" w:cs="Arial"/>
          <w:sz w:val="16"/>
          <w:szCs w:val="16"/>
        </w:rPr>
      </w:pPr>
      <w:r w:rsidRPr="00F047DB">
        <w:rPr>
          <w:rFonts w:ascii="Arial" w:hAnsi="Arial" w:cs="Arial"/>
          <w:i/>
          <w:sz w:val="16"/>
          <w:szCs w:val="16"/>
        </w:rPr>
        <w:t>Note. These supplementary results support the main-text conclusion that environmental association changed across periods, but they remain ecological summaries rather than formal causal estimates. Figure S1 and Table S3 summarize the most interpretable lag-pattern evidence; if reviewers require them, the full lag-specific coefficient exports can be supplied separately as data files.</w:t>
      </w:r>
    </w:p>
    <w:p w14:paraId="10D10D1A" w14:textId="77777777" w:rsidR="00C53CD1" w:rsidRDefault="00C53CD1">
      <w:pPr>
        <w:spacing w:line="240" w:lineRule="auto"/>
        <w:rPr>
          <w:b/>
          <w:sz w:val="23"/>
          <w:lang w:eastAsia="zh-CN"/>
        </w:rPr>
      </w:pPr>
    </w:p>
    <w:p w14:paraId="476104B0" w14:textId="77777777" w:rsidR="000B23DC" w:rsidRPr="00F047DB" w:rsidRDefault="000B23DC" w:rsidP="00F047DB">
      <w:pPr>
        <w:spacing w:line="240" w:lineRule="auto"/>
        <w:rPr>
          <w:rFonts w:ascii="Arial" w:hAnsi="Arial" w:cs="Arial"/>
          <w:sz w:val="16"/>
          <w:szCs w:val="16"/>
        </w:rPr>
      </w:pPr>
      <w:r w:rsidRPr="00F047DB">
        <w:rPr>
          <w:rFonts w:ascii="Arial" w:hAnsi="Arial" w:cs="Arial"/>
          <w:b/>
          <w:sz w:val="16"/>
          <w:szCs w:val="16"/>
        </w:rPr>
        <w:t>Table S4. Breakpoint-stratified generalized additive model summaries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28"/>
        <w:gridCol w:w="827"/>
        <w:gridCol w:w="974"/>
        <w:gridCol w:w="1299"/>
        <w:gridCol w:w="1299"/>
        <w:gridCol w:w="1359"/>
        <w:gridCol w:w="1810"/>
      </w:tblGrid>
      <w:tr w:rsidR="000B23DC" w:rsidRPr="00F047DB" w14:paraId="037CDD5A" w14:textId="77777777" w:rsidTr="0078697E">
        <w:trPr>
          <w:tblHeader/>
        </w:trPr>
        <w:tc>
          <w:tcPr>
            <w:tcW w:w="728" w:type="dxa"/>
            <w:shd w:val="clear" w:color="auto" w:fill="D9E2F3"/>
            <w:vAlign w:val="center"/>
          </w:tcPr>
          <w:p w14:paraId="6FFDBEB5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b/>
                <w:sz w:val="16"/>
                <w:szCs w:val="16"/>
              </w:rPr>
              <w:t>Series</w:t>
            </w:r>
          </w:p>
        </w:tc>
        <w:tc>
          <w:tcPr>
            <w:tcW w:w="827" w:type="dxa"/>
            <w:shd w:val="clear" w:color="auto" w:fill="D9E2F3"/>
            <w:vAlign w:val="center"/>
          </w:tcPr>
          <w:p w14:paraId="748A1FBC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b/>
                <w:sz w:val="16"/>
                <w:szCs w:val="16"/>
              </w:rPr>
              <w:t>Pre-break n</w:t>
            </w:r>
          </w:p>
        </w:tc>
        <w:tc>
          <w:tcPr>
            <w:tcW w:w="974" w:type="dxa"/>
            <w:shd w:val="clear" w:color="auto" w:fill="D9E2F3"/>
            <w:vAlign w:val="center"/>
          </w:tcPr>
          <w:p w14:paraId="71F06468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b/>
                <w:sz w:val="16"/>
                <w:szCs w:val="16"/>
              </w:rPr>
              <w:t>Post-break n</w:t>
            </w:r>
          </w:p>
        </w:tc>
        <w:tc>
          <w:tcPr>
            <w:tcW w:w="1299" w:type="dxa"/>
            <w:shd w:val="clear" w:color="auto" w:fill="D9E2F3"/>
            <w:vAlign w:val="center"/>
          </w:tcPr>
          <w:p w14:paraId="2E48E663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F047DB">
              <w:rPr>
                <w:rFonts w:ascii="Arial" w:hAnsi="Arial" w:cs="Arial"/>
                <w:b/>
                <w:sz w:val="16"/>
                <w:szCs w:val="16"/>
              </w:rPr>
              <w:t>Pre-break</w:t>
            </w:r>
          </w:p>
          <w:p w14:paraId="3DBB4080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b/>
                <w:sz w:val="16"/>
                <w:szCs w:val="16"/>
              </w:rPr>
              <w:t xml:space="preserve">mean </w:t>
            </w:r>
            <w:bookmarkStart w:id="3" w:name="OLE_LINK14"/>
            <w:r w:rsidRPr="00F047DB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±</w:t>
            </w:r>
            <w:bookmarkEnd w:id="3"/>
            <w:r w:rsidRPr="00F047DB">
              <w:rPr>
                <w:rFonts w:ascii="Arial" w:hAnsi="Arial" w:cs="Arial"/>
                <w:b/>
                <w:sz w:val="16"/>
                <w:szCs w:val="16"/>
              </w:rPr>
              <w:t xml:space="preserve"> SD</w:t>
            </w:r>
          </w:p>
        </w:tc>
        <w:tc>
          <w:tcPr>
            <w:tcW w:w="1299" w:type="dxa"/>
            <w:shd w:val="clear" w:color="auto" w:fill="D9E2F3"/>
            <w:vAlign w:val="center"/>
          </w:tcPr>
          <w:p w14:paraId="53A654DA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F047DB">
              <w:rPr>
                <w:rFonts w:ascii="Arial" w:hAnsi="Arial" w:cs="Arial"/>
                <w:b/>
                <w:sz w:val="16"/>
                <w:szCs w:val="16"/>
              </w:rPr>
              <w:t>Post-break</w:t>
            </w:r>
          </w:p>
          <w:p w14:paraId="2F120DAE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b/>
                <w:sz w:val="16"/>
                <w:szCs w:val="16"/>
              </w:rPr>
              <w:t xml:space="preserve">mean </w:t>
            </w:r>
            <w:r w:rsidRPr="00F047DB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±</w:t>
            </w:r>
            <w:r w:rsidRPr="00F047DB">
              <w:rPr>
                <w:rFonts w:ascii="Arial" w:hAnsi="Arial" w:cs="Arial"/>
                <w:b/>
                <w:sz w:val="16"/>
                <w:szCs w:val="16"/>
              </w:rPr>
              <w:t xml:space="preserve"> SD</w:t>
            </w:r>
          </w:p>
        </w:tc>
        <w:tc>
          <w:tcPr>
            <w:tcW w:w="1359" w:type="dxa"/>
            <w:shd w:val="clear" w:color="auto" w:fill="D9E2F3"/>
            <w:vAlign w:val="center"/>
          </w:tcPr>
          <w:p w14:paraId="62A3A7EC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b/>
                <w:sz w:val="16"/>
                <w:szCs w:val="16"/>
              </w:rPr>
              <w:t>R-squared change</w:t>
            </w:r>
          </w:p>
        </w:tc>
        <w:tc>
          <w:tcPr>
            <w:tcW w:w="1810" w:type="dxa"/>
            <w:shd w:val="clear" w:color="auto" w:fill="D9E2F3"/>
            <w:vAlign w:val="center"/>
          </w:tcPr>
          <w:p w14:paraId="3B6DEF29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b/>
                <w:sz w:val="16"/>
                <w:szCs w:val="16"/>
              </w:rPr>
              <w:t>Interaction contrast</w:t>
            </w:r>
          </w:p>
        </w:tc>
      </w:tr>
      <w:tr w:rsidR="000B23DC" w:rsidRPr="00F047DB" w14:paraId="5F1C6E52" w14:textId="77777777" w:rsidTr="0078697E">
        <w:tc>
          <w:tcPr>
            <w:tcW w:w="728" w:type="dxa"/>
            <w:vAlign w:val="center"/>
          </w:tcPr>
          <w:p w14:paraId="684476EC" w14:textId="77777777" w:rsidR="000B23DC" w:rsidRPr="00F047DB" w:rsidRDefault="000B23DC" w:rsidP="00F047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OID</w:t>
            </w:r>
          </w:p>
        </w:tc>
        <w:tc>
          <w:tcPr>
            <w:tcW w:w="827" w:type="dxa"/>
            <w:vAlign w:val="center"/>
          </w:tcPr>
          <w:p w14:paraId="2593228A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974" w:type="dxa"/>
            <w:vAlign w:val="center"/>
          </w:tcPr>
          <w:p w14:paraId="18A0C3B4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299" w:type="dxa"/>
            <w:vAlign w:val="center"/>
          </w:tcPr>
          <w:p w14:paraId="6A809360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 xml:space="preserve">3172.9 </w:t>
            </w:r>
            <w:r w:rsidRPr="00F047DB">
              <w:rPr>
                <w:rFonts w:ascii="Arial" w:hAnsi="Arial" w:cs="Arial"/>
                <w:sz w:val="16"/>
                <w:szCs w:val="16"/>
                <w:lang w:eastAsia="zh-CN"/>
              </w:rPr>
              <w:t>±</w:t>
            </w:r>
            <w:r w:rsidRPr="00F047DB">
              <w:rPr>
                <w:rFonts w:ascii="Arial" w:hAnsi="Arial" w:cs="Arial"/>
                <w:sz w:val="16"/>
                <w:szCs w:val="16"/>
              </w:rPr>
              <w:t xml:space="preserve"> 2180.6</w:t>
            </w:r>
          </w:p>
        </w:tc>
        <w:tc>
          <w:tcPr>
            <w:tcW w:w="1299" w:type="dxa"/>
            <w:vAlign w:val="center"/>
          </w:tcPr>
          <w:p w14:paraId="61A2B28C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 xml:space="preserve">5478.0 </w:t>
            </w:r>
            <w:r w:rsidRPr="00F047DB">
              <w:rPr>
                <w:rFonts w:ascii="Arial" w:hAnsi="Arial" w:cs="Arial"/>
                <w:sz w:val="16"/>
                <w:szCs w:val="16"/>
                <w:lang w:eastAsia="zh-CN"/>
              </w:rPr>
              <w:t>±</w:t>
            </w:r>
            <w:r w:rsidRPr="00F047DB">
              <w:rPr>
                <w:rFonts w:ascii="Arial" w:hAnsi="Arial" w:cs="Arial"/>
                <w:sz w:val="16"/>
                <w:szCs w:val="16"/>
              </w:rPr>
              <w:t xml:space="preserve"> 2886.6</w:t>
            </w:r>
          </w:p>
        </w:tc>
        <w:tc>
          <w:tcPr>
            <w:tcW w:w="1359" w:type="dxa"/>
            <w:vAlign w:val="center"/>
          </w:tcPr>
          <w:p w14:paraId="39A89B8C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 xml:space="preserve">0.389 </w:t>
            </w:r>
            <w:bookmarkStart w:id="4" w:name="OLE_LINK46"/>
            <w:r w:rsidRPr="00F047DB">
              <w:rPr>
                <w:rFonts w:ascii="Arial" w:hAnsi="Arial" w:cs="Arial"/>
                <w:sz w:val="16"/>
                <w:szCs w:val="16"/>
                <w:lang w:eastAsia="zh-CN"/>
              </w:rPr>
              <w:sym w:font="Wingdings" w:char="F0E0"/>
            </w:r>
            <w:bookmarkEnd w:id="4"/>
            <w:r w:rsidRPr="00F047DB">
              <w:rPr>
                <w:rFonts w:ascii="Arial" w:hAnsi="Arial" w:cs="Arial"/>
                <w:sz w:val="16"/>
                <w:szCs w:val="16"/>
              </w:rPr>
              <w:t xml:space="preserve"> 0.120 (delta -0.269)</w:t>
            </w:r>
          </w:p>
        </w:tc>
        <w:tc>
          <w:tcPr>
            <w:tcW w:w="1810" w:type="dxa"/>
            <w:vAlign w:val="center"/>
          </w:tcPr>
          <w:p w14:paraId="146418E9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beta(interaction) contrast -0.049</w:t>
            </w:r>
          </w:p>
        </w:tc>
      </w:tr>
      <w:tr w:rsidR="000B23DC" w:rsidRPr="00F047DB" w14:paraId="20712E31" w14:textId="77777777" w:rsidTr="0078697E">
        <w:tc>
          <w:tcPr>
            <w:tcW w:w="728" w:type="dxa"/>
            <w:vAlign w:val="center"/>
          </w:tcPr>
          <w:p w14:paraId="60C12B29" w14:textId="77777777" w:rsidR="000B23DC" w:rsidRPr="00F047DB" w:rsidRDefault="000B23DC" w:rsidP="00F047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GI</w:t>
            </w:r>
          </w:p>
        </w:tc>
        <w:tc>
          <w:tcPr>
            <w:tcW w:w="827" w:type="dxa"/>
            <w:vAlign w:val="center"/>
          </w:tcPr>
          <w:p w14:paraId="6DA1A8E5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974" w:type="dxa"/>
            <w:vAlign w:val="center"/>
          </w:tcPr>
          <w:p w14:paraId="6DD953B2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299" w:type="dxa"/>
            <w:vAlign w:val="center"/>
          </w:tcPr>
          <w:p w14:paraId="456CD344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 xml:space="preserve">3.5 </w:t>
            </w:r>
            <w:r w:rsidRPr="00F047DB">
              <w:rPr>
                <w:rFonts w:ascii="Arial" w:hAnsi="Arial" w:cs="Arial"/>
                <w:sz w:val="16"/>
                <w:szCs w:val="16"/>
                <w:lang w:eastAsia="zh-CN"/>
              </w:rPr>
              <w:t>±</w:t>
            </w:r>
            <w:r w:rsidRPr="00F047DB">
              <w:rPr>
                <w:rFonts w:ascii="Arial" w:hAnsi="Arial" w:cs="Arial"/>
                <w:sz w:val="16"/>
                <w:szCs w:val="16"/>
              </w:rPr>
              <w:t xml:space="preserve"> 6.6</w:t>
            </w:r>
          </w:p>
        </w:tc>
        <w:tc>
          <w:tcPr>
            <w:tcW w:w="1299" w:type="dxa"/>
            <w:vAlign w:val="center"/>
          </w:tcPr>
          <w:p w14:paraId="7AF1BE6D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 xml:space="preserve">14.3 </w:t>
            </w:r>
            <w:r w:rsidRPr="00F047DB">
              <w:rPr>
                <w:rFonts w:ascii="Arial" w:hAnsi="Arial" w:cs="Arial"/>
                <w:sz w:val="16"/>
                <w:szCs w:val="16"/>
                <w:lang w:eastAsia="zh-CN"/>
              </w:rPr>
              <w:t>±</w:t>
            </w:r>
            <w:r w:rsidRPr="00F047DB">
              <w:rPr>
                <w:rFonts w:ascii="Arial" w:hAnsi="Arial" w:cs="Arial"/>
                <w:sz w:val="16"/>
                <w:szCs w:val="16"/>
              </w:rPr>
              <w:t xml:space="preserve"> 11.0</w:t>
            </w:r>
          </w:p>
        </w:tc>
        <w:tc>
          <w:tcPr>
            <w:tcW w:w="1359" w:type="dxa"/>
            <w:vAlign w:val="center"/>
          </w:tcPr>
          <w:p w14:paraId="27235CED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 xml:space="preserve">0.041 </w:t>
            </w:r>
            <w:r w:rsidRPr="00F047DB">
              <w:rPr>
                <w:rFonts w:ascii="Arial" w:hAnsi="Arial" w:cs="Arial"/>
                <w:sz w:val="16"/>
                <w:szCs w:val="16"/>
                <w:lang w:eastAsia="zh-CN"/>
              </w:rPr>
              <w:sym w:font="Wingdings" w:char="F0E0"/>
            </w:r>
            <w:r w:rsidRPr="00F047DB">
              <w:rPr>
                <w:rFonts w:ascii="Arial" w:hAnsi="Arial" w:cs="Arial"/>
                <w:sz w:val="16"/>
                <w:szCs w:val="16"/>
              </w:rPr>
              <w:t xml:space="preserve"> 0.145 (delta +0.105)</w:t>
            </w:r>
          </w:p>
        </w:tc>
        <w:tc>
          <w:tcPr>
            <w:tcW w:w="1810" w:type="dxa"/>
            <w:vAlign w:val="center"/>
          </w:tcPr>
          <w:p w14:paraId="12B0B735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beta(interaction) contrast +0.055</w:t>
            </w:r>
          </w:p>
        </w:tc>
      </w:tr>
      <w:tr w:rsidR="000B23DC" w:rsidRPr="00F047DB" w14:paraId="414829E7" w14:textId="77777777" w:rsidTr="0078697E">
        <w:tc>
          <w:tcPr>
            <w:tcW w:w="728" w:type="dxa"/>
            <w:vAlign w:val="center"/>
          </w:tcPr>
          <w:p w14:paraId="3105E1A6" w14:textId="77777777" w:rsidR="000B23DC" w:rsidRPr="00F047DB" w:rsidRDefault="000B23DC" w:rsidP="00F047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GII</w:t>
            </w:r>
          </w:p>
        </w:tc>
        <w:tc>
          <w:tcPr>
            <w:tcW w:w="827" w:type="dxa"/>
            <w:vAlign w:val="center"/>
          </w:tcPr>
          <w:p w14:paraId="49AE5A99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974" w:type="dxa"/>
            <w:vAlign w:val="center"/>
          </w:tcPr>
          <w:p w14:paraId="40D66963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299" w:type="dxa"/>
            <w:vAlign w:val="center"/>
          </w:tcPr>
          <w:p w14:paraId="7C95D194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 xml:space="preserve">13.5 </w:t>
            </w:r>
            <w:r w:rsidRPr="00F047DB">
              <w:rPr>
                <w:rFonts w:ascii="Arial" w:hAnsi="Arial" w:cs="Arial"/>
                <w:sz w:val="16"/>
                <w:szCs w:val="16"/>
                <w:lang w:eastAsia="zh-CN"/>
              </w:rPr>
              <w:t>±</w:t>
            </w:r>
            <w:r w:rsidRPr="00F047DB">
              <w:rPr>
                <w:rFonts w:ascii="Arial" w:hAnsi="Arial" w:cs="Arial"/>
                <w:sz w:val="16"/>
                <w:szCs w:val="16"/>
              </w:rPr>
              <w:t xml:space="preserve"> 30.1</w:t>
            </w:r>
          </w:p>
        </w:tc>
        <w:tc>
          <w:tcPr>
            <w:tcW w:w="1299" w:type="dxa"/>
            <w:vAlign w:val="center"/>
          </w:tcPr>
          <w:p w14:paraId="1A961A12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 xml:space="preserve">48.0 </w:t>
            </w:r>
            <w:r w:rsidRPr="00F047DB">
              <w:rPr>
                <w:rFonts w:ascii="Arial" w:hAnsi="Arial" w:cs="Arial"/>
                <w:sz w:val="16"/>
                <w:szCs w:val="16"/>
                <w:lang w:eastAsia="zh-CN"/>
              </w:rPr>
              <w:t>±</w:t>
            </w:r>
            <w:r w:rsidRPr="00F047DB">
              <w:rPr>
                <w:rFonts w:ascii="Arial" w:hAnsi="Arial" w:cs="Arial"/>
                <w:sz w:val="16"/>
                <w:szCs w:val="16"/>
              </w:rPr>
              <w:t xml:space="preserve"> 51.5</w:t>
            </w:r>
          </w:p>
        </w:tc>
        <w:tc>
          <w:tcPr>
            <w:tcW w:w="1359" w:type="dxa"/>
            <w:vAlign w:val="center"/>
          </w:tcPr>
          <w:p w14:paraId="0B72EF65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 xml:space="preserve">0.177 </w:t>
            </w:r>
            <w:r w:rsidRPr="00F047DB">
              <w:rPr>
                <w:rFonts w:ascii="Arial" w:hAnsi="Arial" w:cs="Arial"/>
                <w:sz w:val="16"/>
                <w:szCs w:val="16"/>
                <w:lang w:eastAsia="zh-CN"/>
              </w:rPr>
              <w:sym w:font="Wingdings" w:char="F0E0"/>
            </w:r>
            <w:r w:rsidRPr="00F047DB">
              <w:rPr>
                <w:rFonts w:ascii="Arial" w:hAnsi="Arial" w:cs="Arial"/>
                <w:sz w:val="16"/>
                <w:szCs w:val="16"/>
              </w:rPr>
              <w:t xml:space="preserve"> 0.184 (delta +0.007)</w:t>
            </w:r>
          </w:p>
        </w:tc>
        <w:tc>
          <w:tcPr>
            <w:tcW w:w="1810" w:type="dxa"/>
            <w:vAlign w:val="center"/>
          </w:tcPr>
          <w:p w14:paraId="5356BAC6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beta(interaction) contrast +0.003</w:t>
            </w:r>
          </w:p>
        </w:tc>
      </w:tr>
      <w:tr w:rsidR="000B23DC" w:rsidRPr="00F047DB" w14:paraId="76BE2A64" w14:textId="77777777" w:rsidTr="0078697E">
        <w:tc>
          <w:tcPr>
            <w:tcW w:w="728" w:type="dxa"/>
            <w:vAlign w:val="center"/>
          </w:tcPr>
          <w:p w14:paraId="087C52F2" w14:textId="77777777" w:rsidR="000B23DC" w:rsidRPr="00F047DB" w:rsidRDefault="000B23DC" w:rsidP="00F047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GI+GII</w:t>
            </w:r>
          </w:p>
        </w:tc>
        <w:tc>
          <w:tcPr>
            <w:tcW w:w="827" w:type="dxa"/>
            <w:vAlign w:val="center"/>
          </w:tcPr>
          <w:p w14:paraId="2486C118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974" w:type="dxa"/>
            <w:vAlign w:val="center"/>
          </w:tcPr>
          <w:p w14:paraId="60AA6B84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299" w:type="dxa"/>
            <w:vAlign w:val="center"/>
          </w:tcPr>
          <w:p w14:paraId="04EB90D5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 xml:space="preserve">2.8 </w:t>
            </w:r>
            <w:r w:rsidRPr="00F047DB">
              <w:rPr>
                <w:rFonts w:ascii="Arial" w:hAnsi="Arial" w:cs="Arial"/>
                <w:sz w:val="16"/>
                <w:szCs w:val="16"/>
                <w:lang w:eastAsia="zh-CN"/>
              </w:rPr>
              <w:t>±</w:t>
            </w:r>
            <w:r w:rsidRPr="00F047DB">
              <w:rPr>
                <w:rFonts w:ascii="Arial" w:hAnsi="Arial" w:cs="Arial"/>
                <w:sz w:val="16"/>
                <w:szCs w:val="16"/>
              </w:rPr>
              <w:t xml:space="preserve"> 5.6</w:t>
            </w:r>
          </w:p>
        </w:tc>
        <w:tc>
          <w:tcPr>
            <w:tcW w:w="1299" w:type="dxa"/>
            <w:vAlign w:val="center"/>
          </w:tcPr>
          <w:p w14:paraId="5C1FE1BE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 xml:space="preserve">31.8 </w:t>
            </w:r>
            <w:r w:rsidRPr="00F047DB">
              <w:rPr>
                <w:rFonts w:ascii="Arial" w:hAnsi="Arial" w:cs="Arial"/>
                <w:sz w:val="16"/>
                <w:szCs w:val="16"/>
                <w:lang w:eastAsia="zh-CN"/>
              </w:rPr>
              <w:t>±</w:t>
            </w:r>
            <w:r w:rsidRPr="00F047DB">
              <w:rPr>
                <w:rFonts w:ascii="Arial" w:hAnsi="Arial" w:cs="Arial"/>
                <w:sz w:val="16"/>
                <w:szCs w:val="16"/>
              </w:rPr>
              <w:t xml:space="preserve"> 24.6</w:t>
            </w:r>
          </w:p>
        </w:tc>
        <w:tc>
          <w:tcPr>
            <w:tcW w:w="1359" w:type="dxa"/>
            <w:vAlign w:val="center"/>
          </w:tcPr>
          <w:p w14:paraId="4E240FDD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 xml:space="preserve">0.073 </w:t>
            </w:r>
            <w:r w:rsidRPr="00F047DB">
              <w:rPr>
                <w:rFonts w:ascii="Arial" w:hAnsi="Arial" w:cs="Arial"/>
                <w:sz w:val="16"/>
                <w:szCs w:val="16"/>
                <w:lang w:eastAsia="zh-CN"/>
              </w:rPr>
              <w:sym w:font="Wingdings" w:char="F0E0"/>
            </w:r>
            <w:r w:rsidRPr="00F047DB">
              <w:rPr>
                <w:rFonts w:ascii="Arial" w:hAnsi="Arial" w:cs="Arial"/>
                <w:sz w:val="16"/>
                <w:szCs w:val="16"/>
              </w:rPr>
              <w:t xml:space="preserve"> 0.088 (delta +0.015)</w:t>
            </w:r>
          </w:p>
        </w:tc>
        <w:tc>
          <w:tcPr>
            <w:tcW w:w="1810" w:type="dxa"/>
            <w:vAlign w:val="center"/>
          </w:tcPr>
          <w:p w14:paraId="588162F5" w14:textId="77777777" w:rsidR="000B23DC" w:rsidRPr="00F047DB" w:rsidRDefault="000B23DC" w:rsidP="00F047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7DB">
              <w:rPr>
                <w:rFonts w:ascii="Arial" w:hAnsi="Arial" w:cs="Arial"/>
                <w:sz w:val="16"/>
                <w:szCs w:val="16"/>
              </w:rPr>
              <w:t>beta(interaction) contrast +0.076</w:t>
            </w:r>
          </w:p>
        </w:tc>
      </w:tr>
    </w:tbl>
    <w:p w14:paraId="786D32EA" w14:textId="77777777" w:rsidR="000B23DC" w:rsidRPr="00F047DB" w:rsidRDefault="000B23DC" w:rsidP="00F047DB">
      <w:pPr>
        <w:spacing w:line="240" w:lineRule="auto"/>
        <w:rPr>
          <w:rFonts w:ascii="Arial" w:hAnsi="Arial" w:cs="Arial"/>
          <w:sz w:val="16"/>
          <w:szCs w:val="16"/>
        </w:rPr>
      </w:pPr>
      <w:r w:rsidRPr="00F047DB">
        <w:rPr>
          <w:rFonts w:ascii="Arial" w:hAnsi="Arial" w:cs="Arial"/>
          <w:i/>
          <w:sz w:val="16"/>
          <w:szCs w:val="16"/>
        </w:rPr>
        <w:t>Note. Smoothing specification from the statistical appendix: spline-based smooth terms with k=5 for temperature and humidity plus a tensor-product interaction. Because these models were fitted separately by period and diagnostics showed residual limitations, they are interpreted as exploratory response-surface comparisons rather than definitive effect-modification tests.</w:t>
      </w:r>
    </w:p>
    <w:p w14:paraId="548C6973" w14:textId="77777777" w:rsidR="00197D3C" w:rsidRDefault="00197D3C" w:rsidP="00C53CD1">
      <w:pPr>
        <w:spacing w:line="240" w:lineRule="auto"/>
        <w:rPr>
          <w:b/>
          <w:sz w:val="23"/>
          <w:lang w:eastAsia="zh-CN"/>
        </w:rPr>
      </w:pPr>
    </w:p>
    <w:p w14:paraId="159AF0AE" w14:textId="4936C0BA" w:rsidR="000B23DC" w:rsidRPr="00C53CD1" w:rsidRDefault="000B23DC" w:rsidP="00C53CD1">
      <w:pPr>
        <w:spacing w:line="240" w:lineRule="auto"/>
        <w:rPr>
          <w:rFonts w:ascii="Arial" w:hAnsi="Arial" w:cs="Arial"/>
          <w:sz w:val="16"/>
          <w:szCs w:val="16"/>
        </w:rPr>
      </w:pPr>
      <w:r w:rsidRPr="00C53CD1">
        <w:rPr>
          <w:rFonts w:ascii="Arial" w:hAnsi="Arial" w:cs="Arial"/>
          <w:b/>
          <w:sz w:val="16"/>
          <w:szCs w:val="16"/>
        </w:rPr>
        <w:t>Table S5. Supplementary model diagnostic summary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023"/>
        <w:gridCol w:w="1132"/>
        <w:gridCol w:w="2009"/>
        <w:gridCol w:w="1369"/>
        <w:gridCol w:w="2763"/>
      </w:tblGrid>
      <w:tr w:rsidR="000B23DC" w:rsidRPr="00C53CD1" w14:paraId="4AEBC5A6" w14:textId="77777777" w:rsidTr="000B23DC">
        <w:trPr>
          <w:tblHeader/>
        </w:trPr>
        <w:tc>
          <w:tcPr>
            <w:tcW w:w="1152" w:type="dxa"/>
            <w:shd w:val="clear" w:color="auto" w:fill="D9E2F3"/>
            <w:vAlign w:val="center"/>
          </w:tcPr>
          <w:p w14:paraId="741004B2" w14:textId="77777777" w:rsidR="000B23DC" w:rsidRPr="00C53CD1" w:rsidRDefault="000B23DC" w:rsidP="00C53CD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CD1">
              <w:rPr>
                <w:rFonts w:ascii="Arial" w:hAnsi="Arial" w:cs="Arial"/>
                <w:b/>
                <w:sz w:val="16"/>
                <w:szCs w:val="16"/>
              </w:rPr>
              <w:t>Model family</w:t>
            </w:r>
          </w:p>
        </w:tc>
        <w:tc>
          <w:tcPr>
            <w:tcW w:w="1296" w:type="dxa"/>
            <w:shd w:val="clear" w:color="auto" w:fill="D9E2F3"/>
            <w:vAlign w:val="center"/>
          </w:tcPr>
          <w:p w14:paraId="2591176D" w14:textId="77777777" w:rsidR="000B23DC" w:rsidRPr="00C53CD1" w:rsidRDefault="000B23DC" w:rsidP="00C53CD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CD1">
              <w:rPr>
                <w:rFonts w:ascii="Arial" w:hAnsi="Arial" w:cs="Arial"/>
                <w:b/>
                <w:sz w:val="16"/>
                <w:szCs w:val="16"/>
              </w:rPr>
              <w:t>Series</w:t>
            </w:r>
          </w:p>
        </w:tc>
        <w:tc>
          <w:tcPr>
            <w:tcW w:w="2376" w:type="dxa"/>
            <w:shd w:val="clear" w:color="auto" w:fill="D9E2F3"/>
            <w:vAlign w:val="center"/>
          </w:tcPr>
          <w:p w14:paraId="4A3C86B1" w14:textId="77777777" w:rsidR="000B23DC" w:rsidRPr="00C53CD1" w:rsidRDefault="000B23DC" w:rsidP="00C53CD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CD1">
              <w:rPr>
                <w:rFonts w:ascii="Arial" w:hAnsi="Arial" w:cs="Arial"/>
                <w:b/>
                <w:sz w:val="16"/>
                <w:szCs w:val="16"/>
              </w:rPr>
              <w:t>Diagnostic</w:t>
            </w:r>
          </w:p>
        </w:tc>
        <w:tc>
          <w:tcPr>
            <w:tcW w:w="1584" w:type="dxa"/>
            <w:shd w:val="clear" w:color="auto" w:fill="D9E2F3"/>
            <w:vAlign w:val="center"/>
          </w:tcPr>
          <w:p w14:paraId="0F0802D4" w14:textId="77777777" w:rsidR="000B23DC" w:rsidRPr="00C53CD1" w:rsidRDefault="000B23DC" w:rsidP="00C53CD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CD1">
              <w:rPr>
                <w:rFonts w:ascii="Arial" w:hAnsi="Arial" w:cs="Arial"/>
                <w:b/>
                <w:sz w:val="16"/>
                <w:szCs w:val="16"/>
              </w:rPr>
              <w:t>Result</w:t>
            </w:r>
          </w:p>
        </w:tc>
        <w:tc>
          <w:tcPr>
            <w:tcW w:w="3240" w:type="dxa"/>
            <w:shd w:val="clear" w:color="auto" w:fill="D9E2F3"/>
            <w:vAlign w:val="center"/>
          </w:tcPr>
          <w:p w14:paraId="41614047" w14:textId="77777777" w:rsidR="000B23DC" w:rsidRPr="00C53CD1" w:rsidRDefault="000B23DC" w:rsidP="00C53CD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CD1">
              <w:rPr>
                <w:rFonts w:ascii="Arial" w:hAnsi="Arial" w:cs="Arial"/>
                <w:b/>
                <w:sz w:val="16"/>
                <w:szCs w:val="16"/>
              </w:rPr>
              <w:t>Interpretation</w:t>
            </w:r>
          </w:p>
        </w:tc>
      </w:tr>
      <w:tr w:rsidR="000B23DC" w:rsidRPr="00C53CD1" w14:paraId="0408E77D" w14:textId="77777777" w:rsidTr="00E41C59">
        <w:tc>
          <w:tcPr>
            <w:tcW w:w="1152" w:type="dxa"/>
            <w:vAlign w:val="center"/>
          </w:tcPr>
          <w:p w14:paraId="520A53AF" w14:textId="77777777" w:rsidR="000B23DC" w:rsidRPr="00C53CD1" w:rsidRDefault="000B23DC" w:rsidP="00C53CD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CD1">
              <w:rPr>
                <w:rFonts w:ascii="Arial" w:hAnsi="Arial" w:cs="Arial"/>
                <w:sz w:val="16"/>
                <w:szCs w:val="16"/>
              </w:rPr>
              <w:t>ITS</w:t>
            </w:r>
          </w:p>
        </w:tc>
        <w:tc>
          <w:tcPr>
            <w:tcW w:w="1296" w:type="dxa"/>
            <w:vAlign w:val="center"/>
          </w:tcPr>
          <w:p w14:paraId="71394D5E" w14:textId="77777777" w:rsidR="000B23DC" w:rsidRPr="00C53CD1" w:rsidRDefault="000B23DC" w:rsidP="00C53CD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CD1">
              <w:rPr>
                <w:rFonts w:ascii="Arial" w:hAnsi="Arial" w:cs="Arial"/>
                <w:sz w:val="16"/>
                <w:szCs w:val="16"/>
              </w:rPr>
              <w:t>OID</w:t>
            </w:r>
          </w:p>
        </w:tc>
        <w:tc>
          <w:tcPr>
            <w:tcW w:w="2376" w:type="dxa"/>
            <w:vAlign w:val="center"/>
          </w:tcPr>
          <w:p w14:paraId="3E5A0576" w14:textId="77777777" w:rsidR="000B23DC" w:rsidRPr="00C53CD1" w:rsidRDefault="000B23DC" w:rsidP="00C53CD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CD1">
              <w:rPr>
                <w:rFonts w:ascii="Arial" w:hAnsi="Arial" w:cs="Arial"/>
                <w:sz w:val="16"/>
                <w:szCs w:val="16"/>
              </w:rPr>
              <w:t>Ljung-Box test (lag 12)</w:t>
            </w:r>
          </w:p>
        </w:tc>
        <w:tc>
          <w:tcPr>
            <w:tcW w:w="1584" w:type="dxa"/>
            <w:vAlign w:val="center"/>
          </w:tcPr>
          <w:p w14:paraId="1E905284" w14:textId="77777777" w:rsidR="000B23DC" w:rsidRPr="00C53CD1" w:rsidRDefault="000B23DC" w:rsidP="00C53CD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CD1">
              <w:rPr>
                <w:rFonts w:ascii="Arial" w:hAnsi="Arial" w:cs="Arial"/>
                <w:sz w:val="16"/>
                <w:szCs w:val="16"/>
              </w:rPr>
              <w:t>p&lt;0.001</w:t>
            </w:r>
          </w:p>
        </w:tc>
        <w:tc>
          <w:tcPr>
            <w:tcW w:w="3240" w:type="dxa"/>
            <w:vAlign w:val="center"/>
          </w:tcPr>
          <w:p w14:paraId="21BA52D8" w14:textId="77777777" w:rsidR="000B23DC" w:rsidRPr="00C53CD1" w:rsidRDefault="000B23DC" w:rsidP="00C53CD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CD1">
              <w:rPr>
                <w:rFonts w:ascii="Arial" w:hAnsi="Arial" w:cs="Arial"/>
                <w:sz w:val="16"/>
                <w:szCs w:val="16"/>
              </w:rPr>
              <w:t>Residual autocorrelation remained after seasonal adjustment</w:t>
            </w:r>
          </w:p>
        </w:tc>
      </w:tr>
      <w:tr w:rsidR="000B23DC" w:rsidRPr="00C53CD1" w14:paraId="6A9D9A88" w14:textId="77777777" w:rsidTr="00E41C59">
        <w:tc>
          <w:tcPr>
            <w:tcW w:w="1152" w:type="dxa"/>
            <w:vAlign w:val="center"/>
          </w:tcPr>
          <w:p w14:paraId="64A550AB" w14:textId="77777777" w:rsidR="000B23DC" w:rsidRPr="00C53CD1" w:rsidRDefault="000B23DC" w:rsidP="00C53CD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CD1">
              <w:rPr>
                <w:rFonts w:ascii="Arial" w:hAnsi="Arial" w:cs="Arial"/>
                <w:sz w:val="16"/>
                <w:szCs w:val="16"/>
              </w:rPr>
              <w:t>ITS</w:t>
            </w:r>
          </w:p>
        </w:tc>
        <w:tc>
          <w:tcPr>
            <w:tcW w:w="1296" w:type="dxa"/>
            <w:vAlign w:val="center"/>
          </w:tcPr>
          <w:p w14:paraId="35149B0B" w14:textId="77777777" w:rsidR="000B23DC" w:rsidRPr="00C53CD1" w:rsidRDefault="000B23DC" w:rsidP="00C53CD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CD1">
              <w:rPr>
                <w:rFonts w:ascii="Arial" w:hAnsi="Arial" w:cs="Arial"/>
                <w:sz w:val="16"/>
                <w:szCs w:val="16"/>
              </w:rPr>
              <w:t>OID</w:t>
            </w:r>
          </w:p>
        </w:tc>
        <w:tc>
          <w:tcPr>
            <w:tcW w:w="2376" w:type="dxa"/>
            <w:vAlign w:val="center"/>
          </w:tcPr>
          <w:p w14:paraId="728CD68D" w14:textId="77777777" w:rsidR="000B23DC" w:rsidRPr="00C53CD1" w:rsidRDefault="000B23DC" w:rsidP="00C53CD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CD1">
              <w:rPr>
                <w:rFonts w:ascii="Arial" w:hAnsi="Arial" w:cs="Arial"/>
                <w:sz w:val="16"/>
                <w:szCs w:val="16"/>
              </w:rPr>
              <w:t>ACF/PACF</w:t>
            </w:r>
          </w:p>
        </w:tc>
        <w:tc>
          <w:tcPr>
            <w:tcW w:w="1584" w:type="dxa"/>
            <w:vAlign w:val="center"/>
          </w:tcPr>
          <w:p w14:paraId="200FCC19" w14:textId="77777777" w:rsidR="000B23DC" w:rsidRPr="00C53CD1" w:rsidRDefault="000B23DC" w:rsidP="00C53CD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CD1">
              <w:rPr>
                <w:rFonts w:ascii="Arial" w:hAnsi="Arial" w:cs="Arial"/>
                <w:sz w:val="16"/>
                <w:szCs w:val="16"/>
              </w:rPr>
              <w:t>Early lag spikes present</w:t>
            </w:r>
          </w:p>
        </w:tc>
        <w:tc>
          <w:tcPr>
            <w:tcW w:w="3240" w:type="dxa"/>
            <w:vAlign w:val="center"/>
          </w:tcPr>
          <w:p w14:paraId="19158BB7" w14:textId="77777777" w:rsidR="000B23DC" w:rsidRPr="00C53CD1" w:rsidRDefault="000B23DC" w:rsidP="00C53CD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CD1">
              <w:rPr>
                <w:rFonts w:ascii="Arial" w:hAnsi="Arial" w:cs="Arial"/>
                <w:sz w:val="16"/>
                <w:szCs w:val="16"/>
              </w:rPr>
              <w:t>Short-lag serial dependence persisted</w:t>
            </w:r>
          </w:p>
        </w:tc>
      </w:tr>
      <w:tr w:rsidR="000B23DC" w:rsidRPr="00C53CD1" w14:paraId="19DF5510" w14:textId="77777777" w:rsidTr="00E41C59">
        <w:tc>
          <w:tcPr>
            <w:tcW w:w="1152" w:type="dxa"/>
            <w:vAlign w:val="center"/>
          </w:tcPr>
          <w:p w14:paraId="3B3E564E" w14:textId="77777777" w:rsidR="000B23DC" w:rsidRPr="00C53CD1" w:rsidRDefault="000B23DC" w:rsidP="00C53CD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CD1">
              <w:rPr>
                <w:rFonts w:ascii="Arial" w:hAnsi="Arial" w:cs="Arial"/>
                <w:sz w:val="16"/>
                <w:szCs w:val="16"/>
              </w:rPr>
              <w:t>GAM</w:t>
            </w:r>
          </w:p>
        </w:tc>
        <w:tc>
          <w:tcPr>
            <w:tcW w:w="1296" w:type="dxa"/>
            <w:vAlign w:val="center"/>
          </w:tcPr>
          <w:p w14:paraId="6181D4B0" w14:textId="77777777" w:rsidR="000B23DC" w:rsidRPr="00C53CD1" w:rsidRDefault="000B23DC" w:rsidP="00C53CD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CD1">
              <w:rPr>
                <w:rFonts w:ascii="Arial" w:hAnsi="Arial" w:cs="Arial"/>
                <w:sz w:val="16"/>
                <w:szCs w:val="16"/>
              </w:rPr>
              <w:t>OID</w:t>
            </w:r>
          </w:p>
        </w:tc>
        <w:tc>
          <w:tcPr>
            <w:tcW w:w="2376" w:type="dxa"/>
            <w:vAlign w:val="center"/>
          </w:tcPr>
          <w:p w14:paraId="4CC9426C" w14:textId="77777777" w:rsidR="000B23DC" w:rsidRPr="00C53CD1" w:rsidRDefault="000B23DC" w:rsidP="00C53CD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CD1">
              <w:rPr>
                <w:rFonts w:ascii="Arial" w:hAnsi="Arial" w:cs="Arial"/>
                <w:sz w:val="16"/>
                <w:szCs w:val="16"/>
              </w:rPr>
              <w:t>Shapiro-Wilk / Breusch-Pagan</w:t>
            </w:r>
          </w:p>
        </w:tc>
        <w:tc>
          <w:tcPr>
            <w:tcW w:w="1584" w:type="dxa"/>
            <w:vAlign w:val="center"/>
          </w:tcPr>
          <w:p w14:paraId="600604F2" w14:textId="119A8AB2" w:rsidR="000B23DC" w:rsidRPr="00C53CD1" w:rsidRDefault="000B23DC" w:rsidP="00C53CD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C53CD1">
              <w:rPr>
                <w:rFonts w:ascii="Arial" w:hAnsi="Arial" w:cs="Arial"/>
                <w:sz w:val="16"/>
                <w:szCs w:val="16"/>
              </w:rPr>
              <w:t>p&lt;0.001 / p=0.01</w:t>
            </w:r>
            <w:r w:rsidR="00E810DD">
              <w:rPr>
                <w:rFonts w:ascii="Arial" w:hAnsi="Arial" w:cs="Arial" w:hint="eastAsia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3240" w:type="dxa"/>
            <w:vAlign w:val="center"/>
          </w:tcPr>
          <w:p w14:paraId="61F89E57" w14:textId="77777777" w:rsidR="000B23DC" w:rsidRPr="00C53CD1" w:rsidRDefault="000B23DC" w:rsidP="00C53CD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CD1">
              <w:rPr>
                <w:rFonts w:ascii="Arial" w:hAnsi="Arial" w:cs="Arial"/>
                <w:sz w:val="16"/>
                <w:szCs w:val="16"/>
              </w:rPr>
              <w:t>Residual non-normality and heteroscedasticity</w:t>
            </w:r>
          </w:p>
        </w:tc>
      </w:tr>
      <w:tr w:rsidR="000B23DC" w:rsidRPr="00C53CD1" w14:paraId="24182C52" w14:textId="77777777" w:rsidTr="00E41C59">
        <w:tc>
          <w:tcPr>
            <w:tcW w:w="1152" w:type="dxa"/>
            <w:vAlign w:val="center"/>
          </w:tcPr>
          <w:p w14:paraId="27CEF80B" w14:textId="77777777" w:rsidR="000B23DC" w:rsidRPr="00C53CD1" w:rsidRDefault="000B23DC" w:rsidP="00C53CD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CD1">
              <w:rPr>
                <w:rFonts w:ascii="Arial" w:hAnsi="Arial" w:cs="Arial"/>
                <w:sz w:val="16"/>
                <w:szCs w:val="16"/>
              </w:rPr>
              <w:t>GAM</w:t>
            </w:r>
          </w:p>
        </w:tc>
        <w:tc>
          <w:tcPr>
            <w:tcW w:w="1296" w:type="dxa"/>
            <w:vAlign w:val="center"/>
          </w:tcPr>
          <w:p w14:paraId="4A0E7E6F" w14:textId="77777777" w:rsidR="000B23DC" w:rsidRPr="00C53CD1" w:rsidRDefault="000B23DC" w:rsidP="00C53CD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CD1">
              <w:rPr>
                <w:rFonts w:ascii="Arial" w:hAnsi="Arial" w:cs="Arial"/>
                <w:sz w:val="16"/>
                <w:szCs w:val="16"/>
              </w:rPr>
              <w:t>GI</w:t>
            </w:r>
          </w:p>
        </w:tc>
        <w:tc>
          <w:tcPr>
            <w:tcW w:w="2376" w:type="dxa"/>
            <w:vAlign w:val="center"/>
          </w:tcPr>
          <w:p w14:paraId="29154A42" w14:textId="77777777" w:rsidR="000B23DC" w:rsidRPr="00C53CD1" w:rsidRDefault="000B23DC" w:rsidP="00C53CD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CD1">
              <w:rPr>
                <w:rFonts w:ascii="Arial" w:hAnsi="Arial" w:cs="Arial"/>
                <w:sz w:val="16"/>
                <w:szCs w:val="16"/>
              </w:rPr>
              <w:t>Shapiro-Wilk / Breusch-Pagan</w:t>
            </w:r>
          </w:p>
        </w:tc>
        <w:tc>
          <w:tcPr>
            <w:tcW w:w="1584" w:type="dxa"/>
            <w:vAlign w:val="center"/>
          </w:tcPr>
          <w:p w14:paraId="30CE88F7" w14:textId="70C7982B" w:rsidR="000B23DC" w:rsidRPr="00C53CD1" w:rsidRDefault="000B23DC" w:rsidP="00C53CD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C53CD1">
              <w:rPr>
                <w:rFonts w:ascii="Arial" w:hAnsi="Arial" w:cs="Arial"/>
                <w:sz w:val="16"/>
                <w:szCs w:val="16"/>
              </w:rPr>
              <w:t>p&lt;0.001 / p=0.013</w:t>
            </w:r>
          </w:p>
        </w:tc>
        <w:tc>
          <w:tcPr>
            <w:tcW w:w="3240" w:type="dxa"/>
            <w:vAlign w:val="center"/>
          </w:tcPr>
          <w:p w14:paraId="7E692E0A" w14:textId="77777777" w:rsidR="000B23DC" w:rsidRPr="00C53CD1" w:rsidRDefault="000B23DC" w:rsidP="00C53CD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CD1">
              <w:rPr>
                <w:rFonts w:ascii="Arial" w:hAnsi="Arial" w:cs="Arial"/>
                <w:sz w:val="16"/>
                <w:szCs w:val="16"/>
              </w:rPr>
              <w:t>Residual non-normality and heteroscedasticity</w:t>
            </w:r>
          </w:p>
        </w:tc>
      </w:tr>
      <w:tr w:rsidR="000B23DC" w:rsidRPr="00C53CD1" w14:paraId="4ED0D687" w14:textId="77777777" w:rsidTr="00E41C59">
        <w:tc>
          <w:tcPr>
            <w:tcW w:w="1152" w:type="dxa"/>
            <w:vAlign w:val="center"/>
          </w:tcPr>
          <w:p w14:paraId="4E6914D6" w14:textId="77777777" w:rsidR="000B23DC" w:rsidRPr="00C53CD1" w:rsidRDefault="000B23DC" w:rsidP="00C53CD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CD1">
              <w:rPr>
                <w:rFonts w:ascii="Arial" w:hAnsi="Arial" w:cs="Arial"/>
                <w:sz w:val="16"/>
                <w:szCs w:val="16"/>
              </w:rPr>
              <w:t>GAM</w:t>
            </w:r>
          </w:p>
        </w:tc>
        <w:tc>
          <w:tcPr>
            <w:tcW w:w="1296" w:type="dxa"/>
            <w:vAlign w:val="center"/>
          </w:tcPr>
          <w:p w14:paraId="305147C9" w14:textId="77777777" w:rsidR="000B23DC" w:rsidRPr="00C53CD1" w:rsidRDefault="000B23DC" w:rsidP="00C53CD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CD1">
              <w:rPr>
                <w:rFonts w:ascii="Arial" w:hAnsi="Arial" w:cs="Arial"/>
                <w:sz w:val="16"/>
                <w:szCs w:val="16"/>
              </w:rPr>
              <w:t>GII</w:t>
            </w:r>
          </w:p>
        </w:tc>
        <w:tc>
          <w:tcPr>
            <w:tcW w:w="2376" w:type="dxa"/>
            <w:vAlign w:val="center"/>
          </w:tcPr>
          <w:p w14:paraId="393BAF07" w14:textId="77777777" w:rsidR="000B23DC" w:rsidRPr="00C53CD1" w:rsidRDefault="000B23DC" w:rsidP="00C53CD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CD1">
              <w:rPr>
                <w:rFonts w:ascii="Arial" w:hAnsi="Arial" w:cs="Arial"/>
                <w:sz w:val="16"/>
                <w:szCs w:val="16"/>
              </w:rPr>
              <w:t>Shapiro-Wilk / Breusch-Pagan</w:t>
            </w:r>
          </w:p>
        </w:tc>
        <w:tc>
          <w:tcPr>
            <w:tcW w:w="1584" w:type="dxa"/>
            <w:vAlign w:val="center"/>
          </w:tcPr>
          <w:p w14:paraId="41B6848C" w14:textId="34258ABB" w:rsidR="000B23DC" w:rsidRPr="00C53CD1" w:rsidRDefault="000B23DC" w:rsidP="00C53CD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C53CD1">
              <w:rPr>
                <w:rFonts w:ascii="Arial" w:hAnsi="Arial" w:cs="Arial"/>
                <w:sz w:val="16"/>
                <w:szCs w:val="16"/>
              </w:rPr>
              <w:t>p&lt;0.001 / p=0.045</w:t>
            </w:r>
          </w:p>
        </w:tc>
        <w:tc>
          <w:tcPr>
            <w:tcW w:w="3240" w:type="dxa"/>
            <w:vAlign w:val="center"/>
          </w:tcPr>
          <w:p w14:paraId="1207C302" w14:textId="77777777" w:rsidR="000B23DC" w:rsidRPr="00C53CD1" w:rsidRDefault="000B23DC" w:rsidP="00C53CD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CD1">
              <w:rPr>
                <w:rFonts w:ascii="Arial" w:hAnsi="Arial" w:cs="Arial"/>
                <w:sz w:val="16"/>
                <w:szCs w:val="16"/>
              </w:rPr>
              <w:t>Residual non-normality and heteroscedasticity</w:t>
            </w:r>
          </w:p>
        </w:tc>
      </w:tr>
      <w:tr w:rsidR="000B23DC" w:rsidRPr="00C53CD1" w14:paraId="775B8AEE" w14:textId="77777777" w:rsidTr="00E41C59">
        <w:tc>
          <w:tcPr>
            <w:tcW w:w="1152" w:type="dxa"/>
            <w:vAlign w:val="center"/>
          </w:tcPr>
          <w:p w14:paraId="3CC2D8BA" w14:textId="77777777" w:rsidR="000B23DC" w:rsidRPr="00C53CD1" w:rsidRDefault="000B23DC" w:rsidP="00C53CD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CD1">
              <w:rPr>
                <w:rFonts w:ascii="Arial" w:hAnsi="Arial" w:cs="Arial"/>
                <w:sz w:val="16"/>
                <w:szCs w:val="16"/>
              </w:rPr>
              <w:t>GAM</w:t>
            </w:r>
          </w:p>
        </w:tc>
        <w:tc>
          <w:tcPr>
            <w:tcW w:w="1296" w:type="dxa"/>
            <w:vAlign w:val="center"/>
          </w:tcPr>
          <w:p w14:paraId="1A012FB0" w14:textId="77777777" w:rsidR="000B23DC" w:rsidRPr="00C53CD1" w:rsidRDefault="000B23DC" w:rsidP="00C53CD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CD1">
              <w:rPr>
                <w:rFonts w:ascii="Arial" w:hAnsi="Arial" w:cs="Arial"/>
                <w:sz w:val="16"/>
                <w:szCs w:val="16"/>
              </w:rPr>
              <w:t>GI+GII</w:t>
            </w:r>
          </w:p>
        </w:tc>
        <w:tc>
          <w:tcPr>
            <w:tcW w:w="2376" w:type="dxa"/>
            <w:vAlign w:val="center"/>
          </w:tcPr>
          <w:p w14:paraId="3A8F3DCB" w14:textId="77777777" w:rsidR="000B23DC" w:rsidRPr="00C53CD1" w:rsidRDefault="000B23DC" w:rsidP="00C53CD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CD1">
              <w:rPr>
                <w:rFonts w:ascii="Arial" w:hAnsi="Arial" w:cs="Arial"/>
                <w:sz w:val="16"/>
                <w:szCs w:val="16"/>
              </w:rPr>
              <w:t>Shapiro-Wilk / Breusch-Pagan</w:t>
            </w:r>
          </w:p>
        </w:tc>
        <w:tc>
          <w:tcPr>
            <w:tcW w:w="1584" w:type="dxa"/>
            <w:vAlign w:val="center"/>
          </w:tcPr>
          <w:p w14:paraId="244259D5" w14:textId="4BC96093" w:rsidR="000B23DC" w:rsidRPr="00C53CD1" w:rsidRDefault="000B23DC" w:rsidP="00C53CD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C53CD1">
              <w:rPr>
                <w:rFonts w:ascii="Arial" w:hAnsi="Arial" w:cs="Arial"/>
                <w:sz w:val="16"/>
                <w:szCs w:val="16"/>
              </w:rPr>
              <w:t>p&lt;0.001 / p=0.02</w:t>
            </w:r>
            <w:r w:rsidR="00E810DD">
              <w:rPr>
                <w:rFonts w:ascii="Arial" w:hAnsi="Arial" w:cs="Arial" w:hint="eastAsia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3240" w:type="dxa"/>
            <w:vAlign w:val="center"/>
          </w:tcPr>
          <w:p w14:paraId="207D05FD" w14:textId="77777777" w:rsidR="000B23DC" w:rsidRPr="00C53CD1" w:rsidRDefault="000B23DC" w:rsidP="00C53CD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CD1">
              <w:rPr>
                <w:rFonts w:ascii="Arial" w:hAnsi="Arial" w:cs="Arial"/>
                <w:sz w:val="16"/>
                <w:szCs w:val="16"/>
              </w:rPr>
              <w:t>Residual non-normality and heteroscedasticity</w:t>
            </w:r>
          </w:p>
        </w:tc>
      </w:tr>
      <w:tr w:rsidR="000B23DC" w:rsidRPr="00C53CD1" w14:paraId="0F631222" w14:textId="77777777" w:rsidTr="00E41C59">
        <w:tc>
          <w:tcPr>
            <w:tcW w:w="1152" w:type="dxa"/>
            <w:vAlign w:val="center"/>
          </w:tcPr>
          <w:p w14:paraId="0DEDCC5E" w14:textId="77777777" w:rsidR="000B23DC" w:rsidRPr="00C53CD1" w:rsidRDefault="000B23DC" w:rsidP="00C53CD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CD1">
              <w:rPr>
                <w:rFonts w:ascii="Arial" w:hAnsi="Arial" w:cs="Arial"/>
                <w:sz w:val="16"/>
                <w:szCs w:val="16"/>
              </w:rPr>
              <w:t>GAM</w:t>
            </w:r>
          </w:p>
        </w:tc>
        <w:tc>
          <w:tcPr>
            <w:tcW w:w="1296" w:type="dxa"/>
            <w:vAlign w:val="center"/>
          </w:tcPr>
          <w:p w14:paraId="76C5E805" w14:textId="77777777" w:rsidR="000B23DC" w:rsidRPr="00C53CD1" w:rsidRDefault="000B23DC" w:rsidP="00C53CD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CD1">
              <w:rPr>
                <w:rFonts w:ascii="Arial" w:hAnsi="Arial" w:cs="Arial"/>
                <w:sz w:val="16"/>
                <w:szCs w:val="16"/>
              </w:rPr>
              <w:t>All series</w:t>
            </w:r>
          </w:p>
        </w:tc>
        <w:tc>
          <w:tcPr>
            <w:tcW w:w="2376" w:type="dxa"/>
            <w:vAlign w:val="center"/>
          </w:tcPr>
          <w:p w14:paraId="2162F8A9" w14:textId="77777777" w:rsidR="000B23DC" w:rsidRPr="00C53CD1" w:rsidRDefault="000B23DC" w:rsidP="00C53CD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CD1">
              <w:rPr>
                <w:rFonts w:ascii="Arial" w:hAnsi="Arial" w:cs="Arial"/>
                <w:sz w:val="16"/>
                <w:szCs w:val="16"/>
              </w:rPr>
              <w:t xml:space="preserve">Condition number / max </w:t>
            </w:r>
            <w:proofErr w:type="spellStart"/>
            <w:r w:rsidRPr="00C53CD1">
              <w:rPr>
                <w:rFonts w:ascii="Arial" w:hAnsi="Arial" w:cs="Arial"/>
                <w:sz w:val="16"/>
                <w:szCs w:val="16"/>
              </w:rPr>
              <w:t>concurvity</w:t>
            </w:r>
            <w:proofErr w:type="spellEnd"/>
          </w:p>
        </w:tc>
        <w:tc>
          <w:tcPr>
            <w:tcW w:w="1584" w:type="dxa"/>
            <w:vAlign w:val="center"/>
          </w:tcPr>
          <w:p w14:paraId="6CEA33FF" w14:textId="77777777" w:rsidR="000B23DC" w:rsidRPr="00C53CD1" w:rsidRDefault="000B23DC" w:rsidP="00C53CD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CD1">
              <w:rPr>
                <w:rFonts w:ascii="Arial" w:hAnsi="Arial" w:cs="Arial"/>
                <w:sz w:val="16"/>
                <w:szCs w:val="16"/>
              </w:rPr>
              <w:t>4.3 / 0.575</w:t>
            </w:r>
          </w:p>
        </w:tc>
        <w:tc>
          <w:tcPr>
            <w:tcW w:w="3240" w:type="dxa"/>
            <w:vAlign w:val="center"/>
          </w:tcPr>
          <w:p w14:paraId="6FD9BE36" w14:textId="77777777" w:rsidR="000B23DC" w:rsidRPr="00C53CD1" w:rsidRDefault="000B23DC" w:rsidP="00C53CD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CD1">
              <w:rPr>
                <w:rFonts w:ascii="Arial" w:hAnsi="Arial" w:cs="Arial"/>
                <w:sz w:val="16"/>
                <w:szCs w:val="16"/>
              </w:rPr>
              <w:t xml:space="preserve">No major condition-number instability by this metric; moderate </w:t>
            </w:r>
            <w:proofErr w:type="spellStart"/>
            <w:r w:rsidRPr="00C53CD1">
              <w:rPr>
                <w:rFonts w:ascii="Arial" w:hAnsi="Arial" w:cs="Arial"/>
                <w:sz w:val="16"/>
                <w:szCs w:val="16"/>
              </w:rPr>
              <w:t>concurvity</w:t>
            </w:r>
            <w:proofErr w:type="spellEnd"/>
            <w:r w:rsidRPr="00C53CD1">
              <w:rPr>
                <w:rFonts w:ascii="Arial" w:hAnsi="Arial" w:cs="Arial"/>
                <w:sz w:val="16"/>
                <w:szCs w:val="16"/>
              </w:rPr>
              <w:t xml:space="preserve"> suggests overlapping smooth information</w:t>
            </w:r>
          </w:p>
        </w:tc>
      </w:tr>
    </w:tbl>
    <w:p w14:paraId="66BB6735" w14:textId="77777777" w:rsidR="000B23DC" w:rsidRPr="00C53CD1" w:rsidRDefault="000B23DC" w:rsidP="00C53CD1">
      <w:pPr>
        <w:spacing w:line="240" w:lineRule="auto"/>
        <w:rPr>
          <w:rFonts w:ascii="Arial" w:hAnsi="Arial" w:cs="Arial"/>
          <w:sz w:val="16"/>
          <w:szCs w:val="16"/>
        </w:rPr>
      </w:pPr>
      <w:r w:rsidRPr="00C53CD1">
        <w:rPr>
          <w:rFonts w:ascii="Arial" w:hAnsi="Arial" w:cs="Arial"/>
          <w:i/>
          <w:sz w:val="16"/>
          <w:szCs w:val="16"/>
        </w:rPr>
        <w:t>Note. Diagnostic plots are reproduced in Figures S2-S3. These outputs support conservative interpretation of breakpoint coefficients and response-surface changes.</w:t>
      </w:r>
    </w:p>
    <w:p w14:paraId="43826A7E" w14:textId="77777777" w:rsidR="00F65E75" w:rsidRDefault="00F65E75" w:rsidP="00F65E75">
      <w:pPr>
        <w:spacing w:line="480" w:lineRule="auto"/>
        <w:rPr>
          <w:lang w:eastAsia="zh-CN"/>
        </w:rPr>
      </w:pPr>
      <w:bookmarkStart w:id="5" w:name="OLE_LINK50"/>
    </w:p>
    <w:p w14:paraId="2E3471EB" w14:textId="686C9AAB" w:rsidR="00F65E75" w:rsidRDefault="00067E8C" w:rsidP="00F65E75">
      <w:pPr>
        <w:spacing w:line="480" w:lineRule="auto"/>
        <w:rPr>
          <w:lang w:eastAsia="zh-CN"/>
        </w:rPr>
      </w:pPr>
      <w:r>
        <w:rPr>
          <w:noProof/>
          <w:lang w:eastAsia="zh-CN"/>
        </w:rPr>
        <w:lastRenderedPageBreak/>
        <w:drawing>
          <wp:inline distT="0" distB="0" distL="0" distR="0" wp14:anchorId="29767A6C" wp14:editId="1D1D55F3">
            <wp:extent cx="5282670" cy="5181600"/>
            <wp:effectExtent l="0" t="0" r="635" b="0"/>
            <wp:docPr id="9709949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994982" name="图片 970994982"/>
                    <pic:cNvPicPr/>
                  </pic:nvPicPr>
                  <pic:blipFill rotWithShape="1">
                    <a:blip r:embed="rId4"/>
                    <a:srcRect l="8517" t="8782" b="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000" cy="5193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5"/>
    <w:p w14:paraId="7DFE793E" w14:textId="77777777" w:rsidR="00197D3C" w:rsidRDefault="00197D3C" w:rsidP="00197D3C">
      <w:pPr>
        <w:rPr>
          <w:lang w:eastAsia="zh-CN"/>
        </w:rPr>
      </w:pPr>
      <w:r>
        <w:t>Figure S1. Supplementary environmental analyses for other infectious diarrhea (OID) and norovirus analytic series. In retrospective ecological time-series study of surveillance and meteorologic data from Shenzhen, left panels summarize the direction of lag-response patterns for temperature, humidity, and rainfall; middle panels show illustrative lag-response curves across 0-6 weeks under contrasting temperature conditions; and right panels compare pre-COVID and post-COVID Pearson correlations. These analyses are descriptive and are intended to support, not replace, the main breakpoint and response-surface results. GI, norovirus genogroup I; GII, norovirus genogroup II.</w:t>
      </w:r>
    </w:p>
    <w:p w14:paraId="26CF8F70" w14:textId="77777777" w:rsidR="00E63E0A" w:rsidRDefault="00E63E0A" w:rsidP="00197D3C">
      <w:pPr>
        <w:rPr>
          <w:lang w:eastAsia="zh-CN"/>
        </w:rPr>
      </w:pPr>
    </w:p>
    <w:p w14:paraId="2FEA95A0" w14:textId="31DB32F5" w:rsidR="00F83BFD" w:rsidRDefault="00F76452" w:rsidP="00F83BFD">
      <w:pPr>
        <w:spacing w:line="240" w:lineRule="auto"/>
        <w:rPr>
          <w:lang w:eastAsia="zh-CN"/>
        </w:rPr>
      </w:pPr>
      <w:r>
        <w:rPr>
          <w:noProof/>
          <w:lang w:eastAsia="zh-CN"/>
        </w:rPr>
        <w:lastRenderedPageBreak/>
        <w:drawing>
          <wp:inline distT="0" distB="0" distL="0" distR="0" wp14:anchorId="413EBAD8" wp14:editId="13BE2921">
            <wp:extent cx="5274310" cy="3745738"/>
            <wp:effectExtent l="0" t="0" r="0" b="1270"/>
            <wp:docPr id="47682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8214" name="图片 4768214"/>
                    <pic:cNvPicPr/>
                  </pic:nvPicPr>
                  <pic:blipFill rotWithShape="1">
                    <a:blip r:embed="rId5"/>
                    <a:srcRect t="9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45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7E432D" w14:textId="03780F2B" w:rsidR="00197D3C" w:rsidRDefault="00197D3C" w:rsidP="00197D3C">
      <w:pPr>
        <w:rPr>
          <w:lang w:eastAsia="zh-CN"/>
        </w:rPr>
      </w:pPr>
      <w:r>
        <w:t xml:space="preserve">Figure S2. Generalized additive model diagnostics for other infectious diarrhea (OID), GI-positive, GII-positive, and mixed GI+GII-positive series. In breakpoint-stratified generalized additive modeling of surveillance and meteorologic data from Shenzhen, quantile-quantile plots, residual-versus-fitted plots, condition-number summaries, and </w:t>
      </w:r>
      <w:proofErr w:type="spellStart"/>
      <w:r>
        <w:t>concurvity</w:t>
      </w:r>
      <w:proofErr w:type="spellEnd"/>
      <w:r>
        <w:t xml:space="preserve"> estimates are provided for transparency; because residual non-normality, heteroscedasticity, and moderate </w:t>
      </w:r>
      <w:proofErr w:type="spellStart"/>
      <w:r>
        <w:t>concurvity</w:t>
      </w:r>
      <w:proofErr w:type="spellEnd"/>
      <w:r>
        <w:t xml:space="preserve"> were present, Figure 3 is interpreted as an exploratory response-surface comparison rather than a formal causal model. GI, norovirus genogroup I; GII, norovirus genogroup II.</w:t>
      </w:r>
    </w:p>
    <w:p w14:paraId="6BF38629" w14:textId="77777777" w:rsidR="00197D3C" w:rsidRDefault="00197D3C" w:rsidP="00197D3C">
      <w:pPr>
        <w:rPr>
          <w:lang w:eastAsia="zh-CN"/>
        </w:rPr>
      </w:pPr>
    </w:p>
    <w:p w14:paraId="3BD16CB3" w14:textId="76061FC5" w:rsidR="00F83BFD" w:rsidRDefault="00F83BFD" w:rsidP="00F83BFD">
      <w:pPr>
        <w:spacing w:line="240" w:lineRule="auto"/>
        <w:rPr>
          <w:lang w:eastAsia="zh-CN"/>
        </w:rPr>
      </w:pPr>
      <w:r>
        <w:rPr>
          <w:rFonts w:hint="eastAsia"/>
          <w:noProof/>
          <w:lang w:eastAsia="zh-CN"/>
        </w:rPr>
        <w:lastRenderedPageBreak/>
        <w:drawing>
          <wp:inline distT="0" distB="0" distL="0" distR="0" wp14:anchorId="63FDC0AD" wp14:editId="4F6FA370">
            <wp:extent cx="5274310" cy="3954145"/>
            <wp:effectExtent l="0" t="0" r="0" b="0"/>
            <wp:docPr id="50381650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816501" name="图片 50381650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B7DE4" w14:textId="08DDEEE3" w:rsidR="003E0056" w:rsidRPr="00197D3C" w:rsidRDefault="00197D3C" w:rsidP="00F83BFD">
      <w:pPr>
        <w:rPr>
          <w:lang w:eastAsia="zh-CN"/>
        </w:rPr>
      </w:pPr>
      <w:r>
        <w:t>Figure S3. Interrupted time-series residual autocorrelation diagnostics for the main other infectious diarrhea (OID) segmented model. In interrupted time-series analysis of monthly surveillance data from Shenzhen, residual time-series, autocorrelation, and partial-autocorrelation plots are shown together with the Ljung-Box test to document remaining serial dependence after seasonal adjustment.</w:t>
      </w:r>
    </w:p>
    <w:sectPr w:rsidR="003E0056" w:rsidRPr="00197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KaiTi_GB2312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ZXiaoBiaoSong-B05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E5B"/>
    <w:rsid w:val="00011C92"/>
    <w:rsid w:val="00014A05"/>
    <w:rsid w:val="00014C20"/>
    <w:rsid w:val="00023A7B"/>
    <w:rsid w:val="000274E8"/>
    <w:rsid w:val="00027FF0"/>
    <w:rsid w:val="00031EAA"/>
    <w:rsid w:val="00032D20"/>
    <w:rsid w:val="000339C4"/>
    <w:rsid w:val="00042E38"/>
    <w:rsid w:val="00047B47"/>
    <w:rsid w:val="00047FE2"/>
    <w:rsid w:val="00050638"/>
    <w:rsid w:val="00057904"/>
    <w:rsid w:val="00061995"/>
    <w:rsid w:val="00061A8F"/>
    <w:rsid w:val="00062BCA"/>
    <w:rsid w:val="000663E6"/>
    <w:rsid w:val="00067E8C"/>
    <w:rsid w:val="00073465"/>
    <w:rsid w:val="000822D2"/>
    <w:rsid w:val="000847DC"/>
    <w:rsid w:val="000854EA"/>
    <w:rsid w:val="00086E36"/>
    <w:rsid w:val="0009086A"/>
    <w:rsid w:val="00093148"/>
    <w:rsid w:val="0009415F"/>
    <w:rsid w:val="0009494C"/>
    <w:rsid w:val="000A15F0"/>
    <w:rsid w:val="000B23DC"/>
    <w:rsid w:val="000C2A07"/>
    <w:rsid w:val="000D0C48"/>
    <w:rsid w:val="000D6EB4"/>
    <w:rsid w:val="000E3E1A"/>
    <w:rsid w:val="000E7579"/>
    <w:rsid w:val="000F4083"/>
    <w:rsid w:val="000F5081"/>
    <w:rsid w:val="000F70A1"/>
    <w:rsid w:val="00100787"/>
    <w:rsid w:val="0010364E"/>
    <w:rsid w:val="001133E7"/>
    <w:rsid w:val="001210DB"/>
    <w:rsid w:val="00123F1B"/>
    <w:rsid w:val="00130EA1"/>
    <w:rsid w:val="00137138"/>
    <w:rsid w:val="00140874"/>
    <w:rsid w:val="001413B5"/>
    <w:rsid w:val="00142807"/>
    <w:rsid w:val="00147CFF"/>
    <w:rsid w:val="00154BA1"/>
    <w:rsid w:val="00155F2F"/>
    <w:rsid w:val="00170C05"/>
    <w:rsid w:val="001724FD"/>
    <w:rsid w:val="00173E97"/>
    <w:rsid w:val="0017613B"/>
    <w:rsid w:val="00180C8B"/>
    <w:rsid w:val="001815E4"/>
    <w:rsid w:val="00184546"/>
    <w:rsid w:val="00186BEA"/>
    <w:rsid w:val="00190FFC"/>
    <w:rsid w:val="001914AF"/>
    <w:rsid w:val="00192A80"/>
    <w:rsid w:val="00192E80"/>
    <w:rsid w:val="001937EA"/>
    <w:rsid w:val="00195B95"/>
    <w:rsid w:val="001972E8"/>
    <w:rsid w:val="00197D3C"/>
    <w:rsid w:val="001A1A42"/>
    <w:rsid w:val="001A317A"/>
    <w:rsid w:val="001A50D1"/>
    <w:rsid w:val="001B2C9E"/>
    <w:rsid w:val="001B39DB"/>
    <w:rsid w:val="001B3BD8"/>
    <w:rsid w:val="001B6580"/>
    <w:rsid w:val="001B6FA0"/>
    <w:rsid w:val="001C193F"/>
    <w:rsid w:val="001C19B8"/>
    <w:rsid w:val="001C3F69"/>
    <w:rsid w:val="001C43FF"/>
    <w:rsid w:val="001C6B32"/>
    <w:rsid w:val="001C72E9"/>
    <w:rsid w:val="001C73CE"/>
    <w:rsid w:val="001D214C"/>
    <w:rsid w:val="001D417C"/>
    <w:rsid w:val="001E1170"/>
    <w:rsid w:val="001E58BD"/>
    <w:rsid w:val="001F1374"/>
    <w:rsid w:val="001F489A"/>
    <w:rsid w:val="001F6E8D"/>
    <w:rsid w:val="001F7F30"/>
    <w:rsid w:val="002029C5"/>
    <w:rsid w:val="0020561B"/>
    <w:rsid w:val="00210CE4"/>
    <w:rsid w:val="002211A6"/>
    <w:rsid w:val="0022494E"/>
    <w:rsid w:val="00227D71"/>
    <w:rsid w:val="002304BC"/>
    <w:rsid w:val="00235DC4"/>
    <w:rsid w:val="00243031"/>
    <w:rsid w:val="00246BCD"/>
    <w:rsid w:val="00247767"/>
    <w:rsid w:val="00251B43"/>
    <w:rsid w:val="0025677A"/>
    <w:rsid w:val="002579E2"/>
    <w:rsid w:val="00260C21"/>
    <w:rsid w:val="00266FCF"/>
    <w:rsid w:val="00270A7B"/>
    <w:rsid w:val="00271F5A"/>
    <w:rsid w:val="00273C83"/>
    <w:rsid w:val="00273EB7"/>
    <w:rsid w:val="002743EA"/>
    <w:rsid w:val="0027585D"/>
    <w:rsid w:val="00280AF0"/>
    <w:rsid w:val="002827D8"/>
    <w:rsid w:val="00285347"/>
    <w:rsid w:val="00285526"/>
    <w:rsid w:val="002B4F7F"/>
    <w:rsid w:val="002B70F6"/>
    <w:rsid w:val="002C1741"/>
    <w:rsid w:val="002C797A"/>
    <w:rsid w:val="002D063B"/>
    <w:rsid w:val="002D18D4"/>
    <w:rsid w:val="002D3B9F"/>
    <w:rsid w:val="002D4A4E"/>
    <w:rsid w:val="002D4C89"/>
    <w:rsid w:val="002D5BD9"/>
    <w:rsid w:val="002D6625"/>
    <w:rsid w:val="002D6817"/>
    <w:rsid w:val="002E088F"/>
    <w:rsid w:val="002E41E3"/>
    <w:rsid w:val="002F0FDE"/>
    <w:rsid w:val="002F45EA"/>
    <w:rsid w:val="002F4AEF"/>
    <w:rsid w:val="00302E9E"/>
    <w:rsid w:val="003058AE"/>
    <w:rsid w:val="00306946"/>
    <w:rsid w:val="003211AA"/>
    <w:rsid w:val="00330532"/>
    <w:rsid w:val="00334427"/>
    <w:rsid w:val="00336114"/>
    <w:rsid w:val="00347711"/>
    <w:rsid w:val="003537F8"/>
    <w:rsid w:val="00362662"/>
    <w:rsid w:val="00364974"/>
    <w:rsid w:val="00365114"/>
    <w:rsid w:val="00366090"/>
    <w:rsid w:val="0037161A"/>
    <w:rsid w:val="00371BED"/>
    <w:rsid w:val="00372003"/>
    <w:rsid w:val="00372A9C"/>
    <w:rsid w:val="003757C2"/>
    <w:rsid w:val="00375E93"/>
    <w:rsid w:val="003766AA"/>
    <w:rsid w:val="00380864"/>
    <w:rsid w:val="00387DE5"/>
    <w:rsid w:val="003907ED"/>
    <w:rsid w:val="003A1DB6"/>
    <w:rsid w:val="003A27F7"/>
    <w:rsid w:val="003A34BA"/>
    <w:rsid w:val="003A677C"/>
    <w:rsid w:val="003B3D9E"/>
    <w:rsid w:val="003C0148"/>
    <w:rsid w:val="003C07D3"/>
    <w:rsid w:val="003C213E"/>
    <w:rsid w:val="003C21E6"/>
    <w:rsid w:val="003C29EC"/>
    <w:rsid w:val="003C2ED5"/>
    <w:rsid w:val="003C768D"/>
    <w:rsid w:val="003D38BD"/>
    <w:rsid w:val="003D57AA"/>
    <w:rsid w:val="003D5C9F"/>
    <w:rsid w:val="003E0056"/>
    <w:rsid w:val="003E08BC"/>
    <w:rsid w:val="003E7CBF"/>
    <w:rsid w:val="003F0C3F"/>
    <w:rsid w:val="003F2802"/>
    <w:rsid w:val="003F3FF3"/>
    <w:rsid w:val="00402BF3"/>
    <w:rsid w:val="0040375A"/>
    <w:rsid w:val="004039CF"/>
    <w:rsid w:val="00404388"/>
    <w:rsid w:val="004046B5"/>
    <w:rsid w:val="00404CB8"/>
    <w:rsid w:val="004050CB"/>
    <w:rsid w:val="00406A39"/>
    <w:rsid w:val="00413D4F"/>
    <w:rsid w:val="00420FCD"/>
    <w:rsid w:val="00427D49"/>
    <w:rsid w:val="00432111"/>
    <w:rsid w:val="004345C2"/>
    <w:rsid w:val="00437495"/>
    <w:rsid w:val="00437F67"/>
    <w:rsid w:val="00443A89"/>
    <w:rsid w:val="00450DC9"/>
    <w:rsid w:val="00456F9D"/>
    <w:rsid w:val="004614C9"/>
    <w:rsid w:val="00462356"/>
    <w:rsid w:val="00464D36"/>
    <w:rsid w:val="00471AED"/>
    <w:rsid w:val="004737C0"/>
    <w:rsid w:val="0047383E"/>
    <w:rsid w:val="00481E7B"/>
    <w:rsid w:val="004963A5"/>
    <w:rsid w:val="00497A05"/>
    <w:rsid w:val="004A1971"/>
    <w:rsid w:val="004A3C9B"/>
    <w:rsid w:val="004A569F"/>
    <w:rsid w:val="004A6970"/>
    <w:rsid w:val="004B01DB"/>
    <w:rsid w:val="004B0A8F"/>
    <w:rsid w:val="004C20C6"/>
    <w:rsid w:val="004D3CB4"/>
    <w:rsid w:val="004E1765"/>
    <w:rsid w:val="004E3301"/>
    <w:rsid w:val="004F006C"/>
    <w:rsid w:val="004F094F"/>
    <w:rsid w:val="004F1773"/>
    <w:rsid w:val="004F1C7A"/>
    <w:rsid w:val="004F5EDC"/>
    <w:rsid w:val="005024F5"/>
    <w:rsid w:val="0050354A"/>
    <w:rsid w:val="00506A2E"/>
    <w:rsid w:val="00512E4D"/>
    <w:rsid w:val="005132FE"/>
    <w:rsid w:val="00515DF4"/>
    <w:rsid w:val="00531990"/>
    <w:rsid w:val="005367CA"/>
    <w:rsid w:val="00540D42"/>
    <w:rsid w:val="00544EA7"/>
    <w:rsid w:val="0055209C"/>
    <w:rsid w:val="00552BFB"/>
    <w:rsid w:val="00554812"/>
    <w:rsid w:val="00554991"/>
    <w:rsid w:val="00561F3A"/>
    <w:rsid w:val="005629FB"/>
    <w:rsid w:val="00567A47"/>
    <w:rsid w:val="005838FD"/>
    <w:rsid w:val="00586B0C"/>
    <w:rsid w:val="00587C52"/>
    <w:rsid w:val="0059066F"/>
    <w:rsid w:val="00593291"/>
    <w:rsid w:val="00595C25"/>
    <w:rsid w:val="0059693B"/>
    <w:rsid w:val="005A2497"/>
    <w:rsid w:val="005A2E27"/>
    <w:rsid w:val="005B4B3C"/>
    <w:rsid w:val="005B57E4"/>
    <w:rsid w:val="005B787A"/>
    <w:rsid w:val="005C0862"/>
    <w:rsid w:val="005C4C29"/>
    <w:rsid w:val="005D13A2"/>
    <w:rsid w:val="005D6287"/>
    <w:rsid w:val="005D7E9F"/>
    <w:rsid w:val="005E4932"/>
    <w:rsid w:val="005F3C37"/>
    <w:rsid w:val="00600445"/>
    <w:rsid w:val="00600762"/>
    <w:rsid w:val="00600850"/>
    <w:rsid w:val="00605C54"/>
    <w:rsid w:val="00624808"/>
    <w:rsid w:val="00624F5D"/>
    <w:rsid w:val="00627B58"/>
    <w:rsid w:val="006300FC"/>
    <w:rsid w:val="00634165"/>
    <w:rsid w:val="00637592"/>
    <w:rsid w:val="00645C90"/>
    <w:rsid w:val="006553AB"/>
    <w:rsid w:val="0065721A"/>
    <w:rsid w:val="0065761F"/>
    <w:rsid w:val="00661025"/>
    <w:rsid w:val="00662F45"/>
    <w:rsid w:val="00663167"/>
    <w:rsid w:val="00664E1C"/>
    <w:rsid w:val="00665F27"/>
    <w:rsid w:val="00670B0B"/>
    <w:rsid w:val="0067156D"/>
    <w:rsid w:val="0067213C"/>
    <w:rsid w:val="00674058"/>
    <w:rsid w:val="00676206"/>
    <w:rsid w:val="006807A2"/>
    <w:rsid w:val="00681DC2"/>
    <w:rsid w:val="00685DED"/>
    <w:rsid w:val="00692365"/>
    <w:rsid w:val="00692EAA"/>
    <w:rsid w:val="006937DD"/>
    <w:rsid w:val="006A0D44"/>
    <w:rsid w:val="006A5F4C"/>
    <w:rsid w:val="006A679B"/>
    <w:rsid w:val="006A7C78"/>
    <w:rsid w:val="006B1198"/>
    <w:rsid w:val="006B2595"/>
    <w:rsid w:val="006B2E64"/>
    <w:rsid w:val="006B7C39"/>
    <w:rsid w:val="006C0432"/>
    <w:rsid w:val="006C444A"/>
    <w:rsid w:val="006C7569"/>
    <w:rsid w:val="006D4256"/>
    <w:rsid w:val="006D5B0E"/>
    <w:rsid w:val="006E249B"/>
    <w:rsid w:val="006E2F0F"/>
    <w:rsid w:val="006E2F3B"/>
    <w:rsid w:val="006F5AAA"/>
    <w:rsid w:val="007127E7"/>
    <w:rsid w:val="0071416E"/>
    <w:rsid w:val="00740F7C"/>
    <w:rsid w:val="00741283"/>
    <w:rsid w:val="0074357A"/>
    <w:rsid w:val="0075613F"/>
    <w:rsid w:val="00764C41"/>
    <w:rsid w:val="00782E5B"/>
    <w:rsid w:val="00784142"/>
    <w:rsid w:val="00791B31"/>
    <w:rsid w:val="00793360"/>
    <w:rsid w:val="007938CD"/>
    <w:rsid w:val="007959B4"/>
    <w:rsid w:val="00796440"/>
    <w:rsid w:val="0079684D"/>
    <w:rsid w:val="007A17AA"/>
    <w:rsid w:val="007A7BE8"/>
    <w:rsid w:val="007B05D3"/>
    <w:rsid w:val="007B0DCF"/>
    <w:rsid w:val="007B0DD9"/>
    <w:rsid w:val="007B4E9B"/>
    <w:rsid w:val="007B6983"/>
    <w:rsid w:val="007C0FB4"/>
    <w:rsid w:val="007C4753"/>
    <w:rsid w:val="007C4918"/>
    <w:rsid w:val="007C74A6"/>
    <w:rsid w:val="007D1756"/>
    <w:rsid w:val="007D3D89"/>
    <w:rsid w:val="007D79C5"/>
    <w:rsid w:val="007E1B4D"/>
    <w:rsid w:val="007E5B12"/>
    <w:rsid w:val="007E7BCB"/>
    <w:rsid w:val="007F1120"/>
    <w:rsid w:val="007F1254"/>
    <w:rsid w:val="007F2077"/>
    <w:rsid w:val="007F6D1F"/>
    <w:rsid w:val="008041AC"/>
    <w:rsid w:val="008075E1"/>
    <w:rsid w:val="008144D5"/>
    <w:rsid w:val="00815DC3"/>
    <w:rsid w:val="00831444"/>
    <w:rsid w:val="00835F2F"/>
    <w:rsid w:val="0083623D"/>
    <w:rsid w:val="00843DC8"/>
    <w:rsid w:val="00844248"/>
    <w:rsid w:val="008458A4"/>
    <w:rsid w:val="00845DF3"/>
    <w:rsid w:val="0085479A"/>
    <w:rsid w:val="00861C00"/>
    <w:rsid w:val="00862C8C"/>
    <w:rsid w:val="00863714"/>
    <w:rsid w:val="00870FCF"/>
    <w:rsid w:val="00883CED"/>
    <w:rsid w:val="00883E56"/>
    <w:rsid w:val="00883F52"/>
    <w:rsid w:val="00884C67"/>
    <w:rsid w:val="008866E7"/>
    <w:rsid w:val="008919D6"/>
    <w:rsid w:val="00892DD2"/>
    <w:rsid w:val="008931F8"/>
    <w:rsid w:val="008955BB"/>
    <w:rsid w:val="00895D56"/>
    <w:rsid w:val="00897B88"/>
    <w:rsid w:val="008A7BAB"/>
    <w:rsid w:val="008B0FEC"/>
    <w:rsid w:val="008C60DE"/>
    <w:rsid w:val="008E0AAC"/>
    <w:rsid w:val="008E77CC"/>
    <w:rsid w:val="008E7FA5"/>
    <w:rsid w:val="008F3DBA"/>
    <w:rsid w:val="0090016E"/>
    <w:rsid w:val="0090347A"/>
    <w:rsid w:val="00905FF7"/>
    <w:rsid w:val="00907677"/>
    <w:rsid w:val="00910E77"/>
    <w:rsid w:val="00913603"/>
    <w:rsid w:val="009161BA"/>
    <w:rsid w:val="00921570"/>
    <w:rsid w:val="00921F0A"/>
    <w:rsid w:val="00927FF2"/>
    <w:rsid w:val="00934CF8"/>
    <w:rsid w:val="009408B7"/>
    <w:rsid w:val="00941FCA"/>
    <w:rsid w:val="00942623"/>
    <w:rsid w:val="00942763"/>
    <w:rsid w:val="00942D4B"/>
    <w:rsid w:val="00954A4D"/>
    <w:rsid w:val="009621C6"/>
    <w:rsid w:val="00964C57"/>
    <w:rsid w:val="009654C3"/>
    <w:rsid w:val="00965A86"/>
    <w:rsid w:val="00967966"/>
    <w:rsid w:val="0097370C"/>
    <w:rsid w:val="00977578"/>
    <w:rsid w:val="00993683"/>
    <w:rsid w:val="00993F03"/>
    <w:rsid w:val="009965A5"/>
    <w:rsid w:val="009A0A90"/>
    <w:rsid w:val="009A321E"/>
    <w:rsid w:val="009A333B"/>
    <w:rsid w:val="009A6B92"/>
    <w:rsid w:val="009B0265"/>
    <w:rsid w:val="009B02BB"/>
    <w:rsid w:val="009B1745"/>
    <w:rsid w:val="009C2AB5"/>
    <w:rsid w:val="009C7884"/>
    <w:rsid w:val="009D0D63"/>
    <w:rsid w:val="009D3E74"/>
    <w:rsid w:val="009D5BC9"/>
    <w:rsid w:val="009D5CF0"/>
    <w:rsid w:val="009E018A"/>
    <w:rsid w:val="009E1131"/>
    <w:rsid w:val="009E31B4"/>
    <w:rsid w:val="009E35DB"/>
    <w:rsid w:val="009E4303"/>
    <w:rsid w:val="00A00F3B"/>
    <w:rsid w:val="00A01075"/>
    <w:rsid w:val="00A0367E"/>
    <w:rsid w:val="00A0639C"/>
    <w:rsid w:val="00A077C1"/>
    <w:rsid w:val="00A07B56"/>
    <w:rsid w:val="00A155D9"/>
    <w:rsid w:val="00A207DA"/>
    <w:rsid w:val="00A21A59"/>
    <w:rsid w:val="00A262C7"/>
    <w:rsid w:val="00A266C5"/>
    <w:rsid w:val="00A35609"/>
    <w:rsid w:val="00A40777"/>
    <w:rsid w:val="00A43F0D"/>
    <w:rsid w:val="00A4702A"/>
    <w:rsid w:val="00A51B4E"/>
    <w:rsid w:val="00A52D01"/>
    <w:rsid w:val="00A54AA9"/>
    <w:rsid w:val="00A62B25"/>
    <w:rsid w:val="00A6525C"/>
    <w:rsid w:val="00A70EEE"/>
    <w:rsid w:val="00A734D0"/>
    <w:rsid w:val="00A82286"/>
    <w:rsid w:val="00A935E3"/>
    <w:rsid w:val="00AA49F4"/>
    <w:rsid w:val="00AA5557"/>
    <w:rsid w:val="00AA693D"/>
    <w:rsid w:val="00AA6DB5"/>
    <w:rsid w:val="00AB1716"/>
    <w:rsid w:val="00AB1C86"/>
    <w:rsid w:val="00AB2B7B"/>
    <w:rsid w:val="00AC165C"/>
    <w:rsid w:val="00AC1F75"/>
    <w:rsid w:val="00AD65A7"/>
    <w:rsid w:val="00AE0B5F"/>
    <w:rsid w:val="00AE1119"/>
    <w:rsid w:val="00AE4516"/>
    <w:rsid w:val="00AF1325"/>
    <w:rsid w:val="00AF2B4C"/>
    <w:rsid w:val="00B019F7"/>
    <w:rsid w:val="00B03D7D"/>
    <w:rsid w:val="00B116F5"/>
    <w:rsid w:val="00B14F0C"/>
    <w:rsid w:val="00B15918"/>
    <w:rsid w:val="00B215EC"/>
    <w:rsid w:val="00B23A3F"/>
    <w:rsid w:val="00B23B34"/>
    <w:rsid w:val="00B24E75"/>
    <w:rsid w:val="00B31127"/>
    <w:rsid w:val="00B32BC3"/>
    <w:rsid w:val="00B33428"/>
    <w:rsid w:val="00B43FED"/>
    <w:rsid w:val="00B445CA"/>
    <w:rsid w:val="00B462A8"/>
    <w:rsid w:val="00B513C8"/>
    <w:rsid w:val="00B5361B"/>
    <w:rsid w:val="00B62643"/>
    <w:rsid w:val="00B64872"/>
    <w:rsid w:val="00B65E81"/>
    <w:rsid w:val="00B70DBF"/>
    <w:rsid w:val="00B765E2"/>
    <w:rsid w:val="00B77923"/>
    <w:rsid w:val="00B84E01"/>
    <w:rsid w:val="00B87ACA"/>
    <w:rsid w:val="00B90C06"/>
    <w:rsid w:val="00B924A5"/>
    <w:rsid w:val="00B976D8"/>
    <w:rsid w:val="00BA47B6"/>
    <w:rsid w:val="00BA7AA0"/>
    <w:rsid w:val="00BB4213"/>
    <w:rsid w:val="00BB4B71"/>
    <w:rsid w:val="00BC196E"/>
    <w:rsid w:val="00BC2238"/>
    <w:rsid w:val="00BD40A2"/>
    <w:rsid w:val="00BD47C2"/>
    <w:rsid w:val="00BD6734"/>
    <w:rsid w:val="00BD777F"/>
    <w:rsid w:val="00BE15E9"/>
    <w:rsid w:val="00BE23C4"/>
    <w:rsid w:val="00BE3E62"/>
    <w:rsid w:val="00BE688F"/>
    <w:rsid w:val="00BE7F55"/>
    <w:rsid w:val="00BF4F18"/>
    <w:rsid w:val="00C0255B"/>
    <w:rsid w:val="00C14696"/>
    <w:rsid w:val="00C179DD"/>
    <w:rsid w:val="00C2131D"/>
    <w:rsid w:val="00C313F7"/>
    <w:rsid w:val="00C36602"/>
    <w:rsid w:val="00C46F94"/>
    <w:rsid w:val="00C47D6F"/>
    <w:rsid w:val="00C52A0B"/>
    <w:rsid w:val="00C53CD1"/>
    <w:rsid w:val="00C6564F"/>
    <w:rsid w:val="00C73401"/>
    <w:rsid w:val="00C752C4"/>
    <w:rsid w:val="00C81F81"/>
    <w:rsid w:val="00C82FBB"/>
    <w:rsid w:val="00C84427"/>
    <w:rsid w:val="00C90701"/>
    <w:rsid w:val="00C92505"/>
    <w:rsid w:val="00C958F6"/>
    <w:rsid w:val="00CA1D7A"/>
    <w:rsid w:val="00CA343F"/>
    <w:rsid w:val="00CA682B"/>
    <w:rsid w:val="00CB1EFB"/>
    <w:rsid w:val="00CB2B49"/>
    <w:rsid w:val="00CB398A"/>
    <w:rsid w:val="00CB521D"/>
    <w:rsid w:val="00CB6EE3"/>
    <w:rsid w:val="00CB77AC"/>
    <w:rsid w:val="00CC5708"/>
    <w:rsid w:val="00CC59F4"/>
    <w:rsid w:val="00CD1CB5"/>
    <w:rsid w:val="00CE167C"/>
    <w:rsid w:val="00CE542E"/>
    <w:rsid w:val="00CF1400"/>
    <w:rsid w:val="00CF2C1D"/>
    <w:rsid w:val="00CF6C3B"/>
    <w:rsid w:val="00D049B4"/>
    <w:rsid w:val="00D13FB9"/>
    <w:rsid w:val="00D14C0F"/>
    <w:rsid w:val="00D15AF3"/>
    <w:rsid w:val="00D21527"/>
    <w:rsid w:val="00D23CE2"/>
    <w:rsid w:val="00D24718"/>
    <w:rsid w:val="00D24C71"/>
    <w:rsid w:val="00D26C41"/>
    <w:rsid w:val="00D323C6"/>
    <w:rsid w:val="00D32F15"/>
    <w:rsid w:val="00D35157"/>
    <w:rsid w:val="00D40326"/>
    <w:rsid w:val="00D42C81"/>
    <w:rsid w:val="00D50BF9"/>
    <w:rsid w:val="00D51746"/>
    <w:rsid w:val="00D518D0"/>
    <w:rsid w:val="00D64C4B"/>
    <w:rsid w:val="00D661F3"/>
    <w:rsid w:val="00D765A3"/>
    <w:rsid w:val="00D77DED"/>
    <w:rsid w:val="00D90AFD"/>
    <w:rsid w:val="00D94F07"/>
    <w:rsid w:val="00D95898"/>
    <w:rsid w:val="00DA0D36"/>
    <w:rsid w:val="00DA1236"/>
    <w:rsid w:val="00DA6802"/>
    <w:rsid w:val="00DB1284"/>
    <w:rsid w:val="00DC0E0C"/>
    <w:rsid w:val="00DC4DB4"/>
    <w:rsid w:val="00DC5DAD"/>
    <w:rsid w:val="00DC6D15"/>
    <w:rsid w:val="00DC77D6"/>
    <w:rsid w:val="00DD0675"/>
    <w:rsid w:val="00DD23E3"/>
    <w:rsid w:val="00DD30ED"/>
    <w:rsid w:val="00DD4288"/>
    <w:rsid w:val="00DD56C1"/>
    <w:rsid w:val="00DD7346"/>
    <w:rsid w:val="00DE5EFF"/>
    <w:rsid w:val="00DF581C"/>
    <w:rsid w:val="00DF59CF"/>
    <w:rsid w:val="00E05A5C"/>
    <w:rsid w:val="00E066B1"/>
    <w:rsid w:val="00E070D2"/>
    <w:rsid w:val="00E15E2B"/>
    <w:rsid w:val="00E163B8"/>
    <w:rsid w:val="00E242CC"/>
    <w:rsid w:val="00E25EA0"/>
    <w:rsid w:val="00E31EE3"/>
    <w:rsid w:val="00E33CB5"/>
    <w:rsid w:val="00E35E1D"/>
    <w:rsid w:val="00E41412"/>
    <w:rsid w:val="00E41C59"/>
    <w:rsid w:val="00E6025E"/>
    <w:rsid w:val="00E63E0A"/>
    <w:rsid w:val="00E775E6"/>
    <w:rsid w:val="00E810DD"/>
    <w:rsid w:val="00E821F3"/>
    <w:rsid w:val="00E85EEB"/>
    <w:rsid w:val="00E92C09"/>
    <w:rsid w:val="00E95C13"/>
    <w:rsid w:val="00EA2EB9"/>
    <w:rsid w:val="00EA7A69"/>
    <w:rsid w:val="00EB5626"/>
    <w:rsid w:val="00EC0313"/>
    <w:rsid w:val="00EC629D"/>
    <w:rsid w:val="00EC6DDB"/>
    <w:rsid w:val="00ED15C7"/>
    <w:rsid w:val="00ED24D8"/>
    <w:rsid w:val="00EE218A"/>
    <w:rsid w:val="00EE7E3C"/>
    <w:rsid w:val="00EF2432"/>
    <w:rsid w:val="00EF2F03"/>
    <w:rsid w:val="00EF59D0"/>
    <w:rsid w:val="00EF72D2"/>
    <w:rsid w:val="00EF7F0B"/>
    <w:rsid w:val="00F0062D"/>
    <w:rsid w:val="00F047DB"/>
    <w:rsid w:val="00F115BE"/>
    <w:rsid w:val="00F16DB8"/>
    <w:rsid w:val="00F200CC"/>
    <w:rsid w:val="00F22C17"/>
    <w:rsid w:val="00F24CFB"/>
    <w:rsid w:val="00F32343"/>
    <w:rsid w:val="00F332DF"/>
    <w:rsid w:val="00F33C4B"/>
    <w:rsid w:val="00F34144"/>
    <w:rsid w:val="00F43410"/>
    <w:rsid w:val="00F448B3"/>
    <w:rsid w:val="00F461B9"/>
    <w:rsid w:val="00F51248"/>
    <w:rsid w:val="00F529CA"/>
    <w:rsid w:val="00F6342A"/>
    <w:rsid w:val="00F6396B"/>
    <w:rsid w:val="00F64237"/>
    <w:rsid w:val="00F64706"/>
    <w:rsid w:val="00F65E75"/>
    <w:rsid w:val="00F734AA"/>
    <w:rsid w:val="00F76452"/>
    <w:rsid w:val="00F765B1"/>
    <w:rsid w:val="00F8073F"/>
    <w:rsid w:val="00F83BFD"/>
    <w:rsid w:val="00F90427"/>
    <w:rsid w:val="00F917F4"/>
    <w:rsid w:val="00F92412"/>
    <w:rsid w:val="00F936D4"/>
    <w:rsid w:val="00F966A0"/>
    <w:rsid w:val="00F96AA7"/>
    <w:rsid w:val="00F97851"/>
    <w:rsid w:val="00FA0CB3"/>
    <w:rsid w:val="00FA4D61"/>
    <w:rsid w:val="00FA50E6"/>
    <w:rsid w:val="00FC2FFB"/>
    <w:rsid w:val="00FC58C4"/>
    <w:rsid w:val="00FC6DC1"/>
    <w:rsid w:val="00FD1F59"/>
    <w:rsid w:val="00FD2598"/>
    <w:rsid w:val="00FD2D89"/>
    <w:rsid w:val="00FD3FCE"/>
    <w:rsid w:val="00FD4A9D"/>
    <w:rsid w:val="00FE74F9"/>
    <w:rsid w:val="00FF28A1"/>
    <w:rsid w:val="00FF3DF4"/>
    <w:rsid w:val="00FF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141953"/>
  <w14:defaultImageDpi w14:val="32767"/>
  <w15:chartTrackingRefBased/>
  <w15:docId w15:val="{C24CB5E4-CE50-FA4D-924D-E4FC7A89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E75"/>
    <w:pPr>
      <w:spacing w:line="480" w:lineRule="exact"/>
    </w:pPr>
    <w:rPr>
      <w:rFonts w:ascii="Times New Roman" w:eastAsia="Times New Roman" w:hAnsi="Times New Roman" w:cs="Times New Roman"/>
      <w:kern w:val="0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435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57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E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E5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E5B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E5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E5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E5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E5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2">
    <w:name w:val="公文-标题2"/>
    <w:basedOn w:val="1"/>
    <w:link w:val="-20"/>
    <w:qFormat/>
    <w:rsid w:val="00BA47B6"/>
    <w:pPr>
      <w:spacing w:before="0" w:after="0" w:line="560" w:lineRule="exact"/>
      <w:ind w:firstLineChars="200" w:firstLine="200"/>
    </w:pPr>
    <w:rPr>
      <w:rFonts w:ascii="仿宋_GB2312" w:eastAsia="黑体" w:hAnsi="仿宋_GB2312"/>
      <w:b w:val="0"/>
      <w:sz w:val="32"/>
      <w:szCs w:val="32"/>
    </w:rPr>
  </w:style>
  <w:style w:type="character" w:customStyle="1" w:styleId="-20">
    <w:name w:val="公文-标题2 字符"/>
    <w:basedOn w:val="a0"/>
    <w:link w:val="-2"/>
    <w:qFormat/>
    <w:rsid w:val="00BA47B6"/>
    <w:rPr>
      <w:rFonts w:ascii="仿宋_GB2312" w:eastAsia="黑体" w:hAnsi="仿宋_GB2312"/>
      <w:bCs/>
      <w:color w:val="000000" w:themeColor="text1"/>
      <w:kern w:val="44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74357A"/>
    <w:rPr>
      <w:b/>
      <w:bCs/>
      <w:kern w:val="44"/>
      <w:sz w:val="44"/>
      <w:szCs w:val="44"/>
    </w:rPr>
  </w:style>
  <w:style w:type="paragraph" w:customStyle="1" w:styleId="-3">
    <w:name w:val="公文-标题3"/>
    <w:basedOn w:val="2"/>
    <w:next w:val="2"/>
    <w:link w:val="-30"/>
    <w:qFormat/>
    <w:rsid w:val="00BA47B6"/>
    <w:pPr>
      <w:spacing w:before="0" w:after="0" w:line="560" w:lineRule="exact"/>
      <w:ind w:firstLineChars="200" w:firstLine="640"/>
    </w:pPr>
    <w:rPr>
      <w:rFonts w:ascii="仿宋_GB2312" w:eastAsia="楷体_GB2312" w:hAnsi="Arial"/>
      <w:b w:val="0"/>
      <w:bCs w:val="0"/>
    </w:rPr>
  </w:style>
  <w:style w:type="character" w:customStyle="1" w:styleId="-30">
    <w:name w:val="公文-标题3 字符"/>
    <w:basedOn w:val="20"/>
    <w:link w:val="-3"/>
    <w:qFormat/>
    <w:rsid w:val="00BA47B6"/>
    <w:rPr>
      <w:rFonts w:ascii="仿宋_GB2312" w:eastAsia="楷体_GB2312" w:hAnsi="Arial" w:cstheme="majorBidi"/>
      <w:b w:val="0"/>
      <w:bCs w:val="0"/>
      <w:color w:val="000000" w:themeColor="text1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74357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Body Text"/>
    <w:aliases w:val="公文-正文"/>
    <w:basedOn w:val="a"/>
    <w:link w:val="a4"/>
    <w:unhideWhenUsed/>
    <w:qFormat/>
    <w:rsid w:val="00BA47B6"/>
    <w:pPr>
      <w:snapToGrid w:val="0"/>
      <w:spacing w:line="560" w:lineRule="exact"/>
      <w:ind w:firstLineChars="200" w:firstLine="200"/>
    </w:pPr>
    <w:rPr>
      <w:rFonts w:eastAsia="仿宋_GB2312"/>
      <w:sz w:val="32"/>
    </w:rPr>
  </w:style>
  <w:style w:type="character" w:customStyle="1" w:styleId="a4">
    <w:name w:val="正文文本 字符"/>
    <w:aliases w:val="公文-正文 字符"/>
    <w:basedOn w:val="a0"/>
    <w:link w:val="a3"/>
    <w:qFormat/>
    <w:rsid w:val="00BA47B6"/>
    <w:rPr>
      <w:rFonts w:ascii="Times New Roman" w:eastAsia="仿宋_GB2312" w:hAnsi="Times New Roman"/>
      <w:color w:val="000000" w:themeColor="text1"/>
      <w:sz w:val="32"/>
      <w:szCs w:val="22"/>
    </w:rPr>
  </w:style>
  <w:style w:type="paragraph" w:styleId="a5">
    <w:name w:val="Title"/>
    <w:basedOn w:val="a"/>
    <w:next w:val="a"/>
    <w:link w:val="a6"/>
    <w:uiPriority w:val="10"/>
    <w:qFormat/>
    <w:rsid w:val="0074357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标题 字符"/>
    <w:basedOn w:val="a0"/>
    <w:link w:val="a5"/>
    <w:uiPriority w:val="10"/>
    <w:rsid w:val="0074357A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-1">
    <w:name w:val="公文-标题1"/>
    <w:basedOn w:val="a"/>
    <w:link w:val="-10"/>
    <w:qFormat/>
    <w:rsid w:val="00D323C6"/>
    <w:pPr>
      <w:spacing w:line="560" w:lineRule="exact"/>
      <w:jc w:val="center"/>
    </w:pPr>
    <w:rPr>
      <w:rFonts w:ascii="楷体_GB2312" w:eastAsia="FZXiaoBiaoSong-B05"/>
      <w:sz w:val="44"/>
      <w:szCs w:val="21"/>
    </w:rPr>
  </w:style>
  <w:style w:type="character" w:customStyle="1" w:styleId="-10">
    <w:name w:val="公文-标题1 字符"/>
    <w:basedOn w:val="a0"/>
    <w:link w:val="-1"/>
    <w:qFormat/>
    <w:rsid w:val="00D323C6"/>
    <w:rPr>
      <w:rFonts w:ascii="楷体_GB2312" w:eastAsia="FZXiaoBiaoSong-B05"/>
      <w:color w:val="000000" w:themeColor="text1"/>
      <w:sz w:val="44"/>
      <w:szCs w:val="21"/>
    </w:rPr>
  </w:style>
  <w:style w:type="paragraph" w:customStyle="1" w:styleId="21">
    <w:name w:val="课题 2级标题"/>
    <w:basedOn w:val="a"/>
    <w:qFormat/>
    <w:rsid w:val="00A51B4E"/>
    <w:pPr>
      <w:spacing w:beforeLines="50" w:before="50" w:afterLines="50" w:after="50" w:line="360" w:lineRule="auto"/>
    </w:pPr>
    <w:rPr>
      <w:rFonts w:eastAsia="宋体"/>
      <w:b/>
      <w:bCs/>
    </w:rPr>
  </w:style>
  <w:style w:type="character" w:customStyle="1" w:styleId="30">
    <w:name w:val="标题 3 字符"/>
    <w:basedOn w:val="a0"/>
    <w:link w:val="3"/>
    <w:uiPriority w:val="9"/>
    <w:semiHidden/>
    <w:rsid w:val="00782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E5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E5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E5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E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E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E5B"/>
    <w:rPr>
      <w:rFonts w:eastAsiaTheme="majorEastAsia" w:cstheme="majorBidi"/>
      <w:color w:val="595959" w:themeColor="text1" w:themeTint="A6"/>
    </w:rPr>
  </w:style>
  <w:style w:type="paragraph" w:styleId="a7">
    <w:name w:val="Subtitle"/>
    <w:basedOn w:val="a"/>
    <w:next w:val="a"/>
    <w:link w:val="a8"/>
    <w:uiPriority w:val="11"/>
    <w:qFormat/>
    <w:rsid w:val="00782E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标题 字符"/>
    <w:basedOn w:val="a0"/>
    <w:link w:val="a7"/>
    <w:uiPriority w:val="11"/>
    <w:rsid w:val="00782E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782E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rsid w:val="00782E5B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782E5B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782E5B"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782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明显引用 字符"/>
    <w:basedOn w:val="a0"/>
    <w:link w:val="ad"/>
    <w:uiPriority w:val="30"/>
    <w:rsid w:val="00782E5B"/>
    <w:rPr>
      <w:i/>
      <w:iCs/>
      <w:color w:val="0F4761" w:themeColor="accent1" w:themeShade="BF"/>
    </w:rPr>
  </w:style>
  <w:style w:type="character" w:styleId="af">
    <w:name w:val="Intense Reference"/>
    <w:basedOn w:val="a0"/>
    <w:uiPriority w:val="32"/>
    <w:qFormat/>
    <w:rsid w:val="00782E5B"/>
    <w:rPr>
      <w:b/>
      <w:bCs/>
      <w:smallCaps/>
      <w:color w:val="0F4761" w:themeColor="accent1" w:themeShade="BF"/>
      <w:spacing w:val="5"/>
    </w:rPr>
  </w:style>
  <w:style w:type="paragraph" w:customStyle="1" w:styleId="ManuscriptTitle">
    <w:name w:val="Manuscript Title"/>
    <w:rsid w:val="000B23DC"/>
    <w:pPr>
      <w:spacing w:line="480" w:lineRule="exact"/>
      <w:jc w:val="center"/>
    </w:pPr>
    <w:rPr>
      <w:rFonts w:ascii="Times New Roman" w:eastAsia="Times New Roman" w:hAnsi="Times New Roman" w:cs="Times New Roman"/>
      <w:b/>
      <w:color w:val="182A50"/>
      <w:kern w:val="0"/>
      <w:sz w:val="28"/>
      <w:szCs w:val="22"/>
      <w:lang w:eastAsia="en-US"/>
    </w:rPr>
  </w:style>
  <w:style w:type="table" w:styleId="af0">
    <w:name w:val="Table Grid"/>
    <w:basedOn w:val="a1"/>
    <w:uiPriority w:val="59"/>
    <w:rsid w:val="000B23DC"/>
    <w:rPr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HeadingManuscript">
    <w:name w:val="Section Heading Manuscript"/>
    <w:rsid w:val="00E63E0A"/>
    <w:pPr>
      <w:spacing w:line="480" w:lineRule="exact"/>
    </w:pPr>
    <w:rPr>
      <w:rFonts w:ascii="Times New Roman" w:eastAsia="Times New Roman" w:hAnsi="Times New Roman" w:cs="Times New Roman"/>
      <w:b/>
      <w:color w:val="182A50"/>
      <w:kern w:val="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1003</Words>
  <Characters>6485</Characters>
  <Application>Microsoft Office Word</Application>
  <DocSecurity>0</DocSecurity>
  <Lines>99</Lines>
  <Paragraphs>38</Paragraphs>
  <ScaleCrop>false</ScaleCrop>
  <Company>UCLA</Company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Yanpeng</dc:creator>
  <cp:keywords/>
  <dc:description/>
  <cp:lastModifiedBy>Yanpeng</cp:lastModifiedBy>
  <cp:revision>39</cp:revision>
  <dcterms:created xsi:type="dcterms:W3CDTF">2026-03-08T13:09:00Z</dcterms:created>
  <dcterms:modified xsi:type="dcterms:W3CDTF">2026-03-25T08:10:00Z</dcterms:modified>
</cp:coreProperties>
</file>