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contextualSpacing/>
        <w:jc w:val="left"/>
        <w:rPr>
          <w:rFonts w:ascii="Times New Roman" w:hAnsi="Times New Roman" w:eastAsia="Arial Unicode MS" w:cs="Times New Roman"/>
          <w:b/>
          <w:bCs/>
          <w:sz w:val="24"/>
          <w:szCs w:val="24"/>
        </w:rPr>
      </w:pPr>
      <w:r>
        <w:rPr>
          <w:rFonts w:ascii="Times New Roman" w:hAnsi="Times New Roman" w:eastAsia="Arial Unicode MS" w:cs="Times New Roman"/>
          <w:b/>
          <w:bCs/>
          <w:sz w:val="24"/>
          <w:szCs w:val="24"/>
        </w:rPr>
        <w:t xml:space="preserve">RAB20 promotes proliferation via G2/M phase through the </w:t>
      </w:r>
      <w:r>
        <w:rPr>
          <w:rFonts w:ascii="Times New Roman" w:hAnsi="Times New Roman" w:eastAsia="Arial Unicode MS" w:cs="Times New Roman"/>
          <w:b/>
          <w:kern w:val="0"/>
          <w:sz w:val="24"/>
          <w:szCs w:val="24"/>
          <w:lang w:bidi="ar"/>
        </w:rPr>
        <w:t>Chk1/cdc25c/cdc2-cyclinB1</w:t>
      </w:r>
      <w:r>
        <w:rPr>
          <w:rFonts w:ascii="Times New Roman" w:hAnsi="Times New Roman" w:eastAsia="Arial Unicode MS" w:cs="Times New Roman"/>
          <w:b/>
          <w:bCs/>
          <w:sz w:val="24"/>
          <w:szCs w:val="24"/>
        </w:rPr>
        <w:t xml:space="preserve"> pathway in penile squamous cell carcinoma</w:t>
      </w:r>
    </w:p>
    <w:p>
      <w:pPr>
        <w:spacing w:line="480" w:lineRule="auto"/>
        <w:contextualSpacing/>
        <w:jc w:val="left"/>
        <w:rPr>
          <w:rFonts w:ascii="Times New Roman" w:hAnsi="Times New Roman" w:eastAsia="Arial Unicode MS" w:cs="Times New Roman"/>
          <w:b/>
          <w:bCs/>
          <w:sz w:val="24"/>
          <w:szCs w:val="24"/>
        </w:rPr>
      </w:pPr>
    </w:p>
    <w:p>
      <w:pPr>
        <w:spacing w:line="480" w:lineRule="auto"/>
        <w:contextualSpacing/>
        <w:jc w:val="left"/>
        <w:rPr>
          <w:rFonts w:ascii="Times New Roman" w:hAnsi="Times New Roman" w:eastAsia="Arial Unicode MS" w:cs="Times New Roman"/>
          <w:b/>
          <w:bCs/>
          <w:sz w:val="24"/>
          <w:szCs w:val="24"/>
        </w:rPr>
      </w:pPr>
      <w:r>
        <w:rPr>
          <w:rFonts w:ascii="Times New Roman" w:hAnsi="Times New Roman" w:eastAsia="Arial Unicode MS" w:cs="Times New Roman"/>
          <w:b/>
          <w:bCs/>
          <w:sz w:val="24"/>
          <w:szCs w:val="24"/>
        </w:rPr>
        <w:t>Supplementary Figures</w:t>
      </w:r>
    </w:p>
    <w:p>
      <w:pPr>
        <w:spacing w:line="480" w:lineRule="auto"/>
        <w:contextualSpacing/>
        <w:jc w:val="left"/>
        <w:rPr>
          <w:rFonts w:ascii="Times New Roman" w:hAnsi="Times New Roman" w:eastAsia="Arial Unicode MS" w:cs="Times New Roman"/>
          <w:b/>
          <w:bCs/>
          <w:sz w:val="24"/>
          <w:szCs w:val="24"/>
        </w:rPr>
      </w:pPr>
    </w:p>
    <w:p>
      <w:pPr>
        <w:spacing w:line="480" w:lineRule="auto"/>
        <w:contextualSpacing/>
        <w:jc w:val="left"/>
        <w:rPr>
          <w:rFonts w:hint="eastAsia" w:ascii="Times New Roman" w:hAnsi="Times New Roman" w:eastAsia="Arial Unicode MS" w:cs="Times New Roman"/>
          <w:kern w:val="0"/>
          <w:sz w:val="24"/>
          <w:szCs w:val="24"/>
          <w:lang w:eastAsia="zh-CN" w:bidi="ar"/>
        </w:rPr>
      </w:pPr>
      <w:r>
        <w:rPr>
          <w:rFonts w:hint="eastAsia" w:ascii="Times New Roman" w:hAnsi="Times New Roman" w:eastAsia="Arial Unicode MS" w:cs="Times New Roman"/>
          <w:kern w:val="0"/>
          <w:sz w:val="24"/>
          <w:szCs w:val="24"/>
          <w:lang w:eastAsia="zh-CN" w:bidi="ar"/>
        </w:rPr>
        <w:drawing>
          <wp:inline distT="0" distB="0" distL="114300" distR="114300">
            <wp:extent cx="5268595" cy="2440305"/>
            <wp:effectExtent l="0" t="0" r="4445" b="13335"/>
            <wp:docPr id="1" name="图片 1" descr="supplement Fig.2小写版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upplement Fig.2小写版-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440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spacing w:line="480" w:lineRule="auto"/>
        <w:contextualSpacing/>
        <w:jc w:val="left"/>
        <w:rPr>
          <w:rFonts w:ascii="Times New Roman" w:hAnsi="Times New Roman" w:eastAsia="Arial Unicode MS" w:cs="Times New Roman"/>
          <w:bCs/>
          <w:sz w:val="24"/>
          <w:szCs w:val="24"/>
        </w:rPr>
      </w:pPr>
      <w:r>
        <w:rPr>
          <w:rFonts w:ascii="Times New Roman" w:hAnsi="Times New Roman" w:eastAsia="Arial Unicode MS" w:cs="Times New Roman"/>
          <w:b/>
          <w:kern w:val="0"/>
          <w:sz w:val="24"/>
          <w:szCs w:val="24"/>
          <w:lang w:bidi="ar"/>
        </w:rPr>
        <w:t>Fig. S</w:t>
      </w:r>
      <w:r>
        <w:rPr>
          <w:rFonts w:hint="eastAsia" w:ascii="Times New Roman" w:hAnsi="Times New Roman" w:eastAsia="Arial Unicode MS" w:cs="Times New Roman"/>
          <w:b/>
          <w:kern w:val="0"/>
          <w:sz w:val="24"/>
          <w:szCs w:val="24"/>
          <w:lang w:val="en-US" w:eastAsia="zh-CN" w:bidi="ar"/>
        </w:rPr>
        <w:t>2</w:t>
      </w:r>
      <w:r>
        <w:rPr>
          <w:rFonts w:ascii="Times New Roman" w:hAnsi="Times New Roman" w:eastAsia="Arial Unicode MS" w:cs="Times New Roman"/>
          <w:b/>
          <w:kern w:val="0"/>
          <w:sz w:val="24"/>
          <w:szCs w:val="24"/>
          <w:lang w:bidi="ar"/>
        </w:rPr>
        <w:t xml:space="preserve">. </w:t>
      </w:r>
      <w:r>
        <w:rPr>
          <w:rFonts w:ascii="Times New Roman" w:hAnsi="Times New Roman" w:eastAsia="Arial Unicode MS" w:cs="Times New Roman"/>
          <w:b/>
          <w:sz w:val="24"/>
          <w:szCs w:val="24"/>
        </w:rPr>
        <w:t>Relationship between clinical and pathological features and survival in 259 PSCC patients.</w:t>
      </w:r>
    </w:p>
    <w:p>
      <w:pPr>
        <w:spacing w:line="480" w:lineRule="auto"/>
        <w:contextualSpacing/>
        <w:jc w:val="left"/>
        <w:rPr>
          <w:rFonts w:ascii="Times New Roman" w:hAnsi="Times New Roman" w:eastAsia="Arial Unicode MS" w:cs="Times New Roman"/>
          <w:kern w:val="0"/>
          <w:sz w:val="24"/>
          <w:szCs w:val="24"/>
          <w:lang w:bidi="ar"/>
        </w:rPr>
      </w:pPr>
      <w:r>
        <w:rPr>
          <w:rFonts w:ascii="Times New Roman" w:hAnsi="Times New Roman" w:eastAsia="Arial Unicode MS" w:cs="Times New Roman"/>
          <w:sz w:val="24"/>
          <w:szCs w:val="24"/>
        </w:rPr>
        <w:t xml:space="preserve">Kaplan–Meier survival curves indicated that (a) T grade, (b) N grade, (c) metastasis, (d) clinical stage, (e) pathological grade, (f) </w:t>
      </w:r>
      <w:r>
        <w:rPr>
          <w:rFonts w:ascii="Times New Roman" w:hAnsi="Times New Roman" w:eastAsia="Arial Unicode MS" w:cs="Times New Roman"/>
          <w:kern w:val="0"/>
          <w:sz w:val="24"/>
          <w:szCs w:val="24"/>
          <w:lang w:bidi="ar"/>
        </w:rPr>
        <w:t xml:space="preserve">extranodal extension, and (g) age were </w:t>
      </w:r>
      <w:r>
        <w:rPr>
          <w:rFonts w:ascii="Times New Roman" w:hAnsi="Times New Roman" w:eastAsia="Arial Unicode MS" w:cs="Times New Roman"/>
          <w:sz w:val="24"/>
          <w:szCs w:val="24"/>
        </w:rPr>
        <w:t xml:space="preserve">associated with CSS in 259 PSCC patients. </w:t>
      </w:r>
      <w:r>
        <w:rPr>
          <w:rFonts w:ascii="Times New Roman" w:hAnsi="Times New Roman" w:eastAsia="Arial Unicode MS" w:cs="Times New Roman"/>
          <w:sz w:val="24"/>
          <w:szCs w:val="24"/>
          <w:lang w:bidi="ar"/>
        </w:rPr>
        <w:t xml:space="preserve">The clinical and pathological features were determined based on the TNM Staging System for Penile Cancer (8th ed., 2017). </w:t>
      </w:r>
      <w:r>
        <w:rPr>
          <w:rFonts w:ascii="Times New Roman" w:hAnsi="Times New Roman" w:eastAsia="Arial Unicode MS" w:cs="Times New Roman"/>
          <w:kern w:val="0"/>
          <w:sz w:val="24"/>
          <w:szCs w:val="24"/>
          <w:lang w:bidi="ar"/>
        </w:rPr>
        <w:t>PSCC, penile squamous cell carcinoma.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B1146E"/>
    <w:rsid w:val="23B1146E"/>
    <w:rsid w:val="26642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2021-09-22T07:41:00Z</dcterms:created>
  <dc:creator>diuna星</dc:creator>
  <cp:lastModifiedBy>diuna星</cp:lastModifiedBy>
  <dcterms:modified xsi:type="dcterms:W3CDTF">2021-09-22T07:58:08Z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EB68B333282244B2A9BB70DC507DC914</vt:lpwstr>
  </property>
</Properties>
</file>