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 xml:space="preserve">RAB20 promotes proliferation via G2/M phase through the </w:t>
      </w:r>
      <w:r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  <w:t>Chk1/cdc25c/cdc2-cyclinB1</w:t>
      </w: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 xml:space="preserve"> pathway in penile squamous cell carcinoma</w:t>
      </w:r>
    </w:p>
    <w:p>
      <w:pPr>
        <w:spacing w:line="480" w:lineRule="auto"/>
        <w:contextualSpacing/>
        <w:jc w:val="left"/>
        <w:rPr>
          <w:rFonts w:ascii="Times New Roman" w:hAnsi="Times New Roman" w:eastAsia="Arial Unicode MS"/>
          <w:b/>
          <w:bCs/>
          <w:sz w:val="24"/>
          <w:szCs w:val="24"/>
        </w:rPr>
      </w:pPr>
    </w:p>
    <w:p>
      <w:pPr>
        <w:spacing w:line="480" w:lineRule="auto"/>
        <w:contextualSpacing/>
        <w:jc w:val="left"/>
        <w:rPr>
          <w:rFonts w:ascii="Times New Roman" w:hAnsi="Times New Roman" w:eastAsia="Arial Unicode MS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eastAsia="Arial Unicode MS"/>
          <w:b/>
          <w:bCs/>
          <w:sz w:val="24"/>
          <w:szCs w:val="24"/>
        </w:rPr>
        <w:t>Supplementary Tables</w:t>
      </w:r>
    </w:p>
    <w:bookmarkEnd w:id="0"/>
    <w:p>
      <w:pPr>
        <w:spacing w:line="480" w:lineRule="auto"/>
        <w:contextualSpacing/>
        <w:jc w:val="left"/>
        <w:rPr>
          <w:rFonts w:ascii="Times New Roman" w:hAnsi="Times New Roman" w:eastAsia="Arial Unicode MS"/>
          <w:b/>
          <w:bCs/>
          <w:sz w:val="24"/>
          <w:szCs w:val="24"/>
        </w:rPr>
      </w:pP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 w:val="0"/>
          <w:bCs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sz w:val="24"/>
          <w:szCs w:val="24"/>
        </w:rPr>
        <w:t>Table S1.</w:t>
      </w:r>
      <w:r>
        <w:rPr>
          <w:rFonts w:ascii="Times New Roman" w:hAnsi="Times New Roman" w:eastAsia="Arial Unicode MS" w:cs="Times New Roman"/>
          <w:b w:val="0"/>
          <w:bCs/>
          <w:sz w:val="24"/>
          <w:szCs w:val="24"/>
        </w:rPr>
        <w:t xml:space="preserve"> The baseline information of eight pN+ PSCC patients used for subsequent CGP analysis.</w:t>
      </w:r>
    </w:p>
    <w:tbl>
      <w:tblPr>
        <w:tblStyle w:val="3"/>
        <w:tblW w:w="492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628"/>
        <w:gridCol w:w="1689"/>
        <w:gridCol w:w="1829"/>
        <w:gridCol w:w="1628"/>
        <w:gridCol w:w="861"/>
        <w:gridCol w:w="8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Patient</w:t>
            </w:r>
            <w:r>
              <w:rPr>
                <w:rFonts w:hint="eastAsia"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s</w:t>
            </w:r>
          </w:p>
        </w:tc>
        <w:tc>
          <w:tcPr>
            <w:tcW w:w="374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Age</w:t>
            </w:r>
          </w:p>
        </w:tc>
        <w:tc>
          <w:tcPr>
            <w:tcW w:w="1006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TNM</w:t>
            </w:r>
            <w:r>
              <w:rPr>
                <w:rFonts w:hint="eastAsia"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stage</w:t>
            </w:r>
          </w:p>
        </w:tc>
        <w:tc>
          <w:tcPr>
            <w:tcW w:w="1089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Pathological</w:t>
            </w:r>
            <w:r>
              <w:rPr>
                <w:rFonts w:hint="eastAsia"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stage</w:t>
            </w:r>
          </w:p>
        </w:tc>
        <w:tc>
          <w:tcPr>
            <w:tcW w:w="969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b/>
                <w:color w:val="231F20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color w:val="231F20"/>
                <w:kern w:val="0"/>
                <w:sz w:val="20"/>
                <w:szCs w:val="20"/>
              </w:rPr>
              <w:t>LVI</w:t>
            </w:r>
          </w:p>
        </w:tc>
        <w:tc>
          <w:tcPr>
            <w:tcW w:w="513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PLNM</w:t>
            </w:r>
          </w:p>
        </w:tc>
        <w:tc>
          <w:tcPr>
            <w:tcW w:w="494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b/>
                <w:kern w:val="0"/>
                <w:sz w:val="20"/>
                <w:szCs w:val="20"/>
              </w:rPr>
              <w:t>ENE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006" w:type="pc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T3N3M0</w:t>
            </w:r>
          </w:p>
        </w:tc>
        <w:tc>
          <w:tcPr>
            <w:tcW w:w="1089" w:type="pc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G2</w:t>
            </w:r>
          </w:p>
        </w:tc>
        <w:tc>
          <w:tcPr>
            <w:tcW w:w="969" w:type="pc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513" w:type="pc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494" w:type="pc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Yes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37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006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T1aN3M0</w:t>
            </w:r>
          </w:p>
        </w:tc>
        <w:tc>
          <w:tcPr>
            <w:tcW w:w="108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G2</w:t>
            </w:r>
          </w:p>
        </w:tc>
        <w:tc>
          <w:tcPr>
            <w:tcW w:w="96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513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49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Yes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37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006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08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G2</w:t>
            </w:r>
          </w:p>
        </w:tc>
        <w:tc>
          <w:tcPr>
            <w:tcW w:w="96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513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49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37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1006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T3N3M0</w:t>
            </w:r>
          </w:p>
        </w:tc>
        <w:tc>
          <w:tcPr>
            <w:tcW w:w="108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G2</w:t>
            </w:r>
          </w:p>
        </w:tc>
        <w:tc>
          <w:tcPr>
            <w:tcW w:w="96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513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49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Yes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37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006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T1aN3M0</w:t>
            </w:r>
          </w:p>
        </w:tc>
        <w:tc>
          <w:tcPr>
            <w:tcW w:w="108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G1</w:t>
            </w:r>
          </w:p>
        </w:tc>
        <w:tc>
          <w:tcPr>
            <w:tcW w:w="96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513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49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Yes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37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1006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T2N1M0</w:t>
            </w:r>
          </w:p>
        </w:tc>
        <w:tc>
          <w:tcPr>
            <w:tcW w:w="108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G1</w:t>
            </w:r>
          </w:p>
        </w:tc>
        <w:tc>
          <w:tcPr>
            <w:tcW w:w="96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513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Uk</w:t>
            </w:r>
          </w:p>
        </w:tc>
        <w:tc>
          <w:tcPr>
            <w:tcW w:w="49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006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T4N2M0</w:t>
            </w:r>
          </w:p>
        </w:tc>
        <w:tc>
          <w:tcPr>
            <w:tcW w:w="108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G2</w:t>
            </w:r>
          </w:p>
        </w:tc>
        <w:tc>
          <w:tcPr>
            <w:tcW w:w="969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513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494" w:type="pct"/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pct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374" w:type="pct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1006" w:type="pct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Arial Unicode MS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089" w:type="pct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G2</w:t>
            </w:r>
          </w:p>
        </w:tc>
        <w:tc>
          <w:tcPr>
            <w:tcW w:w="969" w:type="pct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513" w:type="pct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Uk</w:t>
            </w:r>
          </w:p>
        </w:tc>
        <w:tc>
          <w:tcPr>
            <w:tcW w:w="494" w:type="pct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Arial Unicode MS" w:cs="Times New Roman"/>
                <w:kern w:val="0"/>
                <w:sz w:val="20"/>
                <w:szCs w:val="20"/>
              </w:rPr>
              <w:t>No</w:t>
            </w:r>
          </w:p>
        </w:tc>
      </w:tr>
    </w:tbl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</w:pPr>
      <w:r>
        <w:rPr>
          <w:rFonts w:ascii="Times New Roman" w:hAnsi="Times New Roman" w:eastAsia="Arial Unicode MS" w:cs="Times New Roman"/>
          <w:sz w:val="24"/>
          <w:szCs w:val="24"/>
        </w:rPr>
        <w:t xml:space="preserve">Fresh frozen paired samples from eight pN+ PSCC patients were subjected to comprehensive CGP analysis. </w:t>
      </w:r>
      <w:r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  <w:t xml:space="preserve">TNM stage and pathological stage were determined based on </w:t>
      </w:r>
      <w:r>
        <w:rPr>
          <w:rFonts w:ascii="Times New Roman" w:hAnsi="Times New Roman" w:eastAsia="Arial Unicode MS" w:cs="Times New Roman"/>
          <w:sz w:val="24"/>
          <w:szCs w:val="24"/>
          <w:lang w:bidi="ar"/>
        </w:rPr>
        <w:t xml:space="preserve">the TNM Staging System for Penile Cancer (8th ed., 2017). </w:t>
      </w:r>
      <w:r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  <w:t xml:space="preserve">PSCC, penile squamous cell carcinoma; CGP, </w:t>
      </w:r>
      <w:r>
        <w:rPr>
          <w:rFonts w:ascii="Times New Roman" w:hAnsi="Times New Roman" w:eastAsia="Arial Unicode MS" w:cs="Times New Roman"/>
          <w:sz w:val="24"/>
          <w:szCs w:val="24"/>
        </w:rPr>
        <w:t xml:space="preserve">comprehensive genomic profiling; LVI, lymphovascular invasion; PLNM, pelvic lymph node; ENE, </w:t>
      </w:r>
      <w:r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  <w:t>extranodal extension.</w:t>
      </w: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1146E"/>
    <w:rsid w:val="23B1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2021-09-22T07:41:00Z</dcterms:created>
  <dc:creator>diuna星</dc:creator>
  <cp:lastModifiedBy>diuna星</cp:lastModifiedBy>
  <dcterms:modified xsi:type="dcterms:W3CDTF">2021-09-22T07:42:22Z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770B7A1DED4B47D18E9D39A387105F2C</vt:lpwstr>
  </property>
</Properties>
</file>