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453D9" w14:textId="77777777" w:rsidR="00AF72AE" w:rsidRDefault="00AF72AE" w:rsidP="00AF72AE">
      <w:pPr>
        <w:widowControl w:val="0"/>
        <w:spacing w:line="480" w:lineRule="auto"/>
        <w:rPr>
          <w:rFonts w:ascii="Arial" w:eastAsia="Arial" w:hAnsi="Arial" w:cs="Arial"/>
          <w:b/>
          <w:sz w:val="28"/>
          <w:szCs w:val="28"/>
          <w:lang w:val="en-US"/>
        </w:rPr>
      </w:pPr>
      <w:r>
        <w:rPr>
          <w:rFonts w:ascii="Arial" w:eastAsia="Arial" w:hAnsi="Arial" w:cs="Arial"/>
          <w:b/>
          <w:sz w:val="28"/>
          <w:szCs w:val="28"/>
          <w:lang w:val="en-US"/>
        </w:rPr>
        <w:t>Additional file 4:</w:t>
      </w:r>
    </w:p>
    <w:p w14:paraId="14618646" w14:textId="4F5C5BD7" w:rsidR="00AF72AE" w:rsidRPr="00CB067A" w:rsidRDefault="00AF72AE" w:rsidP="00AF72AE">
      <w:pPr>
        <w:spacing w:line="480" w:lineRule="auto"/>
        <w:rPr>
          <w:rFonts w:ascii="Arial" w:eastAsia="Arial" w:hAnsi="Arial" w:cs="Arial"/>
          <w:b/>
          <w:lang w:val="en-US"/>
        </w:rPr>
      </w:pPr>
      <w:r>
        <w:rPr>
          <w:rFonts w:ascii="Arial" w:eastAsia="Arial" w:hAnsi="Arial" w:cs="Arial"/>
          <w:b/>
          <w:lang w:val="en-US"/>
        </w:rPr>
        <w:t>Figure</w:t>
      </w:r>
      <w:r w:rsidR="0028730D">
        <w:rPr>
          <w:rFonts w:ascii="Arial" w:eastAsia="Arial" w:hAnsi="Arial" w:cs="Arial"/>
          <w:b/>
          <w:lang w:val="en-US"/>
        </w:rPr>
        <w:t xml:space="preserve"> S1</w:t>
      </w:r>
      <w:r w:rsidRPr="0016702B">
        <w:rPr>
          <w:rFonts w:ascii="Arial" w:eastAsia="Arial" w:hAnsi="Arial" w:cs="Arial"/>
          <w:b/>
          <w:lang w:val="en-US"/>
        </w:rPr>
        <w:t>:</w:t>
      </w:r>
      <w:r>
        <w:rPr>
          <w:rFonts w:ascii="Arial" w:eastAsia="Arial" w:hAnsi="Arial" w:cs="Arial"/>
          <w:b/>
          <w:lang w:val="en-US"/>
        </w:rPr>
        <w:t xml:space="preserve"> </w:t>
      </w:r>
      <w:r w:rsidRPr="00CB067A">
        <w:rPr>
          <w:rFonts w:ascii="Arial" w:eastAsia="Arial" w:hAnsi="Arial" w:cs="Arial"/>
          <w:b/>
          <w:bCs/>
          <w:lang w:val="en-US"/>
        </w:rPr>
        <w:t>Geographic overview of the exposure setting and water sources during the outbreak</w:t>
      </w:r>
    </w:p>
    <w:p w14:paraId="7C68E81E" w14:textId="77777777" w:rsidR="00AF72AE" w:rsidRDefault="00AF72AE" w:rsidP="00AF72AE">
      <w:pPr>
        <w:spacing w:line="480" w:lineRule="auto"/>
        <w:rPr>
          <w:rFonts w:ascii="Arial" w:eastAsia="Arial" w:hAnsi="Arial" w:cs="Arial"/>
          <w:bCs/>
          <w:lang w:val="en-US"/>
        </w:rPr>
      </w:pPr>
      <w:r w:rsidRPr="00CB067A">
        <w:rPr>
          <w:rFonts w:ascii="Arial" w:eastAsia="Arial" w:hAnsi="Arial" w:cs="Arial"/>
          <w:bCs/>
          <w:lang w:val="en-US"/>
        </w:rPr>
        <w:t>Satellite view of the study area showing the location of the festivities (“</w:t>
      </w:r>
      <w:proofErr w:type="spellStart"/>
      <w:r>
        <w:rPr>
          <w:rFonts w:ascii="Arial" w:eastAsia="Arial" w:hAnsi="Arial" w:cs="Arial"/>
          <w:bCs/>
          <w:lang w:val="en-US"/>
        </w:rPr>
        <w:t>Ei</w:t>
      </w:r>
      <w:r w:rsidRPr="00CB067A">
        <w:rPr>
          <w:rFonts w:ascii="Arial" w:eastAsia="Arial" w:hAnsi="Arial" w:cs="Arial"/>
          <w:bCs/>
          <w:lang w:val="en-US"/>
        </w:rPr>
        <w:t>ka</w:t>
      </w:r>
      <w:proofErr w:type="spellEnd"/>
      <w:r w:rsidRPr="00CB067A">
        <w:rPr>
          <w:rFonts w:ascii="Arial" w:eastAsia="Arial" w:hAnsi="Arial" w:cs="Arial"/>
          <w:bCs/>
          <w:lang w:val="en-US"/>
        </w:rPr>
        <w:t>” and Pastor’s house) and surrounding environment. The rainwater catchment cistern used for drinking water is indicated, as well as the outdoor kitchen where fruit juice was prepared using water from a rain barrel. Insets illustrate the festivities setting, the rainwater collection system, and the kitchen environment. Arrows indicate the spatial relationship between key locations and potential exposure sources.</w:t>
      </w:r>
    </w:p>
    <w:p w14:paraId="74BFEAE0" w14:textId="49AE67F5" w:rsidR="00EA1E39" w:rsidRPr="00AF72AE" w:rsidRDefault="00AF72AE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42D70C54" wp14:editId="2BFD9E02">
            <wp:extent cx="9078686" cy="5155326"/>
            <wp:effectExtent l="0" t="0" r="0" b="0"/>
            <wp:docPr id="205805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5214" name="Image 20580521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0" b="15476"/>
                    <a:stretch/>
                  </pic:blipFill>
                  <pic:spPr bwMode="auto">
                    <a:xfrm>
                      <a:off x="0" y="0"/>
                      <a:ext cx="9092636" cy="516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E39" w:rsidRPr="00AF72AE" w:rsidSect="00AF72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AE"/>
    <w:rsid w:val="00166A8C"/>
    <w:rsid w:val="00256ABE"/>
    <w:rsid w:val="0028730D"/>
    <w:rsid w:val="0066544F"/>
    <w:rsid w:val="006F2EFB"/>
    <w:rsid w:val="00AF72AE"/>
    <w:rsid w:val="00C87FAC"/>
    <w:rsid w:val="00EA1E39"/>
    <w:rsid w:val="00FA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F8CEE"/>
  <w15:chartTrackingRefBased/>
  <w15:docId w15:val="{61E718CF-3040-3946-86CB-225D697C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2AE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F72A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72A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72A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F72A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F72A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72A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72A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72A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72A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72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F72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F72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72A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F72A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F72A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F72A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F72A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F72A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F72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AF72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72A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AF72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F72A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AF72A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F72A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AF72A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F72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F72A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F72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515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Yves-Marie DUCROT</dc:creator>
  <cp:keywords/>
  <dc:description/>
  <cp:lastModifiedBy>Yves-Marie DUCROT</cp:lastModifiedBy>
  <cp:revision>2</cp:revision>
  <dcterms:created xsi:type="dcterms:W3CDTF">2026-03-30T16:33:00Z</dcterms:created>
  <dcterms:modified xsi:type="dcterms:W3CDTF">2026-03-30T16:33:00Z</dcterms:modified>
</cp:coreProperties>
</file>