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35451" w14:textId="77777777" w:rsidR="00E74DA8" w:rsidRPr="00BE20BD" w:rsidRDefault="00E74DA8" w:rsidP="00E74DA8">
      <w:pPr>
        <w:widowControl w:val="0"/>
        <w:spacing w:line="480" w:lineRule="auto"/>
        <w:rPr>
          <w:b/>
          <w:bCs/>
          <w:lang w:val="en-US"/>
        </w:rPr>
      </w:pPr>
      <w:r w:rsidRPr="00BE20BD">
        <w:rPr>
          <w:b/>
          <w:bCs/>
          <w:lang w:val="en-US"/>
        </w:rPr>
        <w:t>Additional file 1:</w:t>
      </w:r>
    </w:p>
    <w:p w14:paraId="524674D4" w14:textId="77777777" w:rsidR="00E74DA8" w:rsidRPr="00CD1AD4" w:rsidRDefault="00E74DA8" w:rsidP="00E74DA8">
      <w:pPr>
        <w:widowControl w:val="0"/>
        <w:spacing w:line="480" w:lineRule="auto"/>
        <w:rPr>
          <w:b/>
          <w:bCs/>
          <w:lang w:val="en-US"/>
        </w:rPr>
      </w:pPr>
      <w:r>
        <w:rPr>
          <w:b/>
          <w:bCs/>
          <w:lang w:val="en-US"/>
        </w:rPr>
        <w:t xml:space="preserve">Table S1: </w:t>
      </w:r>
      <w:r w:rsidRPr="00CD1AD4">
        <w:rPr>
          <w:b/>
          <w:bCs/>
          <w:lang w:val="en-US"/>
        </w:rPr>
        <w:t>Food and beverage items consumed during the event, categorized by preparation method and origin</w:t>
      </w:r>
      <w:r>
        <w:rPr>
          <w:b/>
          <w:bCs/>
          <w:lang w:val="en-US"/>
        </w:rPr>
        <w:t xml:space="preserve"> </w:t>
      </w:r>
    </w:p>
    <w:p w14:paraId="73FCCBD8" w14:textId="77777777" w:rsidR="00E74DA8" w:rsidRPr="00CD1AD4" w:rsidRDefault="00E74DA8" w:rsidP="00E74DA8">
      <w:pPr>
        <w:widowControl w:val="0"/>
        <w:spacing w:line="480" w:lineRule="auto"/>
        <w:rPr>
          <w:rFonts w:eastAsia="Arial"/>
          <w:bCs/>
          <w:sz w:val="22"/>
          <w:szCs w:val="22"/>
          <w:lang w:val="en-US"/>
        </w:rPr>
      </w:pPr>
      <w:r w:rsidRPr="00CD1AD4">
        <w:rPr>
          <w:rFonts w:eastAsia="Arial"/>
          <w:bCs/>
          <w:sz w:val="22"/>
          <w:szCs w:val="22"/>
          <w:lang w:val="en-US"/>
        </w:rPr>
        <w:t>Food items were classified according to preparation method (uncooked, cooked, highly cooked) and origin (industrial vs local). Highly cooked foods were defined as items subjected to prolonged heating or high-temperature cooking. Uncooked items included foods and beverages consumed without heat treatment, including those prepared with untreated water.</w:t>
      </w:r>
    </w:p>
    <w:p w14:paraId="44250DB6" w14:textId="77777777" w:rsidR="00E74DA8" w:rsidRPr="00CD1AD4" w:rsidRDefault="00E74DA8" w:rsidP="00E74DA8">
      <w:pPr>
        <w:widowControl w:val="0"/>
        <w:spacing w:line="480" w:lineRule="auto"/>
        <w:rPr>
          <w:rFonts w:eastAsia="Arial"/>
          <w:bCs/>
          <w:sz w:val="22"/>
          <w:szCs w:val="22"/>
          <w:lang w:val="en-US"/>
        </w:rPr>
      </w:pPr>
      <w:r w:rsidRPr="00CD1AD4">
        <w:rPr>
          <w:rFonts w:eastAsia="Arial"/>
          <w:bCs/>
          <w:sz w:val="22"/>
          <w:szCs w:val="22"/>
          <w:lang w:val="en-US"/>
        </w:rPr>
        <w:t>Botanical and zoological names are provided where relevant. Beverage items diluted with rainwater or consumed from environmental sources are highlighted due to potential exposure risk.</w:t>
      </w:r>
    </w:p>
    <w:p w14:paraId="5C8BDCDA" w14:textId="77777777" w:rsidR="00E74DA8" w:rsidRPr="00947C58" w:rsidRDefault="00E74DA8" w:rsidP="00E74DA8">
      <w:pPr>
        <w:widowControl w:val="0"/>
        <w:spacing w:line="480" w:lineRule="auto"/>
        <w:rPr>
          <w:lang w:val="en-US"/>
        </w:rPr>
      </w:pPr>
    </w:p>
    <w:p w14:paraId="7CA479F3" w14:textId="77777777" w:rsidR="00E74DA8" w:rsidRPr="00BE20BD" w:rsidRDefault="00E74DA8" w:rsidP="00E74DA8">
      <w:pPr>
        <w:widowControl w:val="0"/>
        <w:spacing w:line="480" w:lineRule="auto"/>
        <w:rPr>
          <w:b/>
          <w:bCs/>
          <w:lang w:val="en-US"/>
        </w:rPr>
      </w:pPr>
      <w:r w:rsidRPr="00BE20BD">
        <w:rPr>
          <w:b/>
          <w:bCs/>
          <w:lang w:val="en-US"/>
        </w:rPr>
        <w:t>Additional file 2:</w:t>
      </w:r>
    </w:p>
    <w:p w14:paraId="4CE7488D" w14:textId="77777777" w:rsidR="00E74DA8" w:rsidRDefault="00E74DA8" w:rsidP="00E74DA8">
      <w:pPr>
        <w:spacing w:line="480" w:lineRule="auto"/>
        <w:rPr>
          <w:b/>
          <w:bCs/>
          <w:lang w:val="en-US"/>
        </w:rPr>
      </w:pPr>
      <w:r>
        <w:rPr>
          <w:b/>
          <w:bCs/>
          <w:lang w:val="en-US"/>
        </w:rPr>
        <w:t xml:space="preserve">Table S2: </w:t>
      </w:r>
      <w:r w:rsidRPr="00CA7514">
        <w:rPr>
          <w:b/>
          <w:bCs/>
          <w:lang w:val="en-US"/>
        </w:rPr>
        <w:t>Attendance and meal participation of cases during the festive period (December 24–31)</w:t>
      </w:r>
    </w:p>
    <w:p w14:paraId="5FD72B01" w14:textId="77777777" w:rsidR="00E74DA8" w:rsidRDefault="00E74DA8" w:rsidP="00E74DA8">
      <w:pPr>
        <w:spacing w:line="480" w:lineRule="auto"/>
        <w:rPr>
          <w:lang w:val="en-US"/>
        </w:rPr>
      </w:pPr>
      <w:r w:rsidRPr="00107324">
        <w:rPr>
          <w:lang w:val="en-US"/>
        </w:rPr>
        <w:t>Each row represents an individual case. “X” indicates presence at the meal; blank cells indicate absence or no recorded participation.Dates are presented from December 24 to 31, with “L” indicating lunch and “D” indicating dinner.</w:t>
      </w:r>
    </w:p>
    <w:p w14:paraId="5C99A0C6" w14:textId="77777777" w:rsidR="00E74DA8" w:rsidRPr="00CA7514" w:rsidRDefault="00E74DA8" w:rsidP="00E74DA8">
      <w:pPr>
        <w:spacing w:line="480" w:lineRule="auto"/>
        <w:rPr>
          <w:b/>
          <w:bCs/>
          <w:lang w:val="en-US"/>
        </w:rPr>
      </w:pPr>
    </w:p>
    <w:p w14:paraId="0CB9BCDA" w14:textId="77777777" w:rsidR="00E74DA8" w:rsidRPr="00090A09" w:rsidRDefault="00E74DA8" w:rsidP="00E74DA8">
      <w:pPr>
        <w:widowControl w:val="0"/>
        <w:spacing w:line="480" w:lineRule="auto"/>
        <w:rPr>
          <w:b/>
          <w:bCs/>
          <w:lang w:val="en-US"/>
        </w:rPr>
      </w:pPr>
      <w:r w:rsidRPr="00090A09">
        <w:rPr>
          <w:b/>
          <w:bCs/>
          <w:lang w:val="en-US"/>
        </w:rPr>
        <w:t>Additional file 3:</w:t>
      </w:r>
    </w:p>
    <w:p w14:paraId="4C8EA068" w14:textId="77777777" w:rsidR="00E74DA8" w:rsidRDefault="00E74DA8" w:rsidP="00E74DA8">
      <w:pPr>
        <w:spacing w:line="480" w:lineRule="auto"/>
        <w:rPr>
          <w:b/>
          <w:bCs/>
          <w:lang w:val="en-US"/>
        </w:rPr>
      </w:pPr>
      <w:r>
        <w:rPr>
          <w:b/>
          <w:bCs/>
          <w:lang w:val="en-US"/>
        </w:rPr>
        <w:t xml:space="preserve">Table S3: </w:t>
      </w:r>
      <w:r w:rsidRPr="00CA7514">
        <w:rPr>
          <w:b/>
          <w:bCs/>
          <w:lang w:val="en-US"/>
        </w:rPr>
        <w:t>Individual consumption of selected food and beverage items among cases</w:t>
      </w:r>
    </w:p>
    <w:p w14:paraId="16AC8BE0" w14:textId="77777777" w:rsidR="00E74DA8" w:rsidRPr="00610867" w:rsidRDefault="00E74DA8" w:rsidP="00E74DA8">
      <w:pPr>
        <w:spacing w:line="480" w:lineRule="auto"/>
        <w:rPr>
          <w:sz w:val="22"/>
          <w:szCs w:val="22"/>
          <w:lang w:val="en-US"/>
        </w:rPr>
      </w:pPr>
      <w:r w:rsidRPr="00610867">
        <w:rPr>
          <w:sz w:val="22"/>
          <w:szCs w:val="22"/>
          <w:lang w:val="en-US"/>
        </w:rPr>
        <w:t>Each row represents a case. “x” indicates reported consumption of the item; blank cells indicate no reported consumption; “?” indicates missing or uncertain information.</w:t>
      </w:r>
    </w:p>
    <w:p w14:paraId="747EDEE6" w14:textId="77777777" w:rsidR="00E74DA8" w:rsidRDefault="00E74DA8" w:rsidP="00E74DA8">
      <w:pPr>
        <w:spacing w:line="480" w:lineRule="auto"/>
        <w:rPr>
          <w:sz w:val="22"/>
          <w:szCs w:val="22"/>
          <w:lang w:val="en-US"/>
        </w:rPr>
      </w:pPr>
      <w:r w:rsidRPr="00610867">
        <w:rPr>
          <w:sz w:val="22"/>
          <w:szCs w:val="22"/>
          <w:lang w:val="en-US"/>
        </w:rPr>
        <w:t xml:space="preserve">Food and beverage items were selected based on their potential relevance to exposure. Beverages include those prepared with rainwater or consumed directly from environmental sources (cistern or </w:t>
      </w:r>
      <w:r>
        <w:rPr>
          <w:sz w:val="22"/>
          <w:szCs w:val="22"/>
          <w:lang w:val="en-US"/>
        </w:rPr>
        <w:t>garden hose)</w:t>
      </w:r>
    </w:p>
    <w:p w14:paraId="423A052E" w14:textId="77777777" w:rsidR="00E74DA8" w:rsidRDefault="00E74DA8" w:rsidP="00E74DA8">
      <w:pPr>
        <w:spacing w:line="480" w:lineRule="auto"/>
        <w:rPr>
          <w:b/>
          <w:bCs/>
          <w:lang w:val="en-US"/>
        </w:rPr>
      </w:pPr>
    </w:p>
    <w:p w14:paraId="46E597A4" w14:textId="77777777" w:rsidR="00E74DA8" w:rsidRPr="00BE20BD" w:rsidRDefault="00E74DA8" w:rsidP="00E74DA8">
      <w:pPr>
        <w:widowControl w:val="0"/>
        <w:spacing w:line="480" w:lineRule="auto"/>
        <w:rPr>
          <w:b/>
          <w:bCs/>
          <w:lang w:val="en-US"/>
        </w:rPr>
      </w:pPr>
      <w:r w:rsidRPr="00BE20BD">
        <w:rPr>
          <w:b/>
          <w:bCs/>
          <w:lang w:val="en-US"/>
        </w:rPr>
        <w:t>Additional file 4:</w:t>
      </w:r>
    </w:p>
    <w:p w14:paraId="70F757ED" w14:textId="77777777" w:rsidR="00E74DA8" w:rsidRPr="005024C5" w:rsidRDefault="00E74DA8" w:rsidP="00E74DA8">
      <w:pPr>
        <w:spacing w:line="480" w:lineRule="auto"/>
        <w:rPr>
          <w:b/>
          <w:bCs/>
          <w:lang w:val="en-US"/>
        </w:rPr>
      </w:pPr>
      <w:r w:rsidRPr="005024C5">
        <w:rPr>
          <w:b/>
          <w:bCs/>
          <w:lang w:val="en-US"/>
        </w:rPr>
        <w:lastRenderedPageBreak/>
        <w:t>Figure S1: Geographic overview of the exposure setting and water sources during the outbreak</w:t>
      </w:r>
    </w:p>
    <w:p w14:paraId="5BF507C5" w14:textId="77777777" w:rsidR="00E74DA8" w:rsidRPr="005024C5" w:rsidRDefault="00E74DA8" w:rsidP="00E74DA8">
      <w:pPr>
        <w:spacing w:line="480" w:lineRule="auto"/>
        <w:rPr>
          <w:rFonts w:eastAsia="Arial"/>
          <w:bCs/>
          <w:lang w:val="en-US"/>
        </w:rPr>
      </w:pPr>
      <w:r w:rsidRPr="005024C5">
        <w:rPr>
          <w:rFonts w:eastAsia="Arial"/>
          <w:bCs/>
          <w:lang w:val="en-US"/>
        </w:rPr>
        <w:t>Satellite view of the study area showing the location of the festivities (“Eika” and Pastor’s house) and surrounding environment. The rainwater catchment cistern used for drinking water is indicated, as well as the outdoor kitchen where fruit juice was prepared using water from a rain barrel. Insets illustrate the festivities setting, the rainwater collection system, and the kitchen environment. Arrows indicate the spatial relationship between key locations and potential exposure sources.</w:t>
      </w:r>
    </w:p>
    <w:p w14:paraId="62380753" w14:textId="77777777" w:rsidR="00E74DA8" w:rsidRDefault="00E74DA8" w:rsidP="00E74DA8">
      <w:pPr>
        <w:spacing w:line="480" w:lineRule="auto"/>
        <w:rPr>
          <w:b/>
          <w:bCs/>
          <w:lang w:val="en-US"/>
        </w:rPr>
      </w:pPr>
    </w:p>
    <w:p w14:paraId="1A7DF789" w14:textId="77777777" w:rsidR="00E74DA8" w:rsidRDefault="00E74DA8" w:rsidP="00E74DA8">
      <w:pPr>
        <w:spacing w:line="480" w:lineRule="auto"/>
        <w:rPr>
          <w:lang w:val="en-US"/>
        </w:rPr>
        <w:sectPr w:rsidR="00E74DA8" w:rsidSect="00E74DA8">
          <w:pgSz w:w="11906" w:h="16838"/>
          <w:pgMar w:top="1417" w:right="1417" w:bottom="1417" w:left="1417" w:header="708" w:footer="708" w:gutter="0"/>
          <w:cols w:space="720"/>
          <w:docGrid w:linePitch="326"/>
        </w:sectPr>
      </w:pPr>
    </w:p>
    <w:p w14:paraId="17CDDF7B" w14:textId="77777777" w:rsidR="00E023F9" w:rsidRDefault="00E023F9"/>
    <w:sectPr w:rsidR="00E023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DA8"/>
    <w:rsid w:val="000C4033"/>
    <w:rsid w:val="00173ED8"/>
    <w:rsid w:val="004B42CB"/>
    <w:rsid w:val="00543C8C"/>
    <w:rsid w:val="005F2B46"/>
    <w:rsid w:val="006E1731"/>
    <w:rsid w:val="00866D74"/>
    <w:rsid w:val="00882A73"/>
    <w:rsid w:val="00B260B7"/>
    <w:rsid w:val="00B85331"/>
    <w:rsid w:val="00E023F9"/>
    <w:rsid w:val="00E74D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AC240"/>
  <w15:chartTrackingRefBased/>
  <w15:docId w15:val="{8253DFFB-B3F5-4E67-9CCC-FBA99669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DA8"/>
    <w:pPr>
      <w:spacing w:after="0" w:line="240" w:lineRule="auto"/>
    </w:pPr>
    <w:rPr>
      <w:rFonts w:ascii="Times New Roman" w:eastAsia="Times New Roman" w:hAnsi="Times New Roman" w:cs="Times New Roman"/>
      <w:kern w:val="0"/>
      <w:lang w:val="fr-FR" w:eastAsia="fr-FR"/>
      <w14:ligatures w14:val="none"/>
    </w:rPr>
  </w:style>
  <w:style w:type="paragraph" w:styleId="Heading1">
    <w:name w:val="heading 1"/>
    <w:basedOn w:val="Normal"/>
    <w:next w:val="Normal"/>
    <w:link w:val="Heading1Char"/>
    <w:uiPriority w:val="9"/>
    <w:qFormat/>
    <w:rsid w:val="00E74DA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eastAsia="en-US"/>
      <w14:ligatures w14:val="standardContextual"/>
    </w:rPr>
  </w:style>
  <w:style w:type="paragraph" w:styleId="Heading2">
    <w:name w:val="heading 2"/>
    <w:basedOn w:val="Normal"/>
    <w:next w:val="Normal"/>
    <w:link w:val="Heading2Char"/>
    <w:uiPriority w:val="9"/>
    <w:semiHidden/>
    <w:unhideWhenUsed/>
    <w:qFormat/>
    <w:rsid w:val="00E74DA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eastAsia="en-US"/>
      <w14:ligatures w14:val="standardContextual"/>
    </w:rPr>
  </w:style>
  <w:style w:type="paragraph" w:styleId="Heading3">
    <w:name w:val="heading 3"/>
    <w:basedOn w:val="Normal"/>
    <w:next w:val="Normal"/>
    <w:link w:val="Heading3Char"/>
    <w:uiPriority w:val="9"/>
    <w:semiHidden/>
    <w:unhideWhenUsed/>
    <w:qFormat/>
    <w:rsid w:val="00E74DA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IN" w:eastAsia="en-US"/>
      <w14:ligatures w14:val="standardContextual"/>
    </w:rPr>
  </w:style>
  <w:style w:type="paragraph" w:styleId="Heading4">
    <w:name w:val="heading 4"/>
    <w:basedOn w:val="Normal"/>
    <w:next w:val="Normal"/>
    <w:link w:val="Heading4Char"/>
    <w:uiPriority w:val="9"/>
    <w:semiHidden/>
    <w:unhideWhenUsed/>
    <w:qFormat/>
    <w:rsid w:val="00E74DA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IN" w:eastAsia="en-US"/>
      <w14:ligatures w14:val="standardContextual"/>
    </w:rPr>
  </w:style>
  <w:style w:type="paragraph" w:styleId="Heading5">
    <w:name w:val="heading 5"/>
    <w:basedOn w:val="Normal"/>
    <w:next w:val="Normal"/>
    <w:link w:val="Heading5Char"/>
    <w:uiPriority w:val="9"/>
    <w:semiHidden/>
    <w:unhideWhenUsed/>
    <w:qFormat/>
    <w:rsid w:val="00E74DA8"/>
    <w:pPr>
      <w:keepNext/>
      <w:keepLines/>
      <w:spacing w:before="80" w:after="40" w:line="278" w:lineRule="auto"/>
      <w:outlineLvl w:val="4"/>
    </w:pPr>
    <w:rPr>
      <w:rFonts w:asciiTheme="minorHAnsi" w:eastAsiaTheme="majorEastAsia" w:hAnsiTheme="minorHAnsi" w:cstheme="majorBidi"/>
      <w:color w:val="0F4761" w:themeColor="accent1" w:themeShade="BF"/>
      <w:kern w:val="2"/>
      <w:lang w:val="en-IN" w:eastAsia="en-US"/>
      <w14:ligatures w14:val="standardContextual"/>
    </w:rPr>
  </w:style>
  <w:style w:type="paragraph" w:styleId="Heading6">
    <w:name w:val="heading 6"/>
    <w:basedOn w:val="Normal"/>
    <w:next w:val="Normal"/>
    <w:link w:val="Heading6Char"/>
    <w:uiPriority w:val="9"/>
    <w:semiHidden/>
    <w:unhideWhenUsed/>
    <w:qFormat/>
    <w:rsid w:val="00E74DA8"/>
    <w:pPr>
      <w:keepNext/>
      <w:keepLines/>
      <w:spacing w:before="40" w:line="278" w:lineRule="auto"/>
      <w:outlineLvl w:val="5"/>
    </w:pPr>
    <w:rPr>
      <w:rFonts w:asciiTheme="minorHAnsi" w:eastAsiaTheme="majorEastAsia" w:hAnsiTheme="minorHAnsi" w:cstheme="majorBidi"/>
      <w:i/>
      <w:iCs/>
      <w:color w:val="595959" w:themeColor="text1" w:themeTint="A6"/>
      <w:kern w:val="2"/>
      <w:lang w:val="en-IN" w:eastAsia="en-US"/>
      <w14:ligatures w14:val="standardContextual"/>
    </w:rPr>
  </w:style>
  <w:style w:type="paragraph" w:styleId="Heading7">
    <w:name w:val="heading 7"/>
    <w:basedOn w:val="Normal"/>
    <w:next w:val="Normal"/>
    <w:link w:val="Heading7Char"/>
    <w:uiPriority w:val="9"/>
    <w:semiHidden/>
    <w:unhideWhenUsed/>
    <w:qFormat/>
    <w:rsid w:val="00E74DA8"/>
    <w:pPr>
      <w:keepNext/>
      <w:keepLines/>
      <w:spacing w:before="40" w:line="278" w:lineRule="auto"/>
      <w:outlineLvl w:val="6"/>
    </w:pPr>
    <w:rPr>
      <w:rFonts w:asciiTheme="minorHAnsi" w:eastAsiaTheme="majorEastAsia" w:hAnsiTheme="minorHAnsi" w:cstheme="majorBidi"/>
      <w:color w:val="595959" w:themeColor="text1" w:themeTint="A6"/>
      <w:kern w:val="2"/>
      <w:lang w:val="en-IN" w:eastAsia="en-US"/>
      <w14:ligatures w14:val="standardContextual"/>
    </w:rPr>
  </w:style>
  <w:style w:type="paragraph" w:styleId="Heading8">
    <w:name w:val="heading 8"/>
    <w:basedOn w:val="Normal"/>
    <w:next w:val="Normal"/>
    <w:link w:val="Heading8Char"/>
    <w:uiPriority w:val="9"/>
    <w:semiHidden/>
    <w:unhideWhenUsed/>
    <w:qFormat/>
    <w:rsid w:val="00E74DA8"/>
    <w:pPr>
      <w:keepNext/>
      <w:keepLines/>
      <w:spacing w:line="278" w:lineRule="auto"/>
      <w:outlineLvl w:val="7"/>
    </w:pPr>
    <w:rPr>
      <w:rFonts w:asciiTheme="minorHAnsi" w:eastAsiaTheme="majorEastAsia" w:hAnsiTheme="minorHAnsi" w:cstheme="majorBidi"/>
      <w:i/>
      <w:iCs/>
      <w:color w:val="272727" w:themeColor="text1" w:themeTint="D8"/>
      <w:kern w:val="2"/>
      <w:lang w:val="en-IN" w:eastAsia="en-US"/>
      <w14:ligatures w14:val="standardContextual"/>
    </w:rPr>
  </w:style>
  <w:style w:type="paragraph" w:styleId="Heading9">
    <w:name w:val="heading 9"/>
    <w:basedOn w:val="Normal"/>
    <w:next w:val="Normal"/>
    <w:link w:val="Heading9Char"/>
    <w:uiPriority w:val="9"/>
    <w:semiHidden/>
    <w:unhideWhenUsed/>
    <w:qFormat/>
    <w:rsid w:val="00E74DA8"/>
    <w:pPr>
      <w:keepNext/>
      <w:keepLines/>
      <w:spacing w:line="278" w:lineRule="auto"/>
      <w:outlineLvl w:val="8"/>
    </w:pPr>
    <w:rPr>
      <w:rFonts w:asciiTheme="minorHAnsi" w:eastAsiaTheme="majorEastAsia" w:hAnsiTheme="minorHAnsi" w:cstheme="majorBidi"/>
      <w:color w:val="272727" w:themeColor="text1" w:themeTint="D8"/>
      <w:kern w:val="2"/>
      <w:lang w:val="en-I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D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4D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4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4D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4D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4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DA8"/>
    <w:rPr>
      <w:rFonts w:eastAsiaTheme="majorEastAsia" w:cstheme="majorBidi"/>
      <w:color w:val="272727" w:themeColor="text1" w:themeTint="D8"/>
    </w:rPr>
  </w:style>
  <w:style w:type="paragraph" w:styleId="Title">
    <w:name w:val="Title"/>
    <w:basedOn w:val="Normal"/>
    <w:next w:val="Normal"/>
    <w:link w:val="TitleChar"/>
    <w:uiPriority w:val="10"/>
    <w:qFormat/>
    <w:rsid w:val="00E74DA8"/>
    <w:pPr>
      <w:spacing w:after="80"/>
      <w:contextualSpacing/>
    </w:pPr>
    <w:rPr>
      <w:rFonts w:asciiTheme="majorHAnsi" w:eastAsiaTheme="majorEastAsia" w:hAnsiTheme="majorHAnsi" w:cstheme="majorBidi"/>
      <w:spacing w:val="-10"/>
      <w:kern w:val="28"/>
      <w:sz w:val="56"/>
      <w:szCs w:val="56"/>
      <w:lang w:val="en-IN" w:eastAsia="en-US"/>
      <w14:ligatures w14:val="standardContextual"/>
    </w:rPr>
  </w:style>
  <w:style w:type="character" w:customStyle="1" w:styleId="TitleChar">
    <w:name w:val="Title Char"/>
    <w:basedOn w:val="DefaultParagraphFont"/>
    <w:link w:val="Title"/>
    <w:uiPriority w:val="10"/>
    <w:rsid w:val="00E74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DA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N" w:eastAsia="en-US"/>
      <w14:ligatures w14:val="standardContextual"/>
    </w:rPr>
  </w:style>
  <w:style w:type="character" w:customStyle="1" w:styleId="SubtitleChar">
    <w:name w:val="Subtitle Char"/>
    <w:basedOn w:val="DefaultParagraphFont"/>
    <w:link w:val="Subtitle"/>
    <w:uiPriority w:val="11"/>
    <w:rsid w:val="00E74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DA8"/>
    <w:pPr>
      <w:spacing w:before="160" w:after="160" w:line="278" w:lineRule="auto"/>
      <w:jc w:val="center"/>
    </w:pPr>
    <w:rPr>
      <w:rFonts w:asciiTheme="minorHAnsi" w:eastAsiaTheme="minorHAnsi" w:hAnsiTheme="minorHAnsi" w:cstheme="minorBidi"/>
      <w:i/>
      <w:iCs/>
      <w:color w:val="404040" w:themeColor="text1" w:themeTint="BF"/>
      <w:kern w:val="2"/>
      <w:lang w:val="en-IN" w:eastAsia="en-US"/>
      <w14:ligatures w14:val="standardContextual"/>
    </w:rPr>
  </w:style>
  <w:style w:type="character" w:customStyle="1" w:styleId="QuoteChar">
    <w:name w:val="Quote Char"/>
    <w:basedOn w:val="DefaultParagraphFont"/>
    <w:link w:val="Quote"/>
    <w:uiPriority w:val="29"/>
    <w:rsid w:val="00E74DA8"/>
    <w:rPr>
      <w:i/>
      <w:iCs/>
      <w:color w:val="404040" w:themeColor="text1" w:themeTint="BF"/>
    </w:rPr>
  </w:style>
  <w:style w:type="paragraph" w:styleId="ListParagraph">
    <w:name w:val="List Paragraph"/>
    <w:basedOn w:val="Normal"/>
    <w:uiPriority w:val="34"/>
    <w:qFormat/>
    <w:rsid w:val="00E74DA8"/>
    <w:pPr>
      <w:spacing w:after="160" w:line="278" w:lineRule="auto"/>
      <w:ind w:left="720"/>
      <w:contextualSpacing/>
    </w:pPr>
    <w:rPr>
      <w:rFonts w:asciiTheme="minorHAnsi" w:eastAsiaTheme="minorHAnsi" w:hAnsiTheme="minorHAnsi" w:cstheme="minorBidi"/>
      <w:kern w:val="2"/>
      <w:lang w:val="en-IN" w:eastAsia="en-US"/>
      <w14:ligatures w14:val="standardContextual"/>
    </w:rPr>
  </w:style>
  <w:style w:type="character" w:styleId="IntenseEmphasis">
    <w:name w:val="Intense Emphasis"/>
    <w:basedOn w:val="DefaultParagraphFont"/>
    <w:uiPriority w:val="21"/>
    <w:qFormat/>
    <w:rsid w:val="00E74DA8"/>
    <w:rPr>
      <w:i/>
      <w:iCs/>
      <w:color w:val="0F4761" w:themeColor="accent1" w:themeShade="BF"/>
    </w:rPr>
  </w:style>
  <w:style w:type="paragraph" w:styleId="IntenseQuote">
    <w:name w:val="Intense Quote"/>
    <w:basedOn w:val="Normal"/>
    <w:next w:val="Normal"/>
    <w:link w:val="IntenseQuoteChar"/>
    <w:uiPriority w:val="30"/>
    <w:qFormat/>
    <w:rsid w:val="00E74DA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IN" w:eastAsia="en-US"/>
      <w14:ligatures w14:val="standardContextual"/>
    </w:rPr>
  </w:style>
  <w:style w:type="character" w:customStyle="1" w:styleId="IntenseQuoteChar">
    <w:name w:val="Intense Quote Char"/>
    <w:basedOn w:val="DefaultParagraphFont"/>
    <w:link w:val="IntenseQuote"/>
    <w:uiPriority w:val="30"/>
    <w:rsid w:val="00E74DA8"/>
    <w:rPr>
      <w:i/>
      <w:iCs/>
      <w:color w:val="0F4761" w:themeColor="accent1" w:themeShade="BF"/>
    </w:rPr>
  </w:style>
  <w:style w:type="character" w:styleId="IntenseReference">
    <w:name w:val="Intense Reference"/>
    <w:basedOn w:val="DefaultParagraphFont"/>
    <w:uiPriority w:val="32"/>
    <w:qFormat/>
    <w:rsid w:val="00E74D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Trupti Sudge</dc:creator>
  <cp:keywords/>
  <dc:description/>
  <cp:lastModifiedBy>Trupti Sudge</cp:lastModifiedBy>
  <cp:revision>1</cp:revision>
  <dcterms:created xsi:type="dcterms:W3CDTF">2026-04-17T22:58:00Z</dcterms:created>
  <dcterms:modified xsi:type="dcterms:W3CDTF">2026-04-17T22:58:00Z</dcterms:modified>
</cp:coreProperties>
</file>