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F7279" w14:textId="77777777" w:rsidR="00486EB3" w:rsidRDefault="00486EB3" w:rsidP="00486EB3">
      <w:pPr>
        <w:spacing w:line="240" w:lineRule="auto"/>
        <w:rPr>
          <w:rFonts w:ascii="Times New Roman" w:hAnsi="Times New Roman"/>
          <w:lang w:val="en-GB"/>
        </w:rPr>
      </w:pPr>
      <w:r w:rsidRPr="00592C33">
        <w:rPr>
          <w:rFonts w:ascii="Times New Roman" w:hAnsi="Times New Roman"/>
          <w:b/>
          <w:lang w:val="en-GB"/>
        </w:rPr>
        <w:t xml:space="preserve">Table 1 </w:t>
      </w:r>
      <w:r w:rsidRPr="00592C33">
        <w:rPr>
          <w:rFonts w:ascii="Times New Roman" w:hAnsi="Times New Roman"/>
          <w:lang w:val="en-GB"/>
        </w:rPr>
        <w:t>Overview of included publications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1701"/>
        <w:gridCol w:w="1415"/>
        <w:gridCol w:w="1134"/>
        <w:gridCol w:w="850"/>
        <w:gridCol w:w="995"/>
        <w:gridCol w:w="1276"/>
        <w:gridCol w:w="1276"/>
        <w:gridCol w:w="1843"/>
        <w:gridCol w:w="992"/>
      </w:tblGrid>
      <w:tr w:rsidR="00486EB3" w:rsidRPr="00592C33" w14:paraId="7F7686C9" w14:textId="77777777" w:rsidTr="004E0D74">
        <w:trPr>
          <w:trHeight w:val="389"/>
          <w:tblHeader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203FF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bookmarkStart w:id="0" w:name="_Hlk53075298"/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Author, year, country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43FAF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Study design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FFD41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Objective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7726B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Study population (Number: N=(% Male), age, ISS/AIS (Range, Mean ± SD/Median), Kind of injury))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15A142" w14:textId="77777777" w:rsidR="00486EB3" w:rsidRPr="00592C33" w:rsidRDefault="00486EB3" w:rsidP="0049492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Treatment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3D84C33" w14:textId="77777777" w:rsidR="00486EB3" w:rsidRPr="00592C33" w:rsidRDefault="00486EB3" w:rsidP="0049492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Instrument(s) for assessment of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F0179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Time of measurement/</w:t>
            </w: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br/>
            </w: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</w:t>
            </w: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ength of follow-up period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C5FE9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Application/</w:t>
            </w: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br/>
              <w:t>setting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C558BA" w14:textId="77777777" w:rsidR="00486EB3" w:rsidRPr="00592C33" w:rsidRDefault="00486EB3" w:rsidP="0049492E">
            <w:pPr>
              <w:spacing w:after="120" w:line="240" w:lineRule="auto"/>
              <w:ind w:hanging="61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Results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FE997E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Critical appraisal</w:t>
            </w:r>
          </w:p>
        </w:tc>
      </w:tr>
      <w:tr w:rsidR="00486EB3" w:rsidRPr="00592C33" w14:paraId="0445201C" w14:textId="77777777" w:rsidTr="004E0D74">
        <w:trPr>
          <w:trHeight w:val="552"/>
          <w:tblHeader/>
        </w:trPr>
        <w:tc>
          <w:tcPr>
            <w:tcW w:w="1129" w:type="dxa"/>
            <w:vMerge/>
            <w:shd w:val="clear" w:color="auto" w:fill="EEECE1" w:themeFill="background2"/>
          </w:tcPr>
          <w:p w14:paraId="011DBA7E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EEECE1" w:themeFill="background2"/>
          </w:tcPr>
          <w:p w14:paraId="6C8835C8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EEECE1" w:themeFill="background2"/>
          </w:tcPr>
          <w:p w14:paraId="40843AD6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EEECE1" w:themeFill="background2"/>
          </w:tcPr>
          <w:p w14:paraId="2BD1E874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415" w:type="dxa"/>
            <w:vMerge/>
            <w:shd w:val="clear" w:color="auto" w:fill="EEECE1" w:themeFill="background2"/>
          </w:tcPr>
          <w:p w14:paraId="2ECF7346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678602B1" w14:textId="77777777" w:rsidR="00486EB3" w:rsidRPr="00592C33" w:rsidRDefault="00486EB3" w:rsidP="004949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/</w:t>
            </w:r>
            <w:proofErr w:type="spellStart"/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B223E55" w14:textId="77777777" w:rsidR="00486EB3" w:rsidRPr="00592C33" w:rsidRDefault="00486EB3" w:rsidP="004949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(Social) Participation</w:t>
            </w:r>
          </w:p>
        </w:tc>
        <w:tc>
          <w:tcPr>
            <w:tcW w:w="995" w:type="dxa"/>
            <w:shd w:val="clear" w:color="auto" w:fill="auto"/>
          </w:tcPr>
          <w:p w14:paraId="0BBE0A4A" w14:textId="77777777" w:rsidR="00486EB3" w:rsidRPr="00592C33" w:rsidRDefault="00486EB3" w:rsidP="004949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ADL</w:t>
            </w:r>
          </w:p>
        </w:tc>
        <w:tc>
          <w:tcPr>
            <w:tcW w:w="1276" w:type="dxa"/>
            <w:vMerge/>
            <w:shd w:val="clear" w:color="auto" w:fill="EEECE1" w:themeFill="background2"/>
          </w:tcPr>
          <w:p w14:paraId="149D7055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EEECE1" w:themeFill="background2"/>
          </w:tcPr>
          <w:p w14:paraId="76EB303D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vMerge/>
            <w:shd w:val="clear" w:color="auto" w:fill="EEECE1" w:themeFill="background2"/>
          </w:tcPr>
          <w:p w14:paraId="37A67950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0888D44C" w14:textId="77777777" w:rsidR="00486EB3" w:rsidRPr="00592C33" w:rsidRDefault="00486EB3" w:rsidP="0049492E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486EB3" w:rsidRPr="004E0D74" w14:paraId="3AC797C1" w14:textId="77777777" w:rsidTr="0049492E">
        <w:trPr>
          <w:trHeight w:val="2183"/>
        </w:trPr>
        <w:tc>
          <w:tcPr>
            <w:tcW w:w="1129" w:type="dxa"/>
          </w:tcPr>
          <w:p w14:paraId="6AED83F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Abraham et al., 2014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&lt;EndNote&gt;&lt;Cite&gt;&lt;Author&gt;Abraham&lt;/Author&gt;&lt;Year&gt;2014&lt;/Year&gt;&lt;RecNum&gt;72&lt;/RecNum&gt;&lt;DisplayText&gt;(59)&lt;/DisplayText&gt;&lt;record&gt;&lt;rec-number&gt;72&lt;/rec-number&gt;&lt;foreign-keys&gt;&lt;key app="EN" db-id="v9rewpps3zpprdea2vov9059f5sp2efswfxx" timestamp="0"&gt;72&lt;/key&gt;&lt;/foreign-keys&gt;&lt;ref-type name="Journal Article"&gt;17&lt;/ref-type&gt;&lt;contributors&gt;&lt;authors&gt;&lt;author&gt;Abraham, C. M.&lt;/author&gt;&lt;author&gt;Obremskey, W. T.&lt;/author&gt;&lt;author&gt;Song, Y.&lt;/author&gt;&lt;author&gt;Jackson, J. C.&lt;/author&gt;&lt;author&gt;Ely, E. W.&lt;/author&gt;&lt;author&gt;Archer, K. R.&lt;/author&gt;&lt;/authors&gt;&lt;/contributors&gt;&lt;titles&gt;&lt;title&gt;Hospital delirium and psychological distress at 1 year and health-related quality of life after moderate-to-severe traumatic injury without intracranial hemorrhage&lt;/title&gt;&lt;secondary-title&gt;Arch Phys Med Rehabil&lt;/secondary-title&gt;&lt;/titles&gt;&lt;pages&gt;2382-9&lt;/pages&gt;&lt;volume&gt;95&lt;/volume&gt;&lt;number&gt;12&lt;/number&gt;&lt;dates&gt;&lt;year&gt;2014&lt;/year&gt;&lt;pub-dates&gt;&lt;date&gt;2014-01-01&lt;/date&gt;&lt;/pub-dates&gt;&lt;/dates&gt;&lt;isbn&gt;0003-9993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34EDC5D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20CAF09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Influence of inpatient delirium on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association of depressive symptoms and symptoms of PTSD with domains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1701" w:type="dxa"/>
          </w:tcPr>
          <w:p w14:paraId="247DA36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N=115 (55.7)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42.4 ± 16.7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–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&gt; 25, Mean 30.4 ± 9.2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AIS: NR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xtremity, head/neck (no brain injury), abdomen/pelvis, thorax</w:t>
            </w:r>
          </w:p>
        </w:tc>
        <w:tc>
          <w:tcPr>
            <w:tcW w:w="1415" w:type="dxa"/>
          </w:tcPr>
          <w:p w14:paraId="02F1B31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intensive care unit (ICU) stay (Mean): 9.4 ± 8.2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Ventilator days (Mean): 3.4 ±6.4</w:t>
            </w:r>
          </w:p>
        </w:tc>
        <w:tc>
          <w:tcPr>
            <w:tcW w:w="1134" w:type="dxa"/>
          </w:tcPr>
          <w:p w14:paraId="0D70D7B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SF-36 </w:t>
            </w:r>
          </w:p>
        </w:tc>
        <w:tc>
          <w:tcPr>
            <w:tcW w:w="850" w:type="dxa"/>
          </w:tcPr>
          <w:p w14:paraId="3D11721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15198B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125C9A9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 year after hospital release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5A290B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Personal, postal or telephone survey; NR</w:t>
            </w:r>
          </w:p>
        </w:tc>
        <w:tc>
          <w:tcPr>
            <w:tcW w:w="1843" w:type="dxa"/>
          </w:tcPr>
          <w:p w14:paraId="4896360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association between delirium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higher levels of depressive symptoms and symptoms of PTSD associated with lower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stronger association of depressive symptoms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compared to symptoms of PTSD</w:t>
            </w:r>
          </w:p>
        </w:tc>
        <w:tc>
          <w:tcPr>
            <w:tcW w:w="992" w:type="dxa"/>
          </w:tcPr>
          <w:p w14:paraId="45A3DFA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4,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4E0D74" w14:paraId="368DCC64" w14:textId="77777777" w:rsidTr="0049492E">
        <w:trPr>
          <w:trHeight w:val="701"/>
        </w:trPr>
        <w:tc>
          <w:tcPr>
            <w:tcW w:w="1129" w:type="dxa"/>
          </w:tcPr>
          <w:p w14:paraId="1615A6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Ahrberg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&lt;EndNote&gt;&lt;Cite&gt;&lt;Author&gt;Ahrberg&lt;/Author&gt;&lt;Year&gt;2014&lt;/Year&gt;&lt;RecNum&gt;320&lt;/RecNum&gt;&lt;DisplayText&gt;(60)&lt;/DisplayText&gt;&lt;record&gt;&lt;rec-number&gt;320&lt;/rec-number&gt;&lt;foreign-keys&gt;&lt;key app="EN" db-id="v9rewpps3zpprdea2vov9059f5sp2efswfxx" timestamp="0"&gt;320&lt;/key&gt;&lt;/foreign-keys&gt;&lt;ref-type name="Journal Article"&gt;17&lt;/ref-type&gt;&lt;contributors&gt;&lt;authors&gt;&lt;author&gt;Ahrberg, Annette B&lt;/author&gt;&lt;author&gt;Leimcke, Benjamin&lt;/author&gt;&lt;author&gt;Tiemann, Andreas H&lt;/author&gt;&lt;author&gt;Josten, Christoph&lt;/author&gt;&lt;author&gt;Fakler, Johannes KM&lt;/author&gt;&lt;/authors&gt;&lt;/contributors&gt;&lt;titles&gt;&lt;title&gt;Missed foot fractures in polytrauma patients: a retrospective cohort study&lt;/title&gt;&lt;secondary-title&gt;Patient safety in surgery&lt;/secondary-title&gt;&lt;/titles&gt;&lt;pages&gt;10&lt;/pages&gt;&lt;volume&gt;8&lt;/volume&gt;&lt;number&gt;1&lt;/number&gt;&lt;dates&gt;&lt;year&gt;2014&lt;/year&gt;&lt;/dates&gt;&lt;isbn&gt;1754-9493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7A6F87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Retrospective monocentric cohort study </w:t>
            </w:r>
          </w:p>
        </w:tc>
        <w:tc>
          <w:tcPr>
            <w:tcW w:w="1276" w:type="dxa"/>
          </w:tcPr>
          <w:p w14:paraId="3B97802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Definition and influence of delayed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foot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fracture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diagnosis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on the overall outcome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</w:t>
            </w:r>
          </w:p>
        </w:tc>
        <w:tc>
          <w:tcPr>
            <w:tcW w:w="1701" w:type="dxa"/>
          </w:tcPr>
          <w:p w14:paraId="3E1BCFC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N=47 (68.1)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39.0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27.0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Early fracture diagnosis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N=26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29.0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Delayed fracture diagnosis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N=21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27.0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C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alcaneus, talus,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metatarsalia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navicular, cuboid,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cuneiformia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phalanges</w:t>
            </w:r>
          </w:p>
        </w:tc>
        <w:tc>
          <w:tcPr>
            <w:tcW w:w="1415" w:type="dxa"/>
          </w:tcPr>
          <w:p w14:paraId="4BFED1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Conservative und surgical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Days ICU stay (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): 6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Early fracture diagnosis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Conservative und surgical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Days ICU stay (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): 8.0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Delayed fracture diagnosis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Conservative und surgical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Days ICU stay (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): 4.0 </w:t>
            </w:r>
          </w:p>
        </w:tc>
        <w:tc>
          <w:tcPr>
            <w:tcW w:w="1134" w:type="dxa"/>
          </w:tcPr>
          <w:p w14:paraId="09C903C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7FA30BC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D09039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4DDB168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3.5–7.75 years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5.67 ± 1.58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68FB7F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questionnaire; NR</w:t>
            </w:r>
          </w:p>
        </w:tc>
        <w:tc>
          <w:tcPr>
            <w:tcW w:w="1843" w:type="dxa"/>
          </w:tcPr>
          <w:p w14:paraId="1368576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No significant differences between the two groups in clinical scores; no significant effects of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delayed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foot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fracture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diagnosis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on the outcome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</w:t>
            </w:r>
          </w:p>
        </w:tc>
        <w:tc>
          <w:tcPr>
            <w:tcW w:w="992" w:type="dxa"/>
          </w:tcPr>
          <w:p w14:paraId="24ED16B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1,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4E0D74" w14:paraId="147CE30A" w14:textId="77777777" w:rsidTr="0049492E">
        <w:trPr>
          <w:trHeight w:val="1449"/>
        </w:trPr>
        <w:tc>
          <w:tcPr>
            <w:tcW w:w="1129" w:type="dxa"/>
          </w:tcPr>
          <w:p w14:paraId="78E6E49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Andruszkow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&lt;EndNote&gt;&lt;Cite&gt;&lt;Author&gt;Andruszkow&lt;/Author&gt;&lt;Year&gt;2013&lt;/Year&gt;&lt;RecNum&gt;321&lt;/RecNum&gt;&lt;DisplayText&gt;(41)&lt;/DisplayText&gt;&lt;record&gt;&lt;rec-number&gt;321&lt;/rec-number&gt;&lt;foreign-keys&gt;&lt;key app="EN" db-id="v9rewpps3zpprdea2vov9059f5sp2efswfxx" timestamp="0"&gt;321&lt;/key&gt;&lt;/foreign-keys&gt;&lt;ref-type name="Journal Article"&gt;17&lt;/ref-type&gt;&lt;contributors&gt;&lt;authors&gt;&lt;author&gt;Andruszkow, Hagen&lt;/author&gt;&lt;author&gt;Probst, Christian&lt;/author&gt;&lt;author&gt;Grün, Orna&lt;/author&gt;&lt;author&gt;Krettek, Christian&lt;/author&gt;&lt;author&gt;Hildebrand, Frank&lt;/author&gt;&lt;/authors&gt;&lt;/contributors&gt;&lt;titles&gt;&lt;title&gt;Does additional head trauma affect the long-term outcome after upper extremity trauma in multiple traumatized patients: is there an additional effect of traumatic brain injury?&lt;/title&gt;&lt;secondary-title&gt;Clin Orthop Relat Res&lt;/secondary-title&gt;&lt;/titles&gt;&lt;pages&gt;2899-2905&lt;/pages&gt;&lt;volume&gt;471&lt;/volume&gt;&lt;number&gt;9&lt;/number&gt;&lt;dates&gt;&lt;year&gt;2013&lt;/year&gt;&lt;/dates&gt;&lt;urls&gt;&lt;/urls&gt;&lt;/record&gt;&lt;/Cite&gt;&lt;/EndNote&gt;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CDCE4B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513E918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Effects of additional upper extremity injuries or traumatic brain injuries (TBI)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on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functional, psychological and vocational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utcome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</w:t>
            </w:r>
          </w:p>
        </w:tc>
        <w:tc>
          <w:tcPr>
            <w:tcW w:w="1701" w:type="dxa"/>
          </w:tcPr>
          <w:p w14:paraId="6860B99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Study population of the Hannover Rehab study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  <w:t>Injury upper extremity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N=229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30.2 ± 11.5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20.2 ± 8.6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Injury upper extremity and 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N=32 (72)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32.0 ± 11.0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32.1 ± 6.4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U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pper extremity with and without TBI, chest, abdomen, spine, lower extremity</w:t>
            </w:r>
          </w:p>
        </w:tc>
        <w:tc>
          <w:tcPr>
            <w:tcW w:w="1415" w:type="dxa"/>
          </w:tcPr>
          <w:p w14:paraId="61BD74E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3C3ABCF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HASPOC,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346F99D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386E4FC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AF6A03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10-28 Years,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17.5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626D368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843" w:type="dxa"/>
          </w:tcPr>
          <w:p w14:paraId="12D2675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Limitations of functional and vocational outcome due to additional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upper extremity injuries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patients; no deterioration of long-term outcome in combined injury of the upper extremity with TBI compared to isolated TBI; no difference in the PCS and MCS of SF-12 in all three groups</w:t>
            </w:r>
          </w:p>
        </w:tc>
        <w:tc>
          <w:tcPr>
            <w:tcW w:w="992" w:type="dxa"/>
          </w:tcPr>
          <w:p w14:paraId="2CD2225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2,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4E0D74" w14:paraId="147DA252" w14:textId="77777777" w:rsidTr="0049492E">
        <w:trPr>
          <w:trHeight w:val="1449"/>
        </w:trPr>
        <w:tc>
          <w:tcPr>
            <w:tcW w:w="1129" w:type="dxa"/>
          </w:tcPr>
          <w:p w14:paraId="161EB24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Archer et al., 2012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&lt;EndNote&gt;&lt;Cite&gt;&lt;Author&gt;Archer&lt;/Author&gt;&lt;Year&gt;2012&lt;/Year&gt;&lt;RecNum&gt;322&lt;/RecNum&gt;&lt;DisplayText&gt;(71)&lt;/DisplayText&gt;&lt;record&gt;&lt;rec-number&gt;322&lt;/rec-number&gt;&lt;foreign-keys&gt;&lt;key app="EN" db-id="v9rewpps3zpprdea2vov9059f5sp2efswfxx" timestamp="0"&gt;322&lt;/key&gt;&lt;/foreign-keys&gt;&lt;ref-type name="Journal Article"&gt;17&lt;/ref-type&gt;&lt;contributors&gt;&lt;authors&gt;&lt;author&gt;Archer, Kristin R&lt;/author&gt;&lt;author&gt;Abraham, Christine M&lt;/author&gt;&lt;author&gt;Song, Yanna&lt;/author&gt;&lt;author&gt;Obremskey, William T&lt;/author&gt;&lt;/authors&gt;&lt;/contributors&gt;&lt;titles&gt;&lt;title&gt;Cognitive-behavioral determinants of pain and disability two years after traumatic injury: A cross-sectional survey study&lt;/title&gt;&lt;secondary-title&gt;J Trauma&lt;/secondary-title&gt;&lt;/titles&gt;&lt;pages&gt;473-479&lt;/pages&gt;&lt;volume&gt;72&lt;/volume&gt;&lt;number&gt;2&lt;/number&gt;&lt;dates&gt;&lt;year&gt;2012&lt;/year&gt;&lt;/dates&gt;&lt;isbn&gt;2163-0755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32AA17C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425DDEF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Connection between fear of movement,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catastrophising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pain, pain and physical health</w:t>
            </w:r>
          </w:p>
        </w:tc>
        <w:tc>
          <w:tcPr>
            <w:tcW w:w="1701" w:type="dxa"/>
          </w:tcPr>
          <w:p w14:paraId="263E94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N=84 (58)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43.1 ± 17.13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30.4 ± 9.5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bdomen, chest extremities, external, head/face, neck spine</w:t>
            </w:r>
          </w:p>
        </w:tc>
        <w:tc>
          <w:tcPr>
            <w:tcW w:w="1415" w:type="dxa"/>
          </w:tcPr>
          <w:p w14:paraId="49CA26C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Days ICU stay (Mean): 9.3 ± 7.7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Ventilator days (Mean): 3.4 ± 6.4</w:t>
            </w:r>
          </w:p>
        </w:tc>
        <w:tc>
          <w:tcPr>
            <w:tcW w:w="1134" w:type="dxa"/>
          </w:tcPr>
          <w:p w14:paraId="6B3E7DB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SF-12 (physical component scale)</w:t>
            </w:r>
          </w:p>
        </w:tc>
        <w:tc>
          <w:tcPr>
            <w:tcW w:w="850" w:type="dxa"/>
          </w:tcPr>
          <w:p w14:paraId="576A35D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09F667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1E2AF7B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 years after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16EE7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 sent by post</w:t>
            </w:r>
          </w:p>
        </w:tc>
        <w:tc>
          <w:tcPr>
            <w:tcW w:w="1843" w:type="dxa"/>
          </w:tcPr>
          <w:p w14:paraId="46C52A6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F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ear of movement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catastrophising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pain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contributes to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poor long-term outcome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</w:t>
            </w:r>
          </w:p>
        </w:tc>
        <w:tc>
          <w:tcPr>
            <w:tcW w:w="992" w:type="dxa"/>
          </w:tcPr>
          <w:p w14:paraId="14F84BB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4E0D74" w14:paraId="2E8F7739" w14:textId="77777777" w:rsidTr="0049492E">
        <w:trPr>
          <w:trHeight w:val="1449"/>
        </w:trPr>
        <w:tc>
          <w:tcPr>
            <w:tcW w:w="1129" w:type="dxa"/>
          </w:tcPr>
          <w:p w14:paraId="32C8DA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Attenberger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Switzerland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&lt;EndNote&gt;&lt;Cite&gt;&lt;Author&gt;Attenberger&lt;/Author&gt;&lt;Year&gt;2012&lt;/Year&gt;&lt;RecNum&gt;73&lt;/RecNum&gt;&lt;DisplayText&gt;(46)&lt;/DisplayText&gt;&lt;record&gt;&lt;rec-number&gt;73&lt;/rec-number&gt;&lt;foreign-keys&gt;&lt;key app="EN" db-id="v9rewpps3zpprdea2vov9059f5sp2efswfxx" timestamp="0"&gt;73&lt;/key&gt;&lt;/foreign-keys&gt;&lt;ref-type name="Journal Article"&gt;17&lt;/ref-type&gt;&lt;contributors&gt;&lt;authors&gt;&lt;author&gt;Attenberger, C.&lt;/author&gt;&lt;author&gt;Amsler, F.&lt;/author&gt;&lt;author&gt;Gross, T.&lt;/author&gt;&lt;/authors&gt;&lt;/contributors&gt;&lt;titles&gt;&lt;title&gt;Clinical evaluation of the Trauma Outcome Profile (TOP) in the longer-term follow-up of polytrauma patients&lt;/title&gt;&lt;secondary-title&gt;Injury&lt;/secondary-title&gt;&lt;/titles&gt;&lt;pages&gt;1566-74&lt;/pages&gt;&lt;volume&gt;43&lt;/volume&gt;&lt;number&gt;9&lt;/number&gt;&lt;dates&gt;&lt;year&gt;2012&lt;/year&gt;&lt;pub-dates&gt;&lt;date&gt;2012-01-01&lt;/date&gt;&lt;/pub-dates&gt;&lt;/dates&gt;&lt;isbn&gt;0020-1383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E6FD7F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03BC24A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Testing TOP module in the acquisition of long-term results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patients; validation by testing the association with selected variables and test results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(criterion validity) and comparison of the results with internationally recognised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instruments (convergent validity); testing screening procedure of the TOP </w:t>
            </w:r>
          </w:p>
        </w:tc>
        <w:tc>
          <w:tcPr>
            <w:tcW w:w="1701" w:type="dxa"/>
          </w:tcPr>
          <w:p w14:paraId="63D7B87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N=117 (75,2)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13-92, Mean 39.6 ± 20.5,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35.4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17-45, 27.5 ± 8.2,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27.0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0-5, Mean 0.5 ± 0.58-2.7 ±1.48,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0.0-3.0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nter alia brain injury</w:t>
            </w:r>
          </w:p>
        </w:tc>
        <w:tc>
          <w:tcPr>
            <w:tcW w:w="1415" w:type="dxa"/>
          </w:tcPr>
          <w:p w14:paraId="65CBBEB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5460290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EQ-5D,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SF-36,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ALOS,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NHP,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TOP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001585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  <w:r w:rsidRPr="00AD5332">
              <w:rPr>
                <w:rFonts w:ascii="Times New Roman" w:hAnsi="Times New Roman"/>
                <w:sz w:val="16"/>
                <w:szCs w:val="16"/>
                <w:lang w:val="en-GB"/>
              </w:rPr>
              <w:t>dimensions ‘pain’ and ‘function’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00158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also pre-injury)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0812D46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56A30C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trike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trike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5DD39B2" w14:textId="77777777" w:rsidR="00486EB3" w:rsidRPr="00592C33" w:rsidRDefault="00486EB3" w:rsidP="0049492E">
            <w:pPr>
              <w:tabs>
                <w:tab w:val="left" w:pos="505"/>
              </w:tabs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2.7 ± 0.9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2FB5CD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3025BBF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TOP indicated high rate of relevant problems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people; TOP is a reliable and well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discriminating instrument for recording relevant general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trauma-specific aspects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 which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showed high correlation with other generic outcome measures</w:t>
            </w:r>
          </w:p>
        </w:tc>
        <w:tc>
          <w:tcPr>
            <w:tcW w:w="992" w:type="dxa"/>
          </w:tcPr>
          <w:p w14:paraId="32A9939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4E0D74" w14:paraId="7A7C6C44" w14:textId="77777777" w:rsidTr="0049492E">
        <w:trPr>
          <w:trHeight w:val="1449"/>
        </w:trPr>
        <w:tc>
          <w:tcPr>
            <w:tcW w:w="1129" w:type="dxa"/>
          </w:tcPr>
          <w:p w14:paraId="50DD931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Baranyi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Austria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&lt;EndNote&gt;&lt;Cite&gt;&lt;Author&gt;Baranyi&lt;/Author&gt;&lt;Year&gt;2010&lt;/Year&gt;&lt;RecNum&gt;74&lt;/RecNum&gt;&lt;DisplayText&gt;(61)&lt;/DisplayText&gt;&lt;record&gt;&lt;rec-number&gt;74&lt;/rec-number&gt;&lt;foreign-keys&gt;&lt;key app="EN" db-id="v9rewpps3zpprdea2vov9059f5sp2efswfxx" timestamp="0"&gt;74&lt;/key&gt;&lt;/foreign-keys&gt;&lt;ref-type name="Journal Article"&gt;17&lt;/ref-type&gt;&lt;contributors&gt;&lt;authors&gt;&lt;author&gt;Baranyi, Andreas&lt;/author&gt;&lt;author&gt;Leithgob, Otmar&lt;/author&gt;&lt;author&gt;Kreiner, Barbara&lt;/author&gt;&lt;author&gt;Tanzer, Karin&lt;/author&gt;&lt;author&gt;Ehrlich, Georg&lt;/author&gt;&lt;author&gt;Hofer, Herwig Peter&lt;/author&gt;&lt;author&gt;Rothenhausler, Hans-Bernd&lt;/author&gt;&lt;/authors&gt;&lt;/contributors&gt;&lt;titles&gt;&lt;title&gt;Relationship between posttraumatic stress disorder, quality of life, social support, and affective and dissociative status in severely injured accident victims 12 months after trauma&lt;/title&gt;&lt;secondary-title&gt;Psychosomatics&lt;/secondary-title&gt;&lt;/titles&gt;&lt;pages&gt;237-247&lt;/pages&gt;&lt;volume&gt;51&lt;/volume&gt;&lt;number&gt;3&lt;/number&gt;&lt;dates&gt;&lt;year&gt;2010&lt;/year&gt;&lt;pub-dates&gt;&lt;date&gt;2010-01-01&lt;/date&gt;&lt;/pub-dates&gt;&lt;/dates&gt;&lt;isbn&gt;0033-3182, Print 1545-7206, Electronic&lt;/isbn&gt;&lt;urls&gt;&lt;/urls&gt;&lt;custom1&gt;RAYYAN-INCLUSION: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F6164F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366C83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Occurrence of full or partial symptoms of PTSD including psycho-pathologically relevant dimensions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polytraumatised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patients; relation of PTSD symptoms with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social support, depressive mood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dissociative symptoms</w:t>
            </w:r>
          </w:p>
        </w:tc>
        <w:tc>
          <w:tcPr>
            <w:tcW w:w="1701" w:type="dxa"/>
          </w:tcPr>
          <w:p w14:paraId="7C0EB7A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N=52 (73.1)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37.6 ± 14.2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33.1 ± 12.61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nter alia head</w:t>
            </w:r>
          </w:p>
        </w:tc>
        <w:tc>
          <w:tcPr>
            <w:tcW w:w="1415" w:type="dxa"/>
          </w:tcPr>
          <w:p w14:paraId="5BA93CB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068C173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SF-36 </w:t>
            </w:r>
          </w:p>
        </w:tc>
        <w:tc>
          <w:tcPr>
            <w:tcW w:w="850" w:type="dxa"/>
          </w:tcPr>
          <w:p w14:paraId="4763A3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476C08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AC5893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 year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372E9C7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questionnaire; outpatient clinic</w:t>
            </w:r>
          </w:p>
        </w:tc>
        <w:tc>
          <w:tcPr>
            <w:tcW w:w="1843" w:type="dxa"/>
          </w:tcPr>
          <w:p w14:paraId="12362B3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High risk for PTSD and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people with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lowest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with full PTSD, followed by patients with partial symptoms and without PTSD; severe dissociative and depressive symptoms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;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greater limitations in some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dimensions</w:t>
            </w:r>
          </w:p>
        </w:tc>
        <w:tc>
          <w:tcPr>
            <w:tcW w:w="992" w:type="dxa"/>
          </w:tcPr>
          <w:p w14:paraId="4324EB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7, p: 3, m:/ 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4637854F" w14:textId="77777777" w:rsidTr="0049492E">
        <w:trPr>
          <w:trHeight w:val="1449"/>
        </w:trPr>
        <w:tc>
          <w:tcPr>
            <w:tcW w:w="1129" w:type="dxa"/>
          </w:tcPr>
          <w:p w14:paraId="1252663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Bouman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2017 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&lt;EndNote&gt;&lt;Cite&gt;&lt;Author&gt;Bouman&lt;/Author&gt;&lt;Year&gt;2017&lt;/Year&gt;&lt;RecNum&gt;400&lt;/RecNum&gt;&lt;DisplayText&gt;(37)&lt;/DisplayText&gt;&lt;record&gt;&lt;rec-number&gt;400&lt;/rec-number&gt;&lt;foreign-keys&gt;&lt;key app="EN" db-id="v9rewpps3zpprdea2vov9059f5sp2efswfxx" timestamp="0"&gt;400&lt;/key&gt;&lt;/foreign-keys&gt;&lt;ref-type name="Journal Article"&gt;17&lt;/ref-type&gt;&lt;contributors&gt;&lt;authors&gt;&lt;author&gt;Bouman, AIE&lt;/author&gt;&lt;author&gt;Hemmen, B&lt;/author&gt;&lt;author&gt;Evers, SMAA&lt;/author&gt;&lt;author&gt;van de Meent, H&lt;/author&gt;&lt;author&gt;Ambergen, T&lt;/author&gt;&lt;author&gt;Vos, PE&lt;/author&gt;&lt;author&gt;Brink, PRG&lt;/author&gt;&lt;author&gt;Seelen, HAM&lt;/author&gt;&lt;/authors&gt;&lt;/contributors&gt;&lt;titles&gt;&lt;title&gt;Effects of an Integrated &amp;apos;Fast Track&amp;apos; Rehabilitation Service for Multi-Trauma Patients: A Non-Randomized Clinical Trial in the Netherlands  &lt;/title&gt;&lt;secondary-title&gt;PLOS One&lt;/secondary-title&gt;&lt;/titles&gt;&lt;pages&gt;e0170047&lt;/pages&gt;&lt;volume&gt;12&lt;/volume&gt;&lt;number&gt;1&lt;/number&gt;&lt;dates&gt;&lt;year&gt;2017&lt;/year&gt;&lt;/dates&gt;&lt;urls&gt;&lt;/urls&gt;&lt;/record&gt;&lt;/Cite&gt;&lt;/EndNote&gt;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(37)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E28FD9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Prospective, multi-cent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non-randomised controlled study</w:t>
            </w:r>
          </w:p>
        </w:tc>
        <w:tc>
          <w:tcPr>
            <w:tcW w:w="1276" w:type="dxa"/>
          </w:tcPr>
          <w:p w14:paraId="0596468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Effectiveness of the Fast Track (FT) rehabilitation program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me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other health-related outcomes in comparison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with conventional trauma rehabilitation service</w:t>
            </w:r>
          </w:p>
        </w:tc>
        <w:tc>
          <w:tcPr>
            <w:tcW w:w="1701" w:type="dxa"/>
          </w:tcPr>
          <w:p w14:paraId="711B8E0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lastRenderedPageBreak/>
              <w:t>FT Group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N=65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18-75, Mean 44.7 ± 16.7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4-66, Mean 22.1 ± 12.8,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(IQR) 19.5 (± 12-29)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Non-FT group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N=67 (84)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18-73, Mean 42.0 ± 16.6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4-50, Mean 29.4 ± 11.2,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(IQR) 29 (± 21-38)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elvic fracture, musculoskeletal injuries, neuro-trauma/head injuries</w:t>
            </w:r>
          </w:p>
        </w:tc>
        <w:tc>
          <w:tcPr>
            <w:tcW w:w="1415" w:type="dxa"/>
          </w:tcPr>
          <w:p w14:paraId="4924106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NR</w:t>
            </w:r>
          </w:p>
        </w:tc>
        <w:tc>
          <w:tcPr>
            <w:tcW w:w="1134" w:type="dxa"/>
          </w:tcPr>
          <w:p w14:paraId="079667C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SF-36* (*Baseline (pre-injury status)</w:t>
            </w:r>
          </w:p>
        </w:tc>
        <w:tc>
          <w:tcPr>
            <w:tcW w:w="850" w:type="dxa"/>
          </w:tcPr>
          <w:p w14:paraId="301843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DD3991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9A59E6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Baseline, 3, 6, 9, 12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&amp;</w:t>
            </w:r>
          </w:p>
        </w:tc>
        <w:tc>
          <w:tcPr>
            <w:tcW w:w="1276" w:type="dxa"/>
          </w:tcPr>
          <w:p w14:paraId="51BA264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Individual interviews, telephone interviews,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postal survey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NR</w:t>
            </w:r>
          </w:p>
        </w:tc>
        <w:tc>
          <w:tcPr>
            <w:tcW w:w="1843" w:type="dxa"/>
          </w:tcPr>
          <w:p w14:paraId="6D5BB50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Both groups improved their functional status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FT group showed faster functional recovery at six months compared to nine month of Non-FT group; no different effects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observable in both groups at 12 month</w:t>
            </w:r>
            <w:r w:rsidRPr="00001585">
              <w:rPr>
                <w:rFonts w:ascii="Times New Roman" w:hAnsi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992" w:type="dxa"/>
          </w:tcPr>
          <w:p w14:paraId="723DC18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9,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3, NA: /,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6,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757A29C9" w14:textId="77777777" w:rsidTr="0049492E">
        <w:trPr>
          <w:trHeight w:val="1449"/>
        </w:trPr>
        <w:tc>
          <w:tcPr>
            <w:tcW w:w="1129" w:type="dxa"/>
          </w:tcPr>
          <w:p w14:paraId="5B01F30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Burghofer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2005 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&lt;EndNote&gt;&lt;Cite&gt;&lt;Author&gt;Burghofer&lt;/Author&gt;&lt;Year&gt;2005&lt;/Year&gt;&lt;RecNum&gt;348&lt;/RecNum&gt;&lt;DisplayText&gt;(62)&lt;/DisplayText&gt;&lt;record&gt;&lt;rec-number&gt;348&lt;/rec-number&gt;&lt;foreign-keys&gt;&lt;key app="EN" db-id="v9rewpps3zpprdea2vov9059f5sp2efswfxx" timestamp="0"&gt;348&lt;/key&gt;&lt;/foreign-keys&gt;&lt;ref-type name="Journal Article"&gt;17&lt;/ref-type&gt;&lt;contributors&gt;&lt;authors&gt;&lt;author&gt;Burghofer, K.&lt;/author&gt;&lt;author&gt;Lackner, C. K.&lt;/author&gt;&lt;author&gt;Stolpe, E.&lt;/author&gt;&lt;author&gt;Schlechtriemen, T.&lt;/author&gt;&lt;author&gt;Mutschler, W. E.&lt;/author&gt;&lt;/authors&gt;&lt;/contributors&gt;&lt;titles&gt;&lt;title&gt;Lebensqualität 5 Jahre nach schwerem stumpfem Trauma&lt;/title&gt;&lt;secondary-title&gt;Notfall + Rettungsmedizin&lt;/secondary-title&gt;&lt;/titles&gt;&lt;pages&gt;552-563&lt;/pages&gt;&lt;volume&gt;8&lt;/volume&gt;&lt;number&gt;8&lt;/number&gt;&lt;dates&gt;&lt;year&gt;2005&lt;/year&gt;&lt;pub-dates&gt;&lt;date&gt;December 01&lt;/date&gt;&lt;/pub-dates&gt;&lt;/dates&gt;&lt;isbn&gt;1436-0578&lt;/isbn&gt;&lt;label&gt;Burghofer2005&lt;/label&gt;&lt;work-type&gt;journal article&lt;/work-type&gt;&lt;urls&gt;&lt;related-urls&gt;&lt;url&gt;http://dx.doi.org/10.1007/s10049-005-0781-z&lt;/url&gt;&lt;/related-urls&gt;&lt;/urls&gt;&lt;electronic-resource-num&gt;10.1007/s10049-005-0781-z&lt;/electronic-resource-num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4D435E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Prospective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cohort study</w:t>
            </w:r>
          </w:p>
        </w:tc>
        <w:tc>
          <w:tcPr>
            <w:tcW w:w="1276" w:type="dxa"/>
          </w:tcPr>
          <w:p w14:paraId="0C24657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Outcome 5 years after major blunt trauma</w:t>
            </w:r>
          </w:p>
        </w:tc>
        <w:tc>
          <w:tcPr>
            <w:tcW w:w="1701" w:type="dxa"/>
          </w:tcPr>
          <w:p w14:paraId="6B544C0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N=273 (70.3)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Mean 37.5,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34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16-25: 29.3%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26-50: 63.0%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51-75: 7.7%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evere blunt trauma </w:t>
            </w:r>
          </w:p>
        </w:tc>
        <w:tc>
          <w:tcPr>
            <w:tcW w:w="1415" w:type="dxa"/>
          </w:tcPr>
          <w:p w14:paraId="1BF5C0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3DEC6FF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328FC0B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FE083C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32CEAB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5 years after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1D367FB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or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case of cognitive impairment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administered by relatives; NR</w:t>
            </w:r>
          </w:p>
        </w:tc>
        <w:tc>
          <w:tcPr>
            <w:tcW w:w="1843" w:type="dxa"/>
          </w:tcPr>
          <w:p w14:paraId="4ECEAA0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Significant differences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between the trauma cohort and a reference population; relevant decrease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with initial unconsciousness and in severely injured patients; high proportion of patients with persisting pain (headache and lower limb pain); 61.7% were back in occupation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43.5%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of these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the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former profession</w:t>
            </w:r>
          </w:p>
        </w:tc>
        <w:tc>
          <w:tcPr>
            <w:tcW w:w="992" w:type="dxa"/>
          </w:tcPr>
          <w:p w14:paraId="695ED0B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8, p: 2,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1A6324AA" w14:textId="77777777" w:rsidTr="0049492E">
        <w:trPr>
          <w:trHeight w:val="1449"/>
        </w:trPr>
        <w:tc>
          <w:tcPr>
            <w:tcW w:w="1129" w:type="dxa"/>
          </w:tcPr>
          <w:p w14:paraId="6AA2096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Christensen et al., 2011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26 countries in Europe, Asia, Australia, Africa, North- and South- America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&lt;EndNote&gt;&lt;Cite&gt;&lt;Author&gt;Christensen&lt;/Author&gt;&lt;Year&gt;2011&lt;/Year&gt;&lt;RecNum&gt;75&lt;/RecNum&gt;&lt;DisplayText&gt;(76)&lt;/DisplayText&gt;&lt;record&gt;&lt;rec-number&gt;75&lt;/rec-number&gt;&lt;foreign-keys&gt;&lt;key app="EN" db-id="v9rewpps3zpprdea2vov9059f5sp2efswfxx" timestamp="0"&gt;75&lt;/key&gt;&lt;/foreign-keys&gt;&lt;ref-type name="Journal Article"&gt;17&lt;/ref-type&gt;&lt;contributors&gt;&lt;authors&gt;&lt;author&gt;Christensen, M. C.&lt;/author&gt;&lt;author&gt;Banner, C.&lt;/author&gt;&lt;author&gt;Lefering, R.&lt;/author&gt;&lt;author&gt;Vallejo-Torres, L.&lt;/author&gt;&lt;author&gt;Morris, S.&lt;/author&gt;&lt;/authors&gt;&lt;/contributors&gt;&lt;titles&gt;&lt;title&gt;Quality of life after severe trauma: Results from the global trauma trial with recombinant factor VII&lt;/title&gt;&lt;secondary-title&gt;J Trauma&lt;/secondary-title&gt;&lt;/titles&gt;&lt;pages&gt;1524-1531&lt;/pages&gt;&lt;volume&gt;70&lt;/volume&gt;&lt;number&gt;6&lt;/number&gt;&lt;dates&gt;&lt;year&gt;2011&lt;/year&gt;&lt;pub-dates&gt;&lt;date&gt;2011-01-01&lt;/date&gt;&lt;/pub-dates&gt;&lt;/dates&gt;&lt;isbn&gt;1079-6061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54F277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Prospective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randomised placebo-controlled study</w:t>
            </w:r>
          </w:p>
        </w:tc>
        <w:tc>
          <w:tcPr>
            <w:tcW w:w="1276" w:type="dxa"/>
          </w:tcPr>
          <w:p w14:paraId="28A97D1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Identification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dimensions most affected by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predictors of poor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1701" w:type="dxa"/>
          </w:tcPr>
          <w:p w14:paraId="093076B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N=347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39 ± 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31 ± 11,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4+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bdomen, chest, external, extremity, face, head or neck</w:t>
            </w:r>
          </w:p>
        </w:tc>
        <w:tc>
          <w:tcPr>
            <w:tcW w:w="1415" w:type="dxa"/>
          </w:tcPr>
          <w:p w14:paraId="2346BCB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ICU stay (duration NR)</w:t>
            </w:r>
          </w:p>
        </w:tc>
        <w:tc>
          <w:tcPr>
            <w:tcW w:w="1134" w:type="dxa"/>
          </w:tcPr>
          <w:p w14:paraId="6BC1C25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Chart</w:t>
            </w:r>
          </w:p>
        </w:tc>
        <w:tc>
          <w:tcPr>
            <w:tcW w:w="850" w:type="dxa"/>
          </w:tcPr>
          <w:p w14:paraId="03488C7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1141B8E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160341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3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2BA441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questionnaire; NR</w:t>
            </w:r>
          </w:p>
        </w:tc>
        <w:tc>
          <w:tcPr>
            <w:tcW w:w="1843" w:type="dxa"/>
          </w:tcPr>
          <w:p w14:paraId="3ED3375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Notable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survivors; physical wellbeing more affected than mental; greater mental impairment detectable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by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trauma-specific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instruments than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generic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tools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demographic and socio-economic characteristics as well as type of injury and treatment pred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ict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992" w:type="dxa"/>
          </w:tcPr>
          <w:p w14:paraId="47FEF0A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10,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6B32CD2B" w14:textId="77777777" w:rsidTr="0049492E">
        <w:trPr>
          <w:trHeight w:val="1449"/>
        </w:trPr>
        <w:tc>
          <w:tcPr>
            <w:tcW w:w="1129" w:type="dxa"/>
          </w:tcPr>
          <w:p w14:paraId="68825A1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Dienstknecht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Germany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&lt;EndNote&gt;&lt;Cite&gt;&lt;Author&gt;Dienstknecht&lt;/Author&gt;&lt;Year&gt;2013&lt;/Year&gt;&lt;RecNum&gt;76&lt;/RecNum&gt;&lt;DisplayText&gt;(42)&lt;/DisplayText&gt;&lt;record&gt;&lt;rec-number&gt;76&lt;/rec-number&gt;&lt;foreign-keys&gt;&lt;key app="EN" db-id="v9rewpps3zpprdea2vov9059f5sp2efswfxx" timestamp="0"&gt;76&lt;/key&gt;&lt;/foreign-keys&gt;&lt;ref-type name="Journal Article"&gt;17&lt;/ref-type&gt;&lt;contributors&gt;&lt;authors&gt;&lt;author&gt;Dienstknecht, T.&lt;/author&gt;&lt;author&gt;Pfeifer, R.&lt;/author&gt;&lt;author&gt;Horst, K.&lt;/author&gt;&lt;author&gt;Sellei, R. M.&lt;/author&gt;&lt;author&gt;Berner, A.&lt;/author&gt;&lt;author&gt;Zelle, B. A.&lt;/author&gt;&lt;author&gt;Probst, C.&lt;/author&gt;&lt;author&gt;Pape, H. C.&lt;/author&gt;&lt;/authors&gt;&lt;/contributors&gt;&lt;titles&gt;&lt;title&gt;The long-term clinical outcome after pelvic ring injuries&lt;/title&gt;&lt;secondary-title&gt;Bone Joint J&lt;/secondary-title&gt;&lt;/titles&gt;&lt;pages&gt;548-553&lt;/pages&gt;&lt;volume&gt;95&lt;/volume&gt;&lt;number&gt;4&lt;/number&gt;&lt;dates&gt;&lt;year&gt;2013&lt;/year&gt;&lt;pub-dates&gt;&lt;date&gt;2013-01-01&lt;/date&gt;&lt;/pub-dates&gt;&lt;/dates&gt;&lt;isbn&gt;2049-4408 (electronic)&lt;/isbn&gt;&lt;urls&gt;&lt;related-urls&gt;&lt;url&gt;http://www.bjj.boneandjoint.org.uk/content/95-B/4/548.full.pdf+html&lt;/url&gt;&lt;/related-urls&gt;&lt;/urls&gt;&lt;language&gt;English&lt;/language&gt;&lt;/record&gt;&lt;/Cite&gt;&lt;/EndNote&gt;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BC7C18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695864A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Functional and socio-economic long-term results in patients with pelvic ring fractures</w:t>
            </w:r>
          </w:p>
        </w:tc>
        <w:tc>
          <w:tcPr>
            <w:tcW w:w="1701" w:type="dxa"/>
          </w:tcPr>
          <w:p w14:paraId="7F1B652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 population of the Hannover Rehab study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N=109 (72)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5-55, Mean 28.8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16-44, Mean 22.7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nterior, posterior and combined pelvic ring injuries, upper and lower limb fracture, thoracic injury, abdominal injury, spine fracture, neurological lesion of lower limb</w:t>
            </w:r>
          </w:p>
        </w:tc>
        <w:tc>
          <w:tcPr>
            <w:tcW w:w="1415" w:type="dxa"/>
          </w:tcPr>
          <w:p w14:paraId="5904E30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Conservative und surgical</w:t>
            </w:r>
          </w:p>
        </w:tc>
        <w:tc>
          <w:tcPr>
            <w:tcW w:w="1134" w:type="dxa"/>
          </w:tcPr>
          <w:p w14:paraId="2B87986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HASPOC,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0BEDAA9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37B6252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1BCB2F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10-27 years post trauma,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16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F29BCF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as well as assessment via physician; examination in the trauma cent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</w:t>
            </w:r>
          </w:p>
        </w:tc>
        <w:tc>
          <w:tcPr>
            <w:tcW w:w="1843" w:type="dxa"/>
          </w:tcPr>
          <w:p w14:paraId="1F431B6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functional limitations and socio-economic effects of pelvic ring fractures;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with anterior and combined anterior and posterior pelvic ring injuries</w:t>
            </w:r>
          </w:p>
        </w:tc>
        <w:tc>
          <w:tcPr>
            <w:tcW w:w="992" w:type="dxa"/>
          </w:tcPr>
          <w:p w14:paraId="6C7F502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7C85195" w14:textId="77777777" w:rsidTr="0049492E">
        <w:trPr>
          <w:trHeight w:val="1449"/>
        </w:trPr>
        <w:tc>
          <w:tcPr>
            <w:tcW w:w="1129" w:type="dxa"/>
          </w:tcPr>
          <w:p w14:paraId="16F5E52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Frénisy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France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PEVuZE5vdGU+PENpdGU+PEF1dGhvcj5GcsOpbmlzeTwvQXV0aG9yPjxZZWFyPjIwMDY8L1llYXI+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PEVuZE5vdGU+PENpdGU+PEF1dGhvcj5GcsOpbmlzeTwvQXV0aG9yPjxZZWFyPjIwMDY8L1llYXI+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(81)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263FC3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00D023B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Comparison of neuro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softHyphen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behavioral and psycho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softHyphen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pathological disorders between patients with severe brain injuries (SBI) and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(MULT)</w:t>
            </w:r>
          </w:p>
        </w:tc>
        <w:tc>
          <w:tcPr>
            <w:tcW w:w="1701" w:type="dxa"/>
          </w:tcPr>
          <w:p w14:paraId="4BF7445A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eastAsiaTheme="minorHAnsi" w:hAnsi="Times New Roman"/>
                <w:sz w:val="16"/>
                <w:szCs w:val="16"/>
                <w:u w:val="single"/>
                <w:lang w:val="en-GB"/>
              </w:rPr>
              <w:t>SBI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N=25 (80)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 xml:space="preserve">Age: Mean 26.97 ± 9.58 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ISS: Mean 25.36 ± 10.80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Injury: Brain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u w:val="single"/>
                <w:lang w:val="en-GB"/>
              </w:rPr>
              <w:br/>
            </w:r>
            <w:proofErr w:type="spellStart"/>
            <w:r w:rsidRPr="00592C33">
              <w:rPr>
                <w:rFonts w:ascii="Times New Roman" w:eastAsiaTheme="minorHAnsi" w:hAnsi="Times New Roman"/>
                <w:sz w:val="16"/>
                <w:szCs w:val="16"/>
                <w:u w:val="single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N=25 (72)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 xml:space="preserve">Age: Mean 33.78 ± 10.42 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ISS: Mean 22.04 ± 10.06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t>B</w:t>
            </w: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t>one fractures, thorax, abdomen</w:t>
            </w:r>
          </w:p>
        </w:tc>
        <w:tc>
          <w:tcPr>
            <w:tcW w:w="1415" w:type="dxa"/>
          </w:tcPr>
          <w:p w14:paraId="680609D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4AB5281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22CF0AA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7BD7EFB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61464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6-24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SBI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1.02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± 0.39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MULT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0.93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± 0.41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756AF3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Face to face interview; NR</w:t>
            </w:r>
          </w:p>
        </w:tc>
        <w:tc>
          <w:tcPr>
            <w:tcW w:w="1843" w:type="dxa"/>
          </w:tcPr>
          <w:p w14:paraId="538C7AC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Similar psychopathological disorders in both groups; SBI-patients show significantly more neurobehavioral disorders and more obsessive symptoms; presence of cognitive disorders in MULT-patients</w:t>
            </w:r>
          </w:p>
        </w:tc>
        <w:tc>
          <w:tcPr>
            <w:tcW w:w="992" w:type="dxa"/>
          </w:tcPr>
          <w:p w14:paraId="4F4F7F02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8,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0B6CE215" w14:textId="77777777" w:rsidTr="0049492E">
        <w:trPr>
          <w:trHeight w:val="1449"/>
        </w:trPr>
        <w:tc>
          <w:tcPr>
            <w:tcW w:w="1129" w:type="dxa"/>
          </w:tcPr>
          <w:p w14:paraId="1AEEA38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Gribnau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&lt;EndNote&gt;&lt;Cite&gt;&lt;Author&gt;Gribnau&lt;/Author&gt;&lt;Year&gt;2009&lt;/Year&gt;&lt;RecNum&gt;77&lt;/RecNum&gt;&lt;DisplayText&gt;(33)&lt;/DisplayText&gt;&lt;record&gt;&lt;rec-number&gt;77&lt;/rec-number&gt;&lt;foreign-keys&gt;&lt;key app="EN" db-id="v9rewpps3zpprdea2vov9059f5sp2efswfxx" timestamp="0"&gt;77&lt;/key&gt;&lt;/foreign-keys&gt;&lt;ref-type name="Journal Article"&gt;17&lt;/ref-type&gt;&lt;contributors&gt;&lt;authors&gt;&lt;author&gt;Gribnau, A. J. G.&lt;/author&gt;&lt;author&gt;van Hensbroek, P. B. &lt;/author&gt;&lt;author&gt;Haverlag, R.&lt;/author&gt;&lt;author&gt;Ponsen, K. J.&lt;/author&gt;&lt;author&gt;Been, H. D.&lt;/author&gt;&lt;author&gt;Goslings, J. C.&lt;/author&gt;&lt;/authors&gt;&lt;/contributors&gt;&lt;titles&gt;&lt;title&gt;U-shaped sacral fractures: Surgical treatment and quality of life&lt;/title&gt;&lt;secondary-title&gt;Injury&lt;/secondary-title&gt;&lt;/titles&gt;&lt;pages&gt;1040-1048&lt;/pages&gt;&lt;volume&gt;40&lt;/volume&gt;&lt;number&gt;10&lt;/number&gt;&lt;dates&gt;&lt;year&gt;2009&lt;/year&gt;&lt;pub-dates&gt;&lt;date&gt;2009-01-01&lt;/date&gt;&lt;/pub-dates&gt;&lt;/dates&gt;&lt;isbn&gt;0020-1383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(33)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0039F0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35F8792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Injury characteristics, choice of treatment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 people with U-shaped sacral fractures</w:t>
            </w:r>
          </w:p>
        </w:tc>
        <w:tc>
          <w:tcPr>
            <w:tcW w:w="1701" w:type="dxa"/>
          </w:tcPr>
          <w:p w14:paraId="184BB990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 (37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19-55,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17-45,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kull fracture, subdural hematoma, facial fracture, thoracic injury (multiple rib fractures, pneumothorax,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haemopneumothorax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sternal fracture, lung contusion), retroperitoneal haematoma, liver laceration</w:t>
            </w:r>
          </w:p>
        </w:tc>
        <w:tc>
          <w:tcPr>
            <w:tcW w:w="1415" w:type="dxa"/>
          </w:tcPr>
          <w:p w14:paraId="2C1A833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</w:t>
            </w:r>
          </w:p>
        </w:tc>
        <w:tc>
          <w:tcPr>
            <w:tcW w:w="1134" w:type="dxa"/>
          </w:tcPr>
          <w:p w14:paraId="102957F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EQ-6D</w:t>
            </w:r>
          </w:p>
        </w:tc>
        <w:tc>
          <w:tcPr>
            <w:tcW w:w="850" w:type="dxa"/>
          </w:tcPr>
          <w:p w14:paraId="1D1F3C1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2506CF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271CF5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5-65 months post trauma,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36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32C4DF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5B7E54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Pain, mood disorders and moderate mobility problems dominate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</w:p>
        </w:tc>
        <w:tc>
          <w:tcPr>
            <w:tcW w:w="992" w:type="dxa"/>
          </w:tcPr>
          <w:p w14:paraId="1AE2D75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2, p: 1,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7,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CDE1920" w14:textId="77777777" w:rsidTr="0049492E">
        <w:trPr>
          <w:trHeight w:val="1449"/>
        </w:trPr>
        <w:tc>
          <w:tcPr>
            <w:tcW w:w="1129" w:type="dxa"/>
          </w:tcPr>
          <w:p w14:paraId="6B29E43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Gross et al., 2010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Switzerland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&lt;EndNote&gt;&lt;Cite&gt;&lt;Author&gt;Gross&lt;/Author&gt;&lt;Year&gt;2010&lt;/Year&gt;&lt;RecNum&gt;79&lt;/RecNum&gt;&lt;DisplayText&gt;(47)&lt;/DisplayText&gt;&lt;record&gt;&lt;rec-number&gt;79&lt;/rec-number&gt;&lt;foreign-keys&gt;&lt;key app="EN" db-id="v9rewpps3zpprdea2vov9059f5sp2efswfxx" timestamp="0"&gt;79&lt;/key&gt;&lt;/foreign-keys&gt;&lt;ref-type name="Journal Article"&gt;17&lt;/ref-type&gt;&lt;contributors&gt;&lt;authors&gt;&lt;author&gt;Gross, T.&lt;/author&gt;&lt;author&gt;Attenberger, C.&lt;/author&gt;&lt;author&gt;Huegli, R. W.&lt;/author&gt;&lt;author&gt;Amsler, F.&lt;/author&gt;&lt;/authors&gt;&lt;/contributors&gt;&lt;titles&gt;&lt;title&gt;Factors associated with reduced longer-term capacity to work in patients after polytrauma: A Swiss trauma center experience&lt;/title&gt;&lt;secondary-title&gt;J Am Coll Surg&lt;/secondary-title&gt;&lt;/titles&gt;&lt;pages&gt;81-91&lt;/pages&gt;&lt;volume&gt;211&lt;/volume&gt;&lt;number&gt;1&lt;/number&gt;&lt;dates&gt;&lt;year&gt;2010&lt;/year&gt;&lt;pub-dates&gt;&lt;date&gt;2010-01-01&lt;/date&gt;&lt;/pub-dates&gt;&lt;/dates&gt;&lt;isbn&gt;1072-7515 (Print) 1072-7515&lt;/isbn&gt;&lt;urls&gt;&lt;/urls&gt;&lt;custom1&gt;RAYYAN-INCLUSION: {&amp;quot;Irmela &amp;quot;=&amp;gt;true, &amp;quot;herrmann-frank&amp;quot;=&amp;gt;true}&lt;/custom1&gt;&lt;language&gt;eng&lt;/language&gt;&lt;/record&gt;&lt;/Cite&gt;&lt;/EndNote&gt;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1241E3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21A80BE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work ability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association of capacity to work with internationally accepted variables of functional outcomes 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</w:p>
        </w:tc>
        <w:tc>
          <w:tcPr>
            <w:tcW w:w="1701" w:type="dxa"/>
          </w:tcPr>
          <w:p w14:paraId="46DD9AA6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N=115 (76)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14-92, Mean 39.5 ± 20.6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27.5 ± 8.2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Mean 2.6 ± 1.5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Reduced capacity to work 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N=61 (79)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39.4 ± 20.2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30.2 ± 7.7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0.5 ± 0.6-3.1 ± 1.5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Non-reduced capacity to work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N=54 (72)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39.6 ± 21.2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24.3 ± 7.7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0.5 ± 0.5-2.6 ± 1.6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3E82A43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8.4 ± 12.5</w:t>
            </w:r>
          </w:p>
        </w:tc>
        <w:tc>
          <w:tcPr>
            <w:tcW w:w="1134" w:type="dxa"/>
          </w:tcPr>
          <w:p w14:paraId="34E226D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EQ-5D*,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SF-36*,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NHP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(*Baseline (pre-injury status) assessed in hospital)</w:t>
            </w:r>
          </w:p>
        </w:tc>
        <w:tc>
          <w:tcPr>
            <w:tcW w:w="850" w:type="dxa"/>
          </w:tcPr>
          <w:p w14:paraId="62F82E8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61D4AD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trike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trike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CCC8EC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Inpatient stay,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2.5 [2.0; 3.3]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</w:p>
        </w:tc>
        <w:tc>
          <w:tcPr>
            <w:tcW w:w="1276" w:type="dxa"/>
          </w:tcPr>
          <w:p w14:paraId="1E8ECB2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6715577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50% show reduced capacity to work;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persistent pain compared to the pre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condition; patient, injury, and treatment variables have impact on capacity to work; association of capacity to work with long-term results such as various functional outcomes, symptom status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</w:p>
        </w:tc>
        <w:tc>
          <w:tcPr>
            <w:tcW w:w="992" w:type="dxa"/>
          </w:tcPr>
          <w:p w14:paraId="38CA1D9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6, p: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4B9CC9CF" w14:textId="77777777" w:rsidTr="0049492E">
        <w:trPr>
          <w:trHeight w:val="1449"/>
        </w:trPr>
        <w:tc>
          <w:tcPr>
            <w:tcW w:w="1129" w:type="dxa"/>
          </w:tcPr>
          <w:p w14:paraId="2F76B05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Gross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Amsler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2011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Switzerland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&lt;EndNote&gt;&lt;Cite&gt;&lt;Author&gt;Gross&lt;/Author&gt;&lt;Year&gt;2011&lt;/Year&gt;&lt;RecNum&gt;78&lt;/RecNum&gt;&lt;DisplayText&gt;(48)&lt;/DisplayText&gt;&lt;record&gt;&lt;rec-number&gt;78&lt;/rec-number&gt;&lt;foreign-keys&gt;&lt;key app="EN" db-id="v9rewpps3zpprdea2vov9059f5sp2efswfxx" timestamp="0"&gt;78&lt;/key&gt;&lt;/foreign-keys&gt;&lt;ref-type name="Journal Article"&gt;17&lt;/ref-type&gt;&lt;contributors&gt;&lt;authors&gt;&lt;author&gt;Gross, T.&lt;/author&gt;&lt;author&gt;Amsler, F.&lt;/author&gt;&lt;/authors&gt;&lt;/contributors&gt;&lt;titles&gt;&lt;title&gt;Prevalence and incidence of longer term pain in survivors of polytrauma&lt;/title&gt;&lt;secondary-title&gt;Surgery&lt;/secondary-title&gt;&lt;/titles&gt;&lt;pages&gt;985-95&lt;/pages&gt;&lt;volume&gt;150&lt;/volume&gt;&lt;number&gt;5&lt;/number&gt;&lt;dates&gt;&lt;year&gt;2011&lt;/year&gt;&lt;pub-dates&gt;&lt;date&gt;2011-01-01&lt;/date&gt;&lt;/pub-dates&gt;&lt;/dates&gt;&lt;isbn&gt;0039-6060&lt;/isbn&gt;&lt;urls&gt;&lt;/urls&gt;&lt;custom1&gt;RAYYAN-INCLUSION: {&amp;quot;Irmela &amp;quot;=&amp;gt;true, &amp;quot;herrmann-frank&amp;quot;=&amp;gt;true}&lt;/custom1&gt;&lt;language&gt;eng&lt;/language&gt;&lt;/record&gt;&lt;/Cite&gt;&lt;/EndNote&gt;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7582A5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0C5DF81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Prevalence and severity of pain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compared to pre-injury status using different pain measures; association of pain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1701" w:type="dxa"/>
          </w:tcPr>
          <w:p w14:paraId="0C028CB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N=102 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39.7 ± 20.5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27.1 ± 8.0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58DC97C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NR </w:t>
            </w:r>
          </w:p>
        </w:tc>
        <w:tc>
          <w:tcPr>
            <w:tcW w:w="1134" w:type="dxa"/>
          </w:tcPr>
          <w:p w14:paraId="21B78496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EQ-5D*,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SF-36*,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NHP,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TOP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(*separate questionnaire for retrospective assessment of pre-injury status)</w:t>
            </w:r>
          </w:p>
        </w:tc>
        <w:tc>
          <w:tcPr>
            <w:tcW w:w="850" w:type="dxa"/>
          </w:tcPr>
          <w:p w14:paraId="1866396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4B5B04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trike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trike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938C85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2.7 ± 0.9 years post trauma,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2.4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26BB4E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390824A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Pain in 85%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higher prevalence and severity of pain compared to pre-injury status; close correlation of posttraumatic pain with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reduced capacity to work; differences in type and sensitivity of pain measures </w:t>
            </w:r>
          </w:p>
        </w:tc>
        <w:tc>
          <w:tcPr>
            <w:tcW w:w="992" w:type="dxa"/>
          </w:tcPr>
          <w:p w14:paraId="0873555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4,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54025674" w14:textId="77777777" w:rsidTr="0049492E">
        <w:trPr>
          <w:trHeight w:val="1449"/>
        </w:trPr>
        <w:tc>
          <w:tcPr>
            <w:tcW w:w="1129" w:type="dxa"/>
          </w:tcPr>
          <w:p w14:paraId="58F6EBA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Gross et al., 2012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Switzerland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&lt;EndNote&gt;&lt;Cite&gt;&lt;Author&gt;Gross&lt;/Author&gt;&lt;Year&gt;2012&lt;/Year&gt;&lt;RecNum&gt;80&lt;/RecNum&gt;&lt;DisplayText&gt;(49)&lt;/DisplayText&gt;&lt;record&gt;&lt;rec-number&gt;80&lt;/rec-number&gt;&lt;foreign-keys&gt;&lt;key app="EN" db-id="v9rewpps3zpprdea2vov9059f5sp2efswfxx" timestamp="0"&gt;80&lt;/key&gt;&lt;/foreign-keys&gt;&lt;ref-type name="Journal Article"&gt;17&lt;/ref-type&gt;&lt;contributors&gt;&lt;authors&gt;&lt;author&gt;Gross, T.&lt;/author&gt;&lt;author&gt;Schuepp, M.&lt;/author&gt;&lt;author&gt;Attenberger, C.&lt;/author&gt;&lt;author&gt;Pargger, H.&lt;/author&gt;&lt;author&gt;Amsler, F.&lt;/author&gt;&lt;/authors&gt;&lt;/contributors&gt;&lt;titles&gt;&lt;title&gt;Outcome in polytraumatized patients with and without brain injury&lt;/title&gt;&lt;secondary-title&gt;Acta Anaesthesiol Scand&lt;/secondary-title&gt;&lt;/titles&gt;&lt;pages&gt;1163-1174&lt;/pages&gt;&lt;volume&gt;56&lt;/volume&gt;&lt;number&gt;9&lt;/number&gt;&lt;dates&gt;&lt;year&gt;2012&lt;/year&gt;&lt;pub-dates&gt;&lt;date&gt;2012-01-01&lt;/date&gt;&lt;/pub-dates&gt;&lt;/dates&gt;&lt;urls&gt;&lt;/urls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13BC58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3B8D2B9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functional outcomes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compared to pre-injury status; discriminatory potential of different outcome scores between survivors with and without TBI</w:t>
            </w:r>
          </w:p>
        </w:tc>
        <w:tc>
          <w:tcPr>
            <w:tcW w:w="1701" w:type="dxa"/>
          </w:tcPr>
          <w:p w14:paraId="31CD747B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N=111 (75)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39.5 ± 20.9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27.9 ± 8.2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0.5 ± 0.6-2.7 ± 1.5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Patients with 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N=45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31.1 ± 7.3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 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0.7 ± 0.6-3.9 ± 0.7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Patients without 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N=66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25.7 ± 8.1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0.4 ± 0.6–2.6 ± 1.6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nter alia TBI</w:t>
            </w:r>
          </w:p>
        </w:tc>
        <w:tc>
          <w:tcPr>
            <w:tcW w:w="1415" w:type="dxa"/>
          </w:tcPr>
          <w:p w14:paraId="31FA5080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8.9 ± 12.6</w:t>
            </w:r>
          </w:p>
        </w:tc>
        <w:tc>
          <w:tcPr>
            <w:tcW w:w="1134" w:type="dxa"/>
          </w:tcPr>
          <w:p w14:paraId="6AEF12B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EQ-5D*,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SF-36*,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NHP,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TOP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(*separate questionnaire for retrospective assessment of pre-injury status)</w:t>
            </w:r>
          </w:p>
        </w:tc>
        <w:tc>
          <w:tcPr>
            <w:tcW w:w="850" w:type="dxa"/>
          </w:tcPr>
          <w:p w14:paraId="70ADFCF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DCEDE7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4390E0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2,7 ± 0,9 years post trauma,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2,5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BDC5FC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505481A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Notable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functional outcomes compared to pre-injury status; worse outcomes in patients with TBI; SF-36 and NHP discriminate between patients with and without TBI </w:t>
            </w:r>
          </w:p>
        </w:tc>
        <w:tc>
          <w:tcPr>
            <w:tcW w:w="992" w:type="dxa"/>
          </w:tcPr>
          <w:p w14:paraId="54FEF4C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NICE: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6, p: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BEE6661" w14:textId="77777777" w:rsidTr="0049492E">
        <w:trPr>
          <w:trHeight w:val="1449"/>
        </w:trPr>
        <w:tc>
          <w:tcPr>
            <w:tcW w:w="1129" w:type="dxa"/>
          </w:tcPr>
          <w:p w14:paraId="78BB95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Hldaki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Poland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&lt;EndNote&gt;&lt;Cite&gt;&lt;Author&gt;Hladki&lt;/Author&gt;&lt;Year&gt;2009&lt;/Year&gt;&lt;RecNum&gt;81&lt;/RecNum&gt;&lt;DisplayText&gt;(78)&lt;/DisplayText&gt;&lt;record&gt;&lt;rec-number&gt;81&lt;/rec-number&gt;&lt;foreign-keys&gt;&lt;key app="EN" db-id="v9rewpps3zpprdea2vov9059f5sp2efswfxx" timestamp="0"&gt;81&lt;/key&gt;&lt;/foreign-keys&gt;&lt;ref-type name="Journal Article"&gt;17&lt;/ref-type&gt;&lt;contributors&gt;&lt;authors&gt;&lt;author&gt;Hladki, W.&lt;/author&gt;&lt;author&gt;Lorkowski, J.&lt;/author&gt;&lt;author&gt;Trybus, M.&lt;/author&gt;&lt;author&gt;Brongel, L.&lt;/author&gt;&lt;author&gt;Kotela, I.&lt;/author&gt;&lt;author&gt;Golec, E.&lt;/author&gt;&lt;/authors&gt;&lt;/contributors&gt;&lt;titles&gt;&lt;title&gt;Quality of life as a result of multiple injury in the aspect of limitations of handicaps-social roles&lt;/title&gt;&lt;secondary-title&gt;Przeglad Lekarski&lt;/secondary-title&gt;&lt;/titles&gt;&lt;pages&gt;134-140&lt;/pages&gt;&lt;volume&gt;66&lt;/volume&gt;&lt;number&gt;3&lt;/number&gt;&lt;dates&gt;&lt;year&gt;2009&lt;/year&gt;&lt;pub-dates&gt;&lt;date&gt;2009-01-01&lt;/date&gt;&lt;/pub-dates&gt;&lt;/dates&gt;&lt;urls&gt;&lt;/urls&gt;&lt;custom1&gt;RAYYAN-INCLUSION: {&amp;quot;Irmela &amp;quot;=&amp;gt;true, &amp;quot;herrmann-frank&amp;quot;=&amp;gt;true} | RAYYAN-EXCLUSION-REASONS: polytrauma?&lt;/custom1&gt;&lt;language&gt;English&lt;/language&gt;&lt;/record&gt;&lt;/Cite&gt;&lt;/EndNote&gt;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F59B4C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3F79324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Comparison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three consecutive 5-year periods using ICIDH</w:t>
            </w:r>
          </w:p>
        </w:tc>
        <w:tc>
          <w:tcPr>
            <w:tcW w:w="1701" w:type="dxa"/>
          </w:tcPr>
          <w:p w14:paraId="278B7F0D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N=827 (71)*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Mean 44.7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27.6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AIS: NR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H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ead/neck, thorax, abdomen, pelvis and its organs, spinal column and spinal cord, upper and lower limbs</w:t>
            </w:r>
          </w:p>
        </w:tc>
        <w:tc>
          <w:tcPr>
            <w:tcW w:w="1415" w:type="dxa"/>
          </w:tcPr>
          <w:p w14:paraId="2D95EFB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</w:t>
            </w:r>
          </w:p>
        </w:tc>
        <w:tc>
          <w:tcPr>
            <w:tcW w:w="1134" w:type="dxa"/>
          </w:tcPr>
          <w:p w14:paraId="6C19F8B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ICIDH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(only impairments)</w:t>
            </w:r>
          </w:p>
        </w:tc>
        <w:tc>
          <w:tcPr>
            <w:tcW w:w="850" w:type="dxa"/>
          </w:tcPr>
          <w:p w14:paraId="3B67C8B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178C09E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26461D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3 years after completion of inpatient treatment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00B6D0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NR; outpatient clinic</w:t>
            </w:r>
          </w:p>
        </w:tc>
        <w:tc>
          <w:tcPr>
            <w:tcW w:w="1843" w:type="dxa"/>
          </w:tcPr>
          <w:p w14:paraId="21623DE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50%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improvement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one of four patients over 15 years</w:t>
            </w:r>
          </w:p>
        </w:tc>
        <w:tc>
          <w:tcPr>
            <w:tcW w:w="992" w:type="dxa"/>
          </w:tcPr>
          <w:p w14:paraId="50ED554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2, p: 2,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4, NA: 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4DB31F32" w14:textId="77777777" w:rsidTr="0049492E">
        <w:trPr>
          <w:trHeight w:val="1449"/>
        </w:trPr>
        <w:tc>
          <w:tcPr>
            <w:tcW w:w="1129" w:type="dxa"/>
          </w:tcPr>
          <w:p w14:paraId="43DA774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Holtslag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&lt;EndNote&gt;&lt;Cite&gt;&lt;Author&gt;Holtslag&lt;/Author&gt;&lt;Year&gt;2006&lt;/Year&gt;&lt;RecNum&gt;82&lt;/RecNum&gt;&lt;DisplayText&gt;(52)&lt;/DisplayText&gt;&lt;record&gt;&lt;rec-number&gt;82&lt;/rec-number&gt;&lt;foreign-keys&gt;&lt;key app="EN" db-id="v9rewpps3zpprdea2vov9059f5sp2efswfxx" timestamp="0"&gt;82&lt;/key&gt;&lt;/foreign-keys&gt;&lt;ref-type name="Journal Article"&gt;17&lt;/ref-type&gt;&lt;contributors&gt;&lt;authors&gt;&lt;author&gt;Holtslag, H.&lt;/author&gt;&lt;author&gt;Buskens, E.&lt;/author&gt;&lt;author&gt;Rommers, C.&lt;/author&gt;&lt;author&gt;Prevo, A.&lt;/author&gt;&lt;author&gt;van der Werken, C.&lt;/author&gt;&lt;/authors&gt;&lt;/contributors&gt;&lt;titles&gt;&lt;title&gt;Long-term outcome after lower extremity injuries in severely injured patients&lt;/title&gt;&lt;secondary-title&gt;Euro J Trauma&lt;/secondary-title&gt;&lt;/titles&gt;&lt;pages&gt;365-373&lt;/pages&gt;&lt;volume&gt;32&lt;/volume&gt;&lt;number&gt;4&lt;/number&gt;&lt;dates&gt;&lt;year&gt;2006&lt;/year&gt;&lt;pub-dates&gt;&lt;date&gt;2006-01-01&lt;/date&gt;&lt;/pub-dates&gt;&lt;/dates&gt;&lt;isbn&gt;1439-0590&lt;/isbn&gt;&lt;urls&gt;&lt;related-urls&gt;&lt;url&gt;http://search.ebscohost.com/login.aspx?direct=true&amp;amp;db=rzh&amp;amp;AN=2009319453&amp;amp;site=ehost-live&lt;/url&gt;&lt;/related-urls&gt;&lt;/urls&gt;&lt;custom1&gt;RAYYAN-INCLUSION: {&amp;quot;Irmela &amp;quot;=&amp;gt;true, &amp;quot;herrmann-frank&amp;quot;=&amp;gt;true}&lt;/custom1&gt;&lt;/record&gt;&lt;/Cite&gt;&lt;/EndNote&gt;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(52)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2F1F733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64936E8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Description of the characteristics of lower extremity injuries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functional long-term outcomes using all domains of ICF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their association</w:t>
            </w:r>
          </w:p>
        </w:tc>
        <w:tc>
          <w:tcPr>
            <w:tcW w:w="1701" w:type="dxa"/>
          </w:tcPr>
          <w:p w14:paraId="070311D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N=186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16-96, Mean 37 ± 17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25 ± 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ower extremity injuries, pelvic injuries, TBI</w:t>
            </w:r>
          </w:p>
        </w:tc>
        <w:tc>
          <w:tcPr>
            <w:tcW w:w="1415" w:type="dxa"/>
          </w:tcPr>
          <w:p w14:paraId="1BCF7FA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7 ± 14.1 (range: 1-123)</w:t>
            </w:r>
          </w:p>
        </w:tc>
        <w:tc>
          <w:tcPr>
            <w:tcW w:w="1134" w:type="dxa"/>
          </w:tcPr>
          <w:p w14:paraId="026105C2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SIP,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SF-36</w:t>
            </w:r>
          </w:p>
        </w:tc>
        <w:tc>
          <w:tcPr>
            <w:tcW w:w="850" w:type="dxa"/>
          </w:tcPr>
          <w:p w14:paraId="5F26A00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F2800">
              <w:rPr>
                <w:rFonts w:ascii="Times New Roman" w:hAnsi="Times New Roman"/>
                <w:sz w:val="16"/>
                <w:szCs w:val="16"/>
                <w:lang w:val="en-GB"/>
              </w:rPr>
              <w:t>Assess-</w:t>
            </w:r>
            <w:proofErr w:type="spellStart"/>
            <w:r w:rsidRPr="008F2800">
              <w:rPr>
                <w:rFonts w:ascii="Times New Roman" w:hAnsi="Times New Roman"/>
                <w:sz w:val="16"/>
                <w:szCs w:val="16"/>
                <w:lang w:val="en-GB"/>
              </w:rPr>
              <w:t>ment</w:t>
            </w:r>
            <w:proofErr w:type="spellEnd"/>
            <w:r w:rsidRPr="008F280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criteria such as return to sports and work</w:t>
            </w:r>
          </w:p>
        </w:tc>
        <w:tc>
          <w:tcPr>
            <w:tcW w:w="995" w:type="dxa"/>
          </w:tcPr>
          <w:p w14:paraId="67D5B0A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GARS</w:t>
            </w:r>
          </w:p>
        </w:tc>
        <w:tc>
          <w:tcPr>
            <w:tcW w:w="1276" w:type="dxa"/>
          </w:tcPr>
          <w:p w14:paraId="0BE75A3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10-18 months post trauma, Mean 14 ± 1.6 months,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14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57D2F3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</w:t>
            </w:r>
            <w:r w:rsidRPr="00592C33" w:rsidDel="00F63B0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(if necessary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administered by relatives) sent by post</w:t>
            </w:r>
          </w:p>
        </w:tc>
        <w:tc>
          <w:tcPr>
            <w:tcW w:w="1843" w:type="dxa"/>
          </w:tcPr>
          <w:p w14:paraId="6E887FF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Serious long-term problems of mobility, activit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y,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participation; mild to moderately limited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low association of ICF domain functionality with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limited concordance between instruments </w:t>
            </w:r>
          </w:p>
        </w:tc>
        <w:tc>
          <w:tcPr>
            <w:tcW w:w="992" w:type="dxa"/>
          </w:tcPr>
          <w:p w14:paraId="05A2B2D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261A877" w14:textId="77777777" w:rsidTr="0049492E">
        <w:trPr>
          <w:trHeight w:val="1449"/>
        </w:trPr>
        <w:tc>
          <w:tcPr>
            <w:tcW w:w="1129" w:type="dxa"/>
          </w:tcPr>
          <w:p w14:paraId="6BC0932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Holtslag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2007a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&lt;EndNote&gt;&lt;Cite&gt;&lt;Author&gt;Holtslag&lt;/Author&gt;&lt;Year&gt;2007a&lt;/Year&gt;&lt;RecNum&gt;83&lt;/RecNum&gt;&lt;DisplayText&gt;(50)&lt;/DisplayText&gt;&lt;record&gt;&lt;rec-number&gt;83&lt;/rec-number&gt;&lt;foreign-keys&gt;&lt;key app="EN" db-id="v9rewpps3zpprdea2vov9059f5sp2efswfxx" timestamp="0"&gt;83&lt;/key&gt;&lt;/foreign-keys&gt;&lt;ref-type name="Journal Article"&gt;17&lt;/ref-type&gt;&lt;contributors&gt;&lt;authors&gt;&lt;author&gt;Holtslag, H. R.&lt;/author&gt;&lt;author&gt;Post, M. W.&lt;/author&gt;&lt;author&gt;Lindeman, E.&lt;/author&gt;&lt;author&gt;Van der Werken, C.&lt;/author&gt;&lt;/authors&gt;&lt;/contributors&gt;&lt;titles&gt;&lt;title&gt;Long-term functional health status of severely injured patients&lt;/title&gt;&lt;secondary-title&gt;Injury&lt;/secondary-title&gt;&lt;/titles&gt;&lt;pages&gt;280-9&lt;/pages&gt;&lt;volume&gt;38&lt;/volume&gt;&lt;number&gt;3&lt;/number&gt;&lt;dates&gt;&lt;year&gt;2007a&lt;/year&gt;&lt;pub-dates&gt;&lt;date&gt;2007-01-01&lt;/date&gt;&lt;/pub-dates&gt;&lt;/dates&gt;&lt;isbn&gt;0020-1383&lt;/isbn&gt;&lt;urls&gt;&lt;/urls&gt;&lt;custom1&gt;RAYYAN-INCLUSION: {&amp;quot;Irmela &amp;quot;=&amp;gt;true, &amp;quot;herrmann-frank&amp;quot;=&amp;gt;true}&lt;/custom1&gt;&lt;language&gt;eng&lt;/language&gt;&lt;/record&gt;&lt;/Cite&gt;&lt;/EndNote&gt;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5D9749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125B8F3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functional health status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relationship between personal and injury-related characteristics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vs.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long-term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5D92053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N=335 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37.7 ± 17.1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24.9 ± 10.6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Cranial, facial, upper extremity, chest, abdomen, pelvis, femur, lower leg, spine, spinal cord, peripheral nerve</w:t>
            </w:r>
          </w:p>
        </w:tc>
        <w:tc>
          <w:tcPr>
            <w:tcW w:w="1415" w:type="dxa"/>
          </w:tcPr>
          <w:p w14:paraId="45DE55A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12.9 ± 18.7 </w:t>
            </w:r>
          </w:p>
        </w:tc>
        <w:tc>
          <w:tcPr>
            <w:tcW w:w="1134" w:type="dxa"/>
          </w:tcPr>
          <w:p w14:paraId="7D890FF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SIP</w:t>
            </w:r>
          </w:p>
        </w:tc>
        <w:tc>
          <w:tcPr>
            <w:tcW w:w="850" w:type="dxa"/>
          </w:tcPr>
          <w:p w14:paraId="0E36027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90A898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44B77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12-18 months post trauma, Mean 451 ± 47 days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E2CD50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8F6859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mild to moderately limited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lower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young male patients and patients with TBI, spinal cord and extremity injuries; greatest limitations in some SIP categories (work, ambulation, home management, recreation and pastimes, alertness behavio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u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r); co-morbidity strong predictor of SIP scores</w:t>
            </w:r>
          </w:p>
        </w:tc>
        <w:tc>
          <w:tcPr>
            <w:tcW w:w="992" w:type="dxa"/>
          </w:tcPr>
          <w:p w14:paraId="1470470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8, p: 2,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142DE176" w14:textId="77777777" w:rsidTr="009E0BCF">
        <w:trPr>
          <w:trHeight w:val="882"/>
        </w:trPr>
        <w:tc>
          <w:tcPr>
            <w:tcW w:w="1129" w:type="dxa"/>
          </w:tcPr>
          <w:p w14:paraId="6788BDA9" w14:textId="77777777" w:rsidR="00486EB3" w:rsidRPr="00001585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1585">
              <w:rPr>
                <w:rFonts w:ascii="Times New Roman" w:hAnsi="Times New Roman"/>
                <w:sz w:val="16"/>
                <w:szCs w:val="16"/>
              </w:rPr>
              <w:t>Holtslag et al., 2007b</w:t>
            </w:r>
            <w:r w:rsidRPr="00001585">
              <w:rPr>
                <w:rFonts w:ascii="Times New Roman" w:hAnsi="Times New Roman"/>
                <w:sz w:val="16"/>
                <w:szCs w:val="16"/>
              </w:rPr>
              <w:br/>
              <w:t xml:space="preserve">Netherlands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&lt;EndNote&gt;&lt;Cite&gt;&lt;Author&gt;Holtslag&lt;/Author&gt;&lt;Year&gt;2007b&lt;/Year&gt;&lt;RecNum&gt;84&lt;/RecNum&gt;&lt;DisplayText&gt;(51)&lt;/DisplayText&gt;&lt;record&gt;&lt;rec-number&gt;84&lt;/rec-number&gt;&lt;foreign-keys&gt;&lt;key app="EN" db-id="v9rewpps3zpprdea2vov9059f5sp2efswfxx" timestamp="0"&gt;84&lt;/key&gt;&lt;/foreign-keys&gt;&lt;ref-type name="Journal Article"&gt;17&lt;/ref-type&gt;&lt;contributors&gt;&lt;authors&gt;&lt;author&gt;Holtslag, H. R.&lt;/author&gt;&lt;author&gt;van Beeck, E. F.&lt;/author&gt;&lt;author&gt;Lindeman, E.&lt;/author&gt;&lt;author&gt;Leenen, L. P.&lt;/author&gt;&lt;/authors&gt;&lt;/contributors&gt;&lt;titles&gt;&lt;title&gt;Determinants of long-term functional consequences after major trauma&lt;/title&gt;&lt;secondary-title&gt;J Trauma&lt;/secondary-title&gt;&lt;/titles&gt;&lt;pages&gt;919-927&lt;/pages&gt;&lt;volume&gt;62&lt;/volume&gt;&lt;number&gt;4&lt;/number&gt;&lt;dates&gt;&lt;year&gt;2007b&lt;/year&gt;&lt;pub-dates&gt;&lt;date&gt;2007-01-01&lt;/date&gt;&lt;/pub-dates&gt;&lt;/dates&gt;&lt;isbn&gt;0022-5282&lt;/isbn&gt;&lt;urls&gt;&lt;related-urls&gt;&lt;url&gt;http://www.redi-bw.de/db/ebsco.php/search.ebscohost.com/login.aspx%3fdirect%3dtrue%26db%3dcin20%26AN%3d106021263%26site%3dehost-live&lt;/url&gt;&lt;/related-urls&gt;&lt;/urls&gt;&lt;custom1&gt;RAYYAN-INCLUSION: {&amp;quot;Irmela &amp;quot;=&amp;gt;true, &amp;quot;herrmann-frank&amp;quot;=&amp;gt;true}&lt;/custom1&gt;&lt;/record&gt;&lt;/Cite&gt;&lt;/EndNote&gt;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(51)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03E0F3D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67F6FA6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Long-term functional consequences from </w:t>
            </w:r>
            <w:proofErr w:type="spellStart"/>
            <w:r w:rsidRPr="00592C33">
              <w:rPr>
                <w:rFonts w:ascii="Times New Roman" w:hAnsi="Times New Roman"/>
                <w:sz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, quantification of the influence of socio-demographic, injury-related and physical 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lastRenderedPageBreak/>
              <w:t>factors on outcomes</w:t>
            </w:r>
          </w:p>
        </w:tc>
        <w:tc>
          <w:tcPr>
            <w:tcW w:w="1701" w:type="dxa"/>
          </w:tcPr>
          <w:p w14:paraId="08F070CD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eastAsiaTheme="minorHAnsi" w:hAnsi="Times New Roman"/>
                <w:sz w:val="16"/>
                <w:lang w:val="en-GB"/>
              </w:rPr>
            </w:pP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lastRenderedPageBreak/>
              <w:t>N=335 (74)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>Age: Mean 37.7 ± 17.1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>ISS: Mean 24.9 ± 10.6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>AIS: NR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>Injury: Brain, chest, abdomen, spinal cord, lower extremity, upper extremity</w:t>
            </w:r>
          </w:p>
        </w:tc>
        <w:tc>
          <w:tcPr>
            <w:tcW w:w="1415" w:type="dxa"/>
          </w:tcPr>
          <w:p w14:paraId="0B240AD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t>Days ICU stay (Mean): 12.9 ± 18.7</w:t>
            </w:r>
          </w:p>
        </w:tc>
        <w:tc>
          <w:tcPr>
            <w:tcW w:w="1134" w:type="dxa"/>
          </w:tcPr>
          <w:p w14:paraId="00C1A87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eastAsiaTheme="minorHAnsi" w:hAnsi="Times New Roman"/>
                <w:sz w:val="16"/>
                <w:szCs w:val="16"/>
                <w:lang w:val="en-GB"/>
              </w:rPr>
              <w:t>EQ-5D</w:t>
            </w:r>
          </w:p>
        </w:tc>
        <w:tc>
          <w:tcPr>
            <w:tcW w:w="850" w:type="dxa"/>
          </w:tcPr>
          <w:p w14:paraId="2067969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10931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18AE207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12-18 months post trauma,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br/>
              <w:t>Mean 451 ± 47 days</w:t>
            </w:r>
            <w:r w:rsidRPr="00592C33">
              <w:rPr>
                <w:rFonts w:ascii="Times New Roman" w:hAnsi="Times New Roman"/>
                <w:sz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6B1FEE7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Self-administered questionnaire</w:t>
            </w:r>
            <w:r w:rsidRPr="00592C33" w:rsidDel="00F63B0E">
              <w:rPr>
                <w:rFonts w:ascii="Times New Roman" w:hAnsi="Times New Roman"/>
                <w:sz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>(if necessary</w:t>
            </w:r>
            <w:r>
              <w:rPr>
                <w:rFonts w:ascii="Times New Roman" w:hAnsi="Times New Roman"/>
                <w:sz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 administered by relatives) sent by post</w:t>
            </w:r>
          </w:p>
        </w:tc>
        <w:tc>
          <w:tcPr>
            <w:tcW w:w="1843" w:type="dxa"/>
          </w:tcPr>
          <w:p w14:paraId="430CFDE9" w14:textId="77777777" w:rsidR="00486EB3" w:rsidRPr="00592C33" w:rsidRDefault="00486EB3" w:rsidP="0049492E">
            <w:pPr>
              <w:spacing w:after="120" w:line="240" w:lineRule="auto"/>
              <w:ind w:left="-33" w:hanging="33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Restriction of mobility, self-care and everyday activities, indication of pain and discomfort, anxiety and depression as well as cognitive complaints; localisation of injury, educational level and co-morbidities</w:t>
            </w:r>
            <w:r>
              <w:rPr>
                <w:rFonts w:ascii="Times New Roman" w:hAnsi="Times New Roman"/>
                <w:sz w:val="16"/>
                <w:lang w:val="en-GB"/>
              </w:rPr>
              <w:t xml:space="preserve"> are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 important</w:t>
            </w:r>
            <w:r>
              <w:rPr>
                <w:rFonts w:ascii="Times New Roman" w:hAnsi="Times New Roman"/>
                <w:sz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independent predictors of long-term functional 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lastRenderedPageBreak/>
              <w:t xml:space="preserve">outcomes after </w:t>
            </w:r>
            <w:proofErr w:type="spellStart"/>
            <w:r w:rsidRPr="00592C33">
              <w:rPr>
                <w:rFonts w:ascii="Times New Roman" w:hAnsi="Times New Roman"/>
                <w:sz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; better </w:t>
            </w:r>
            <w:proofErr w:type="spellStart"/>
            <w:r w:rsidRPr="00592C33">
              <w:rPr>
                <w:rFonts w:ascii="Times New Roman" w:hAnsi="Times New Roman"/>
                <w:sz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 via EQ-VAS than via utility score</w:t>
            </w:r>
          </w:p>
        </w:tc>
        <w:tc>
          <w:tcPr>
            <w:tcW w:w="992" w:type="dxa"/>
          </w:tcPr>
          <w:p w14:paraId="6475BF0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eastAsiaTheme="minorHAnsi" w:hAnsi="Times New Roman"/>
                <w:sz w:val="16"/>
                <w:lang w:val="en-GB"/>
              </w:rPr>
            </w:pP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lastRenderedPageBreak/>
              <w:t xml:space="preserve">NICE: 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 xml:space="preserve">pp: 8, p: 1, 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 xml:space="preserve">m: /, NA: 5, </w:t>
            </w:r>
            <w:proofErr w:type="spellStart"/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t>NRa</w:t>
            </w:r>
            <w:proofErr w:type="spellEnd"/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t>: 3,</w:t>
            </w:r>
            <w:r w:rsidRPr="00592C33">
              <w:rPr>
                <w:rFonts w:ascii="Times New Roman" w:eastAsiaTheme="minorHAnsi" w:hAnsi="Times New Roman"/>
                <w:sz w:val="16"/>
                <w:lang w:val="en-GB"/>
              </w:rPr>
              <w:br/>
              <w:t>p#, p?</w:t>
            </w:r>
          </w:p>
        </w:tc>
      </w:tr>
      <w:tr w:rsidR="00486EB3" w:rsidRPr="00211B07" w14:paraId="48A916D8" w14:textId="77777777" w:rsidTr="0049492E">
        <w:trPr>
          <w:trHeight w:val="1449"/>
        </w:trPr>
        <w:tc>
          <w:tcPr>
            <w:tcW w:w="1129" w:type="dxa"/>
          </w:tcPr>
          <w:p w14:paraId="3F2F19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Holtslag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&lt;EndNote&gt;&lt;Cite&gt;&lt;Author&gt;Holtslag&lt;/Author&gt;&lt;Year&gt;2008&lt;/Year&gt;&lt;RecNum&gt;340&lt;/RecNum&gt;&lt;DisplayText&gt;(53)&lt;/DisplayText&gt;&lt;record&gt;&lt;rec-number&gt;340&lt;/rec-number&gt;&lt;foreign-keys&gt;&lt;key app="EN" db-id="v9rewpps3zpprdea2vov9059f5sp2efswfxx" timestamp="0"&gt;340&lt;/key&gt;&lt;/foreign-keys&gt;&lt;ref-type name="Journal Article"&gt;17&lt;/ref-type&gt;&lt;contributors&gt;&lt;authors&gt;&lt;author&gt;Holtslag, Herman R&lt;/author&gt;&lt;author&gt;van Beeck, Eduard F&lt;/author&gt;&lt;author&gt;Lichtveld, Rob A&lt;/author&gt;&lt;author&gt;Leenen, Loek PH&lt;/author&gt;&lt;author&gt;Lindeman, Eline&lt;/author&gt;&lt;author&gt;van der Werkend, Chris&lt;/author&gt;&lt;/authors&gt;&lt;/contributors&gt;&lt;titles&gt;&lt;title&gt;Individual and population burdens of major trauma in the Netherlands&lt;/title&gt;&lt;secondary-title&gt;Bulletin of the World Health Organization&lt;/secondary-title&gt;&lt;/titles&gt;&lt;pages&gt;111-117&lt;/pages&gt;&lt;volume&gt;86&lt;/volume&gt;&lt;number&gt;2&lt;/number&gt;&lt;dates&gt;&lt;year&gt;2008&lt;/year&gt;&lt;/dates&gt;&lt;isbn&gt;0042-9686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CF7CE7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19B8B14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Impact of trauma on health in terms of burden of injury, years lived with disability (YLD) in non-fatal diseases, years of life lost (YLL) in fatal diseases and disab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lity-adjusted life year (DALY) </w:t>
            </w:r>
          </w:p>
        </w:tc>
        <w:tc>
          <w:tcPr>
            <w:tcW w:w="1701" w:type="dxa"/>
          </w:tcPr>
          <w:p w14:paraId="5D75C8E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Fatalities: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N=567 (62.6)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48.4 ± 23.3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&gt;15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Severely injured: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335 (74.3)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37.7 ± 17.1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&gt;15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0AA95D80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1E74BC9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EQ-5D</w:t>
            </w:r>
          </w:p>
        </w:tc>
        <w:tc>
          <w:tcPr>
            <w:tcW w:w="850" w:type="dxa"/>
          </w:tcPr>
          <w:p w14:paraId="7F738C1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ED2917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F23822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12-18 months after injury,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451 ± 47 days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50442E8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843" w:type="dxa"/>
          </w:tcPr>
          <w:p w14:paraId="62B94176" w14:textId="77777777" w:rsidR="00486EB3" w:rsidRPr="00592C33" w:rsidRDefault="00486EB3" w:rsidP="0049492E">
            <w:pPr>
              <w:spacing w:after="120" w:line="240" w:lineRule="auto"/>
              <w:ind w:left="-33" w:hanging="33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Substantial loss of healthy life years; at individual level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major trauma contributed an average of 25 DALYs to the burden of disease; at population level, major trauma caused 10 DALYs per 1000 inhabitants</w:t>
            </w:r>
          </w:p>
        </w:tc>
        <w:tc>
          <w:tcPr>
            <w:tcW w:w="992" w:type="dxa"/>
          </w:tcPr>
          <w:p w14:paraId="78113EF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8,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pp#, pp?</w:t>
            </w:r>
          </w:p>
        </w:tc>
      </w:tr>
      <w:tr w:rsidR="00486EB3" w:rsidRPr="00211B07" w14:paraId="31655EB6" w14:textId="77777777" w:rsidTr="0049492E">
        <w:trPr>
          <w:trHeight w:val="1449"/>
        </w:trPr>
        <w:tc>
          <w:tcPr>
            <w:tcW w:w="1129" w:type="dxa"/>
          </w:tcPr>
          <w:p w14:paraId="19DE2E3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Jackson et al. 2007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&lt;EndNote&gt;&lt;Cite&gt;&lt;Author&gt;Jackson&lt;/Author&gt;&lt;Year&gt;2007&lt;/Year&gt;&lt;RecNum&gt;342&lt;/RecNum&gt;&lt;DisplayText&gt;(63)&lt;/DisplayText&gt;&lt;record&gt;&lt;rec-number&gt;342&lt;/rec-number&gt;&lt;foreign-keys&gt;&lt;key app="EN" db-id="v9rewpps3zpprdea2vov9059f5sp2efswfxx" timestamp="0"&gt;342&lt;/key&gt;&lt;/foreign-keys&gt;&lt;ref-type name="Journal Article"&gt;17&lt;/ref-type&gt;&lt;contributors&gt;&lt;authors&gt;&lt;author&gt;Jackson, J. C.&lt;/author&gt;&lt;author&gt;Obremskey, W.&lt;/author&gt;&lt;author&gt;Bauer, R.&lt;/author&gt;&lt;author&gt;Greevy, R.&lt;/author&gt;&lt;author&gt;Cotton, B. A.&lt;/author&gt;&lt;author&gt;Anderson, V.&lt;/author&gt;&lt;author&gt;Song, Y.&lt;/author&gt;&lt;author&gt;Ely, E. W.&lt;/author&gt;&lt;/authors&gt;&lt;/contributors&gt;&lt;titles&gt;&lt;title&gt;Long-term cognitive, emotional, and functional outcomes in trauma intensive care unit survivors without intracranial hemorrhage&lt;/title&gt;&lt;secondary-title&gt;J Trauma&lt;/secondary-title&gt;&lt;/titles&gt;&lt;pages&gt;80-8&lt;/pages&gt;&lt;volume&gt;62&lt;/volume&gt;&lt;number&gt;1&lt;/number&gt;&lt;dates&gt;&lt;year&gt;2007&lt;/year&gt;&lt;/dates&gt;&lt;urls&gt;&lt;/urls&gt;&lt;/record&gt;&lt;/Cite&gt;&lt;/EndNote&gt;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B9FD45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3DA1D7B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Prevalence of and risk factors for persistent cognitive impairment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as well as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emotional and functional difficulties in people without intracranial h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emorrhage</w:t>
            </w:r>
          </w:p>
        </w:tc>
        <w:tc>
          <w:tcPr>
            <w:tcW w:w="1701" w:type="dxa"/>
          </w:tcPr>
          <w:p w14:paraId="04DD2D5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N=58 (67)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45.0 ± 14.3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33.0 ±</w:t>
            </w:r>
            <w:r w:rsidRPr="00592C33" w:rsidDel="00B7450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Concussion, skull fracture</w:t>
            </w:r>
          </w:p>
        </w:tc>
        <w:tc>
          <w:tcPr>
            <w:tcW w:w="1415" w:type="dxa"/>
          </w:tcPr>
          <w:p w14:paraId="3420723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5BCA702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003CC57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3670E69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FAQ,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KATZ ADL</w:t>
            </w:r>
          </w:p>
        </w:tc>
        <w:tc>
          <w:tcPr>
            <w:tcW w:w="1276" w:type="dxa"/>
          </w:tcPr>
          <w:p w14:paraId="2449E4D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12-24 months after hospital discharge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1DD4C7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Administered by a neuro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softHyphen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psychologist or a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psychometrist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evaluation at medical cent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or place of residence</w:t>
            </w:r>
          </w:p>
        </w:tc>
        <w:tc>
          <w:tcPr>
            <w:tcW w:w="1843" w:type="dxa"/>
          </w:tcPr>
          <w:p w14:paraId="61CA95A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Substantial prevalence of persistent cognitive impairment, emotional dysfunction and functional decrements, most of all in people with concussion and skull fracture compared to those without these injuries; cognitive impairment was associated with functional defects, poor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and an inability to return to work</w:t>
            </w:r>
          </w:p>
        </w:tc>
        <w:tc>
          <w:tcPr>
            <w:tcW w:w="992" w:type="dxa"/>
          </w:tcPr>
          <w:p w14:paraId="33DC9C4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1,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553398FB" w14:textId="77777777" w:rsidTr="0049492E">
        <w:trPr>
          <w:trHeight w:val="1449"/>
        </w:trPr>
        <w:tc>
          <w:tcPr>
            <w:tcW w:w="1129" w:type="dxa"/>
          </w:tcPr>
          <w:p w14:paraId="18EF480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Kaske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&lt;EndNote&gt;&lt;Cite&gt;&lt;Author&gt;Kaske&lt;/Author&gt;&lt;Year&gt;2014&lt;/Year&gt;&lt;RecNum&gt;85&lt;/RecNum&gt;&lt;DisplayText&gt;(77)&lt;/DisplayText&gt;&lt;record&gt;&lt;rec-number&gt;85&lt;/rec-number&gt;&lt;foreign-keys&gt;&lt;key app="EN" db-id="v9rewpps3zpprdea2vov9059f5sp2efswfxx" timestamp="0"&gt;85&lt;/key&gt;&lt;/foreign-keys&gt;&lt;ref-type name="Journal Article"&gt;17&lt;/ref-type&gt;&lt;contributors&gt;&lt;authors&gt;&lt;author&gt;Kaske, S.&lt;/author&gt;&lt;author&gt;Lefering, R.&lt;/author&gt;&lt;author&gt;Trentzsch, H.&lt;/author&gt;&lt;author&gt;Driessen, A.&lt;/author&gt;&lt;author&gt;Bouillon, B.&lt;/author&gt;&lt;author&gt;Maegele, M.&lt;/author&gt;&lt;author&gt;Probst, C.&lt;/author&gt;&lt;/authors&gt;&lt;/contributors&gt;&lt;titles&gt;&lt;title&gt;Quality of life two years after severe trauma: A single centre evaluation&lt;/title&gt;&lt;secondary-title&gt;Injury&lt;/secondary-title&gt;&lt;/titles&gt;&lt;pages&gt;S100-S105&lt;/pages&gt;&lt;volume&gt;45&lt;/volume&gt;&lt;dates&gt;&lt;year&gt;2014&lt;/year&gt;&lt;pub-dates&gt;&lt;date&gt;2014-01-01&lt;/date&gt;&lt;/pub-dates&gt;&lt;/dates&gt;&lt;isbn&gt;0020-1383&lt;/isbn&gt;&lt;urls&gt;&lt;related-urls&gt;&lt;url&gt;http://www.elsevier.com/locate/injury&lt;/url&gt;&lt;/related-urls&gt;&lt;/urls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2EAC160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1AD6F02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Assessment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using a trauma-specific instrument (POLO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C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hart)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</w:p>
        </w:tc>
        <w:tc>
          <w:tcPr>
            <w:tcW w:w="1701" w:type="dxa"/>
          </w:tcPr>
          <w:p w14:paraId="42C8C710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N=129 (66.9)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43.9 ±17.5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21.5 ±13.3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≥ 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Lower extremity, thorax, upper extremity, head, spine, pelvis, abdomen</w:t>
            </w:r>
          </w:p>
        </w:tc>
        <w:tc>
          <w:tcPr>
            <w:tcW w:w="1415" w:type="dxa"/>
          </w:tcPr>
          <w:p w14:paraId="2B898D0D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9.2 ± 9.6,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(IQR</w:t>
            </w:r>
            <w:r w:rsidRPr="00592C33">
              <w:rPr>
                <w:rFonts w:ascii="Times New Roman" w:hAnsi="Times New Roman"/>
                <w:sz w:val="16"/>
                <w:szCs w:val="16"/>
                <w:vertAlign w:val="subscript"/>
                <w:lang w:val="en-GB"/>
              </w:rPr>
              <w:t>25-75)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 (2-14)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Ventilator days (Mean): 8.2 ± 7.6,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(IQR</w:t>
            </w:r>
            <w:r w:rsidRPr="00592C33">
              <w:rPr>
                <w:rFonts w:ascii="Times New Roman" w:hAnsi="Times New Roman"/>
                <w:sz w:val="16"/>
                <w:szCs w:val="16"/>
                <w:vertAlign w:val="subscript"/>
                <w:lang w:val="en-GB"/>
              </w:rPr>
              <w:t>25-75)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 (2-14)</w:t>
            </w:r>
          </w:p>
        </w:tc>
        <w:tc>
          <w:tcPr>
            <w:tcW w:w="1134" w:type="dxa"/>
          </w:tcPr>
          <w:p w14:paraId="56F4F63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Chart </w:t>
            </w:r>
          </w:p>
        </w:tc>
        <w:tc>
          <w:tcPr>
            <w:tcW w:w="850" w:type="dxa"/>
          </w:tcPr>
          <w:p w14:paraId="0E95F18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95E6F5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6E29DD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24 months ± 6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5ECE529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C44478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Physical impairments, mental and socio-economic deficits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64% of patients two years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in half of these patients severely impaired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TOP is able to identify impairments and to guide rehabilitation resources </w:t>
            </w:r>
          </w:p>
        </w:tc>
        <w:tc>
          <w:tcPr>
            <w:tcW w:w="992" w:type="dxa"/>
          </w:tcPr>
          <w:p w14:paraId="5277B3A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2, p: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B5173CA" w14:textId="77777777" w:rsidTr="0049492E">
        <w:trPr>
          <w:trHeight w:val="1449"/>
        </w:trPr>
        <w:tc>
          <w:tcPr>
            <w:tcW w:w="1129" w:type="dxa"/>
          </w:tcPr>
          <w:p w14:paraId="3780BF6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Lefering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and Austria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&lt;EndNote&gt;&lt;Cite&gt;&lt;Author&gt;Lefering&lt;/Author&gt;&lt;Year&gt;2012&lt;/Year&gt;&lt;RecNum&gt;86&lt;/RecNum&gt;&lt;DisplayText&gt;(38)&lt;/DisplayText&gt;&lt;record&gt;&lt;rec-number&gt;86&lt;/rec-number&gt;&lt;foreign-keys&gt;&lt;key app="EN" db-id="v9rewpps3zpprdea2vov9059f5sp2efswfxx" timestamp="0"&gt;86&lt;/key&gt;&lt;/foreign-keys&gt;&lt;ref-type name="Journal Article"&gt;17&lt;/ref-type&gt;&lt;contributors&gt;&lt;authors&gt;&lt;author&gt;Lefering, R.&lt;/author&gt;&lt;author&gt;Tecic, T.&lt;/author&gt;&lt;author&gt;Schmidt, Y.&lt;/author&gt;&lt;author&gt;Pirente, N.&lt;/author&gt;&lt;author&gt;Bouillon, B.&lt;/author&gt;&lt;author&gt;Neugebauer, E.&lt;/author&gt;&lt;/authors&gt;&lt;/contributors&gt;&lt;titles&gt;&lt;title&gt;Quality of life after multiple trauma: Validation and population norm of the Polytrauma Outcome (POLO) Chart&lt;/title&gt;&lt;secondary-title&gt;Eur J Trauma Emerg Surg&lt;/secondary-title&gt;&lt;/titles&gt;&lt;pages&gt;403-15&lt;/pages&gt;&lt;volume&gt;38&lt;/volume&gt;&lt;number&gt;4&lt;/number&gt;&lt;dates&gt;&lt;year&gt;2012&lt;/year&gt;&lt;pub-dates&gt;&lt;date&gt;2012-01-01&lt;/date&gt;&lt;/pub-dates&gt;&lt;/dates&gt;&lt;isbn&gt;1863-9933 (Print) 1863-9933&lt;/isbn&gt;&lt;urls&gt;&lt;/urls&gt;&lt;language&gt;eng&lt;/language&gt;&lt;/record&gt;&lt;/Cite&gt;&lt;/EndNote&gt;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(38)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13CCE8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Diagnostic study</w:t>
            </w:r>
          </w:p>
        </w:tc>
        <w:tc>
          <w:tcPr>
            <w:tcW w:w="1276" w:type="dxa"/>
          </w:tcPr>
          <w:p w14:paraId="74CBFCA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Phase IV validation of the trauma-specific TOP module as part of the POLO Chart</w:t>
            </w:r>
          </w:p>
        </w:tc>
        <w:tc>
          <w:tcPr>
            <w:tcW w:w="1701" w:type="dxa"/>
          </w:tcPr>
          <w:p w14:paraId="50A7F31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Trauma-Group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N=172 (73.8)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38.8 ± 14.4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8-75, Mean 26.7 ± 11.2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Control Group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N=166 (65.1)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42.9 ± 15.0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1-9, Mean 3.9 ± 1.7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5626DA7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2B9881F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POLO Chart </w:t>
            </w:r>
          </w:p>
        </w:tc>
        <w:tc>
          <w:tcPr>
            <w:tcW w:w="850" w:type="dxa"/>
          </w:tcPr>
          <w:p w14:paraId="14BDCB8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-</w:t>
            </w:r>
          </w:p>
        </w:tc>
        <w:tc>
          <w:tcPr>
            <w:tcW w:w="995" w:type="dxa"/>
          </w:tcPr>
          <w:p w14:paraId="5036A14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Barthel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Index</w:t>
            </w:r>
          </w:p>
        </w:tc>
        <w:tc>
          <w:tcPr>
            <w:tcW w:w="1276" w:type="dxa"/>
          </w:tcPr>
          <w:p w14:paraId="5AD5544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Trauma Group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24.2 ± 18.7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Control Group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26.4 ± 14.2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50F89A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NR; visit to the hospital for a physical examination and to fill in the questionnaires</w:t>
            </w:r>
          </w:p>
        </w:tc>
        <w:tc>
          <w:tcPr>
            <w:tcW w:w="1843" w:type="dxa"/>
          </w:tcPr>
          <w:p w14:paraId="001FAAC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Significant differences in all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dimensions between trauma and control group;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apart from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physical domains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also impairment of other dimensions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results show good discriminatory abilities of the TOP and support its precision in collecting all relevant components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</w:p>
        </w:tc>
        <w:tc>
          <w:tcPr>
            <w:tcW w:w="992" w:type="dxa"/>
          </w:tcPr>
          <w:p w14:paraId="59E82E9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SIGN: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y: 8, n: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2, p*: 1, da: 1 </w:t>
            </w:r>
          </w:p>
        </w:tc>
      </w:tr>
      <w:tr w:rsidR="00486EB3" w:rsidRPr="00211B07" w14:paraId="0355B18A" w14:textId="77777777" w:rsidTr="0049492E">
        <w:trPr>
          <w:trHeight w:val="456"/>
        </w:trPr>
        <w:tc>
          <w:tcPr>
            <w:tcW w:w="1129" w:type="dxa"/>
          </w:tcPr>
          <w:p w14:paraId="3ED3CF12" w14:textId="77777777" w:rsidR="00486EB3" w:rsidRPr="00001585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1585">
              <w:rPr>
                <w:rFonts w:ascii="Times New Roman" w:hAnsi="Times New Roman"/>
                <w:sz w:val="16"/>
                <w:szCs w:val="16"/>
              </w:rPr>
              <w:t>Lippert-Grüner et al., 2007</w:t>
            </w:r>
            <w:r w:rsidRPr="00001585">
              <w:rPr>
                <w:rFonts w:ascii="Times New Roman" w:hAnsi="Times New Roman"/>
                <w:sz w:val="16"/>
                <w:szCs w:val="16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 w:rsidRPr="005D6598"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&lt;EndNote&gt;&lt;Cite&gt;&lt;Author&gt;Lippert-Grüner&lt;/Author&gt;&lt;Year&gt;2007&lt;/Year&gt;&lt;RecNum&gt;87&lt;/RecNum&gt;&lt;DisplayText&gt;(64)&lt;/DisplayText&gt;&lt;record&gt;&lt;rec-number&gt;87&lt;/rec-number&gt;&lt;foreign-keys&gt;&lt;key app="EN" db-id="v9rewpps3zpprdea2vov9059f5sp2efswfxx" timestamp="0"&gt;87&lt;/key&gt;&lt;/foreign-keys&gt;&lt;ref-type name="Journal Article"&gt;17&lt;/ref-type&gt;&lt;contributors&gt;&lt;authors&gt;&lt;author&gt;Lippert-Grüner, Marcela&lt;/author&gt;&lt;author&gt;Maegele, Marc&lt;/author&gt;&lt;author&gt;Haverkamp, Heinz&lt;/author&gt;&lt;author&gt;Klug, Norfrid&lt;/author&gt;&lt;author&gt;Wedekind, Christoph&lt;/author&gt;&lt;/authors&gt;&lt;/contributors&gt;&lt;titles&gt;&lt;title&gt;Health-related quality of life during the first year after severe brain trauma with and without polytrauma&lt;/title&gt;&lt;secondary-title&gt;Brain Injury&lt;/secondary-title&gt;&lt;/titles&gt;&lt;pages&gt;451-455&lt;/pages&gt;&lt;volume&gt;21&lt;/volume&gt;&lt;number&gt;5&lt;/number&gt;&lt;dates&gt;&lt;year&gt;2007&lt;/year&gt;&lt;pub-dates&gt;&lt;date&gt;2007-01-01&lt;/date&gt;&lt;/pub-dates&gt;&lt;/dates&gt;&lt;urls&gt;&lt;related-urls&gt;&lt;url&gt;http://ezproxy.library.uvic.ca/login?url=http://search.ebscohost.com/login.aspx?direct=true&amp;amp;db=psyh&amp;amp;AN=2007-08595-001&amp;amp;site=ehost-live&amp;amp;scope=site marcela.lippert.gruener@medizin.uni-koeln.de&lt;/url&gt;&lt;/related-urls&gt;&lt;/urls&gt;&lt;custom1&gt;RAYYAN-INCLUSION: {&amp;quot;Irmela &amp;quot;=&amp;gt;true, &amp;quot;herrmann-frank&amp;quot;=&amp;gt;true}&lt;/custom1&gt;&lt;/record&gt;&lt;/Cite&gt;&lt;/EndNote&gt;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D6598">
              <w:rPr>
                <w:rFonts w:ascii="Times New Roman" w:hAnsi="Times New Roman"/>
                <w:noProof/>
                <w:sz w:val="16"/>
                <w:szCs w:val="16"/>
              </w:rPr>
              <w:t>(64)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EBBB25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Prospective cohort study </w:t>
            </w:r>
          </w:p>
        </w:tc>
        <w:tc>
          <w:tcPr>
            <w:tcW w:w="1276" w:type="dxa"/>
          </w:tcPr>
          <w:p w14:paraId="61B5946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with severe TBI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and without concomitant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</w:p>
        </w:tc>
        <w:tc>
          <w:tcPr>
            <w:tcW w:w="1701" w:type="dxa"/>
          </w:tcPr>
          <w:p w14:paraId="0E0B7410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N=49 (78)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15-68,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Isolated 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N=28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Mean 36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27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TBI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N=21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Mean 26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40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AIS: &gt;3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Injury: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Cranial injury</w:t>
            </w:r>
          </w:p>
        </w:tc>
        <w:tc>
          <w:tcPr>
            <w:tcW w:w="1415" w:type="dxa"/>
          </w:tcPr>
          <w:p w14:paraId="68703D3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ICU (duration NR)</w:t>
            </w:r>
          </w:p>
        </w:tc>
        <w:tc>
          <w:tcPr>
            <w:tcW w:w="1134" w:type="dxa"/>
          </w:tcPr>
          <w:p w14:paraId="34E931A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7123E41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8F1EDD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443E46D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 and 12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242FA77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questionnaire; during outpatient follow-up examinations</w:t>
            </w:r>
          </w:p>
        </w:tc>
        <w:tc>
          <w:tcPr>
            <w:tcW w:w="1843" w:type="dxa"/>
          </w:tcPr>
          <w:p w14:paraId="5338CE3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Comparable results for patients with severe TBI with and without concomitant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SF-36 with the exception of physical function; indication of TBI as an important factor for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outcomes after trauma; improvement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over time</w:t>
            </w:r>
          </w:p>
        </w:tc>
        <w:tc>
          <w:tcPr>
            <w:tcW w:w="992" w:type="dxa"/>
          </w:tcPr>
          <w:p w14:paraId="454BADC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211B07" w14:paraId="37D50EDA" w14:textId="77777777" w:rsidTr="0049492E">
        <w:trPr>
          <w:trHeight w:val="1449"/>
        </w:trPr>
        <w:tc>
          <w:tcPr>
            <w:tcW w:w="1129" w:type="dxa"/>
          </w:tcPr>
          <w:p w14:paraId="0988A83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Livingston et al., 2009 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&lt;EndNote&gt;&lt;Cite&gt;&lt;Author&gt;Livingston&lt;/Author&gt;&lt;Year&gt;2009&lt;/Year&gt;&lt;RecNum&gt;349&lt;/RecNum&gt;&lt;DisplayText&gt;(80)&lt;/DisplayText&gt;&lt;record&gt;&lt;rec-number&gt;349&lt;/rec-number&gt;&lt;foreign-keys&gt;&lt;key app="EN" db-id="v9rewpps3zpprdea2vov9059f5sp2efswfxx" timestamp="0"&gt;349&lt;/key&gt;&lt;/foreign-keys&gt;&lt;ref-type name="Journal Article"&gt;17&lt;/ref-type&gt;&lt;contributors&gt;&lt;authors&gt;&lt;author&gt;Livingston, D. H.&lt;/author&gt;&lt;author&gt;Tripp, T.&lt;/author&gt;&lt;author&gt;Biggs, C.&lt;/author&gt;&lt;author&gt;Lavery, R. F.&lt;/author&gt;&lt;/authors&gt;&lt;/contributors&gt;&lt;auth-address&gt;Division of Trauma, Department of Surgery, UMDNJ - New Jersey Medical School, Newark, New Jersey 07103-2406, USA. livingst@umdnj.edu&lt;/auth-address&gt;&lt;titles&gt;&lt;title&gt;A fate worse than death? Long-term outcome of trauma patients admitted to the surgical intensive care unit&lt;/title&gt;&lt;secondary-title&gt;J Trauma&lt;/secondary-title&gt;&lt;alt-title&gt;J Trauma&lt;/alt-title&gt;&lt;/titles&gt;&lt;pages&gt;341-8&lt;/pages&gt;&lt;volume&gt;67&lt;/volume&gt;&lt;number&gt;2&lt;/number&gt;&lt;edition&gt;2009/08/12&lt;/edition&gt;&lt;keywords&gt;&lt;keyword&gt;Adolescent&lt;/keyword&gt;&lt;keyword&gt;Adult&lt;/keyword&gt;&lt;keyword&gt;Aged&lt;/keyword&gt;&lt;keyword&gt;Aged, 80 and over&lt;/keyword&gt;&lt;keyword&gt;Brain Injuries/rehabilitation/surgery&lt;/keyword&gt;&lt;keyword&gt;Female&lt;/keyword&gt;&lt;keyword&gt;Follow-Up Studies&lt;/keyword&gt;&lt;keyword&gt;Glasgow Outcome Scale&lt;/keyword&gt;&lt;keyword&gt;Humans&lt;/keyword&gt;&lt;keyword&gt;*Intensive Care Units&lt;/keyword&gt;&lt;keyword&gt;Interviews as Topic&lt;/keyword&gt;&lt;keyword&gt;*Length of Stay&lt;/keyword&gt;&lt;keyword&gt;Male&lt;/keyword&gt;&lt;keyword&gt;Middle Aged&lt;/keyword&gt;&lt;keyword&gt;*Quality of Life&lt;/keyword&gt;&lt;keyword&gt;Recovery of Function&lt;/keyword&gt;&lt;keyword&gt;Time&lt;/keyword&gt;&lt;keyword&gt;Unemployment&lt;/keyword&gt;&lt;keyword&gt;Wounds and Injuries/*rehabilitation/surgery&lt;/keyword&gt;&lt;keyword&gt;Young Adult&lt;/keyword&gt;&lt;/keywords&gt;&lt;dates&gt;&lt;year&gt;2009&lt;/year&gt;&lt;pub-dates&gt;&lt;date&gt;Aug&lt;/date&gt;&lt;/pub-dates&gt;&lt;/dates&gt;&lt;isbn&gt;0022-5282&lt;/isbn&gt;&lt;accession-num&gt;19667888&lt;/accession-num&gt;&lt;urls&gt;&lt;/urls&gt;&lt;electronic-resource-num&gt;10.1097/TA.0b013e3181a5cc34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(80)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AAB135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7011A8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outcome of patients with prolonged (&gt;10 days) ICU stay </w:t>
            </w:r>
          </w:p>
        </w:tc>
        <w:tc>
          <w:tcPr>
            <w:tcW w:w="1701" w:type="dxa"/>
          </w:tcPr>
          <w:p w14:paraId="707FE36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N=100 (81)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18-94, Mean/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26-30, Mean/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3-5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TBI, extremity fracture, pelvis fracture, lower extremity fracture</w:t>
            </w:r>
          </w:p>
        </w:tc>
        <w:tc>
          <w:tcPr>
            <w:tcW w:w="1415" w:type="dxa"/>
          </w:tcPr>
          <w:p w14:paraId="75441DC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Days ICU stay: 19-24, Mean 21,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Ventilator days: Mean 16,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14 </w:t>
            </w:r>
          </w:p>
        </w:tc>
        <w:tc>
          <w:tcPr>
            <w:tcW w:w="1134" w:type="dxa"/>
          </w:tcPr>
          <w:p w14:paraId="5136D45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3F7C523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1F69D3B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9EB792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2.1-5.0 years, Mean/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3.3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994BCE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Telephone interview with patient</w:t>
            </w:r>
          </w:p>
        </w:tc>
        <w:tc>
          <w:tcPr>
            <w:tcW w:w="1843" w:type="dxa"/>
          </w:tcPr>
          <w:p w14:paraId="7A2049B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Overall self-reported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is generally good with significant impairments incl. inability to return to work (less than 50%) or regain pre-injury level of activity and reintegration into society </w:t>
            </w:r>
          </w:p>
        </w:tc>
        <w:tc>
          <w:tcPr>
            <w:tcW w:w="992" w:type="dxa"/>
          </w:tcPr>
          <w:p w14:paraId="43B953EA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1, p: 8,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4C8A938B" w14:textId="77777777" w:rsidTr="0049492E">
        <w:trPr>
          <w:trHeight w:val="1449"/>
        </w:trPr>
        <w:tc>
          <w:tcPr>
            <w:tcW w:w="1129" w:type="dxa"/>
          </w:tcPr>
          <w:p w14:paraId="03A788A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Marasco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Australia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&lt;EndNote&gt;&lt;Cite&gt;&lt;Author&gt;Marasco&lt;/Author&gt;&lt;Year&gt;2015&lt;/Year&gt;&lt;RecNum&gt;88&lt;/RecNum&gt;&lt;DisplayText&gt;(36)&lt;/DisplayText&gt;&lt;record&gt;&lt;rec-number&gt;88&lt;/rec-number&gt;&lt;foreign-keys&gt;&lt;key app="EN" db-id="v9rewpps3zpprdea2vov9059f5sp2efswfxx" timestamp="0"&gt;88&lt;/key&gt;&lt;/foreign-keys&gt;&lt;ref-type name="Journal Article"&gt;17&lt;/ref-type&gt;&lt;contributors&gt;&lt;authors&gt;&lt;author&gt;Marasco, S.&lt;/author&gt;&lt;author&gt;Lee, G.&lt;/author&gt;&lt;author&gt;Summerhayes, R.&lt;/author&gt;&lt;author&gt;Fitzgerald, M.&lt;/author&gt;&lt;author&gt;Bailey, M.&lt;/author&gt;&lt;/authors&gt;&lt;/contributors&gt;&lt;titles&gt;&lt;title&gt;Quality of life after major trauma with multiple rib fractures&lt;/title&gt;&lt;secondary-title&gt;Injury&lt;/secondary-title&gt;&lt;/titles&gt;&lt;pages&gt;61-5&lt;/pages&gt;&lt;volume&gt;46&lt;/volume&gt;&lt;number&gt;1&lt;/number&gt;&lt;dates&gt;&lt;year&gt;2015&lt;/year&gt;&lt;pub-dates&gt;&lt;date&gt;2015-01-01&lt;/date&gt;&lt;/pub-dates&gt;&lt;/dates&gt;&lt;isbn&gt;0020-1383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(36)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D3339A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413694B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morbidity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with rib fractures</w:t>
            </w:r>
          </w:p>
        </w:tc>
        <w:tc>
          <w:tcPr>
            <w:tcW w:w="1701" w:type="dxa"/>
          </w:tcPr>
          <w:p w14:paraId="65F4891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N=397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53.9 ± 18.8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22.5 ± 11.8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Thoracic-Group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N=216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16.0 ± 7.3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max. 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-Group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N=181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30.1 ± 11.6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max. 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Head, neck, face, spine, thorax, abdomen, upper and lower extremity</w:t>
            </w:r>
          </w:p>
        </w:tc>
        <w:tc>
          <w:tcPr>
            <w:tcW w:w="1415" w:type="dxa"/>
          </w:tcPr>
          <w:p w14:paraId="713C62A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34A1104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SF-12</w:t>
            </w:r>
          </w:p>
        </w:tc>
        <w:tc>
          <w:tcPr>
            <w:tcW w:w="850" w:type="dxa"/>
          </w:tcPr>
          <w:p w14:paraId="21F9965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7F0A0DD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FC25A8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6, 12, 24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!</w:t>
            </w:r>
          </w:p>
        </w:tc>
        <w:tc>
          <w:tcPr>
            <w:tcW w:w="1276" w:type="dxa"/>
          </w:tcPr>
          <w:p w14:paraId="1E16FFE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Telephone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nterview with patient (if necessary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proxy)</w:t>
            </w:r>
          </w:p>
        </w:tc>
        <w:tc>
          <w:tcPr>
            <w:tcW w:w="1843" w:type="dxa"/>
          </w:tcPr>
          <w:p w14:paraId="7362F54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Significantly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24 months after multiple rib fractures; low return to work rate after 6 months; no differences between the groups in pain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limited function of the thorax group</w:t>
            </w:r>
          </w:p>
        </w:tc>
        <w:tc>
          <w:tcPr>
            <w:tcW w:w="992" w:type="dxa"/>
          </w:tcPr>
          <w:p w14:paraId="3667F0B8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2F2BDEFA" w14:textId="77777777" w:rsidTr="00A8641E">
        <w:trPr>
          <w:trHeight w:val="598"/>
        </w:trPr>
        <w:tc>
          <w:tcPr>
            <w:tcW w:w="1129" w:type="dxa"/>
          </w:tcPr>
          <w:p w14:paraId="7B4B070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Mc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Carthy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 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&lt;EndNote&gt;&lt;Cite&gt;&lt;Author&gt;McCarthy&lt;/Author&gt;&lt;Year&gt;2006&lt;/Year&gt;&lt;RecNum&gt;346&lt;/RecNum&gt;&lt;DisplayText&gt;(34)&lt;/DisplayText&gt;&lt;record&gt;&lt;rec-number&gt;346&lt;/rec-number&gt;&lt;foreign-keys&gt;&lt;key app="EN" db-id="v9rewpps3zpprdea2vov9059f5sp2efswfxx" timestamp="0"&gt;346&lt;/key&gt;&lt;/foreign-keys&gt;&lt;ref-type name="Journal Article"&gt;17&lt;/ref-type&gt;&lt;contributors&gt;&lt;authors&gt;&lt;author&gt;McCarthy, M. L.&lt;/author&gt;&lt;author&gt;Dikmen, S. S.&lt;/author&gt;&lt;author&gt;Langlois, J. A.&lt;/author&gt;&lt;author&gt;Selassie, A. W.&lt;/author&gt;&lt;author&gt;Gu, J. K.&lt;/author&gt;&lt;author&gt;Horner, M. D.&lt;/author&gt;&lt;/authors&gt;&lt;/contributors&gt;&lt;auth-address&gt;Department of Emergency Medicine, Johns Hopkins University School of Medicine, Baltimore, MD 21209, USA. mmccarth@jhmi.edu&lt;/auth-address&gt;&lt;titles&gt;&lt;title&gt;Self-reported psychosocial health among adults with traumatic brain injury&lt;/title&gt;&lt;secondary-title&gt;Arch Phys Med Rehabil&lt;/secondary-title&gt;&lt;alt-title&gt;Archives of physical medicine and rehabilitation&lt;/alt-title&gt;&lt;/titles&gt;&lt;pages&gt;953-61&lt;/pages&gt;&lt;volume&gt;87&lt;/volume&gt;&lt;number&gt;7&lt;/number&gt;&lt;edition&gt;2006/07/04&lt;/edition&gt;&lt;keywords&gt;&lt;keyword&gt;Adolescent&lt;/keyword&gt;&lt;keyword&gt;Adult&lt;/keyword&gt;&lt;keyword&gt;Aged&lt;/keyword&gt;&lt;keyword&gt;Brain Injuries/*psychology/rehabilitation&lt;/keyword&gt;&lt;keyword&gt;Chi-Square Distribution&lt;/keyword&gt;&lt;keyword&gt;Female&lt;/keyword&gt;&lt;keyword&gt;Humans&lt;/keyword&gt;&lt;keyword&gt;Interviews as Topic&lt;/keyword&gt;&lt;keyword&gt;Logistic Models&lt;/keyword&gt;&lt;keyword&gt;Male&lt;/keyword&gt;&lt;keyword&gt;Middle Aged&lt;/keyword&gt;&lt;keyword&gt;Quality of Life&lt;/keyword&gt;&lt;keyword&gt;Retrospective Studies&lt;/keyword&gt;&lt;keyword&gt;*Self-Assessment&lt;/keyword&gt;&lt;keyword&gt;*Sickness Impact Profile&lt;/keyword&gt;&lt;/keywords&gt;&lt;dates&gt;&lt;year&gt;2006&lt;/year&gt;&lt;pub-dates&gt;&lt;date&gt;Jul&lt;/date&gt;&lt;/pub-dates&gt;&lt;/dates&gt;&lt;isbn&gt;0003-9993 (Print)&amp;#xD;0003-9993&lt;/isbn&gt;&lt;accession-num&gt;16813783&lt;/accession-num&gt;&lt;urls&gt;&lt;/urls&gt;&lt;electronic-resource-num&gt;10.1016/j.apmr.2006.03.007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(34)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8594E9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6529CA5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Subjective psychosocial health of a population-based sample of adults with traumatic brain injury (TBI)</w:t>
            </w:r>
          </w:p>
        </w:tc>
        <w:tc>
          <w:tcPr>
            <w:tcW w:w="1701" w:type="dxa"/>
          </w:tcPr>
          <w:p w14:paraId="0F44DF6D" w14:textId="77777777" w:rsidR="00486EB3" w:rsidRPr="00592C33" w:rsidRDefault="00486EB3" w:rsidP="0049492E">
            <w:pPr>
              <w:pStyle w:val="CommentText"/>
              <w:tabs>
                <w:tab w:val="left" w:pos="1231"/>
              </w:tabs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N=7612 (63,9)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15-75+, Mean 43.2 ± 20.0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4-18+, Mean 13.7 ± 7.6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2-5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TBI</w:t>
            </w:r>
          </w:p>
        </w:tc>
        <w:tc>
          <w:tcPr>
            <w:tcW w:w="1415" w:type="dxa"/>
          </w:tcPr>
          <w:p w14:paraId="603C0E5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7AFE42B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 (psychosocial health scales MCS)</w:t>
            </w:r>
          </w:p>
        </w:tc>
        <w:tc>
          <w:tcPr>
            <w:tcW w:w="850" w:type="dxa"/>
          </w:tcPr>
          <w:p w14:paraId="0751778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B62B621" w14:textId="77777777" w:rsidR="00486EB3" w:rsidRPr="00592C33" w:rsidRDefault="00486EB3" w:rsidP="0049492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Assessment of difficulty regarding bathing/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showering, dressing, eating, transferring to a bed/chair,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walking, using the toilet </w:t>
            </w:r>
          </w:p>
        </w:tc>
        <w:tc>
          <w:tcPr>
            <w:tcW w:w="1276" w:type="dxa"/>
          </w:tcPr>
          <w:p w14:paraId="74F1EC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1 year after injury ± 3 month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FFD57A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Telephone interview </w:t>
            </w:r>
          </w:p>
        </w:tc>
        <w:tc>
          <w:tcPr>
            <w:tcW w:w="1843" w:type="dxa"/>
          </w:tcPr>
          <w:p w14:paraId="35197B0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29% reported poor psychosocial health 1 year after injury; less than 50% received mental health services; a high proportion reported unmet needs for mental health services</w:t>
            </w:r>
          </w:p>
        </w:tc>
        <w:tc>
          <w:tcPr>
            <w:tcW w:w="992" w:type="dxa"/>
          </w:tcPr>
          <w:p w14:paraId="2D9102F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24BA17A3" w14:textId="77777777" w:rsidTr="0049492E">
        <w:trPr>
          <w:trHeight w:val="1449"/>
        </w:trPr>
        <w:tc>
          <w:tcPr>
            <w:tcW w:w="1129" w:type="dxa"/>
          </w:tcPr>
          <w:p w14:paraId="4115F27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Ouellet et al., 2009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Canada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&lt;EndNote&gt;&lt;Cite&gt;&lt;Author&gt;Ouellet&lt;/Author&gt;&lt;Year&gt;2009&lt;/Year&gt;&lt;RecNum&gt;323&lt;/RecNum&gt;&lt;DisplayText&gt;(54)&lt;/DisplayText&gt;&lt;record&gt;&lt;rec-number&gt;323&lt;/rec-number&gt;&lt;foreign-keys&gt;&lt;key app="EN" db-id="v9rewpps3zpprdea2vov9059f5sp2efswfxx" timestamp="0"&gt;323&lt;/key&gt;&lt;/foreign-keys&gt;&lt;ref-type name="Journal Article"&gt;17&lt;/ref-type&gt;&lt;contributors&gt;&lt;authors&gt;&lt;author&gt;Ouellet, M C&lt;/author&gt;&lt;author&gt;Sirois, M J&lt;/author&gt;&lt;author&gt;Lavoie, A&lt;/author&gt;&lt;/authors&gt;&lt;/contributors&gt;&lt;titles&gt;&lt;title&gt;Perceived mental health and needs for mental health services following trauma with and without brain injury&lt;/title&gt;&lt;secondary-title&gt;J Rehabil Med&lt;/secondary-title&gt;&lt;/titles&gt;&lt;pages&gt;179-186&lt;/pages&gt;&lt;volume&gt;41&lt;/volume&gt;&lt;number&gt;3&lt;/number&gt;&lt;dates&gt;&lt;year&gt;2009&lt;/year&gt;&lt;/dates&gt;&lt;isbn&gt;1650-1977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2038A5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Retrospective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cohort study</w:t>
            </w:r>
          </w:p>
        </w:tc>
        <w:tc>
          <w:tcPr>
            <w:tcW w:w="1276" w:type="dxa"/>
          </w:tcPr>
          <w:p w14:paraId="5CDDD2B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Comparison of mental health in patients with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and without TBI; factors associated with low mental health; perceived need for and access to mental health-related services</w:t>
            </w:r>
          </w:p>
        </w:tc>
        <w:tc>
          <w:tcPr>
            <w:tcW w:w="1701" w:type="dxa"/>
          </w:tcPr>
          <w:p w14:paraId="44E8898C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N=405 (64.6)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41.1 ± 15.1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23.6 ± 11.7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Patients with 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N=239 (64.9)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37.4 ± 14.5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27.9 ± 9.1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Patients without</w:t>
            </w:r>
            <w:r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TBI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N=166 (61.0)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46.4 ± 14.5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15.7 ± 8.4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TBI, spine, upper limb, lower limb</w:t>
            </w:r>
          </w:p>
        </w:tc>
        <w:tc>
          <w:tcPr>
            <w:tcW w:w="1415" w:type="dxa"/>
          </w:tcPr>
          <w:p w14:paraId="27F1A80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TBI: 10.3 ± 14.3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Non-TBI: 4.2 ± 8.2</w:t>
            </w:r>
          </w:p>
        </w:tc>
        <w:tc>
          <w:tcPr>
            <w:tcW w:w="1134" w:type="dxa"/>
          </w:tcPr>
          <w:p w14:paraId="7CC740F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SF-12, Version 2 (MCS as well as all subscales which are related to mental health)</w:t>
            </w:r>
          </w:p>
        </w:tc>
        <w:tc>
          <w:tcPr>
            <w:tcW w:w="850" w:type="dxa"/>
          </w:tcPr>
          <w:p w14:paraId="0315628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671EAD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B4A7E5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2-4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  <w:t>TBI: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3.3 ± 0.7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without TBI: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3.3 ± 0.8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33DCB5D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Telephone interview with patients, NR</w:t>
            </w:r>
          </w:p>
        </w:tc>
        <w:tc>
          <w:tcPr>
            <w:tcW w:w="1843" w:type="dxa"/>
          </w:tcPr>
          <w:p w14:paraId="3539508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Not significantly lower MCS-scores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 with TBI compared to patients without TBI; association of 6 factors with low mental health: age, sex, time since trauma, social support, pain and cognitive deficits; high need for mental health-related services but considerable difficulties in maintaining it</w:t>
            </w:r>
          </w:p>
        </w:tc>
        <w:tc>
          <w:tcPr>
            <w:tcW w:w="992" w:type="dxa"/>
          </w:tcPr>
          <w:p w14:paraId="72D306D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65403E31" w14:textId="77777777" w:rsidTr="0049492E">
        <w:trPr>
          <w:trHeight w:val="1449"/>
        </w:trPr>
        <w:tc>
          <w:tcPr>
            <w:tcW w:w="1129" w:type="dxa"/>
          </w:tcPr>
          <w:p w14:paraId="12297E3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Overgaard et al., 2011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Denmark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&lt;EndNote&gt;&lt;Cite&gt;&lt;Author&gt;Overgaard&lt;/Author&gt;&lt;Year&gt;2011&lt;/Year&gt;&lt;RecNum&gt;343&lt;/RecNum&gt;&lt;DisplayText&gt;(65)&lt;/DisplayText&gt;&lt;record&gt;&lt;rec-number&gt;343&lt;/rec-number&gt;&lt;foreign-keys&gt;&lt;key app="EN" db-id="v9rewpps3zpprdea2vov9059f5sp2efswfxx" timestamp="0"&gt;343&lt;/key&gt;&lt;/foreign-keys&gt;&lt;ref-type name="Journal Article"&gt;17&lt;/ref-type&gt;&lt;contributors&gt;&lt;authors&gt;&lt;author&gt;Overgaard, M.&lt;/author&gt;&lt;author&gt;Hoyer, C. B.&lt;/author&gt;&lt;author&gt;Christensen, E. F.&lt;/author&gt;&lt;/authors&gt;&lt;/contributors&gt;&lt;auth-address&gt;Trauma Center, Aarhus University Hospital, Aarhus C, Denmark. mikkel.overgaard@dadlnet.dk&lt;/auth-address&gt;&lt;titles&gt;&lt;title&gt;Long-term survival and health-related quality of life 6 to 9 years after trauma&lt;/title&gt;&lt;secondary-title&gt;J Trauma&lt;/secondary-title&gt;&lt;alt-title&gt;The Journal of Trauma&lt;/alt-title&gt;&lt;/titles&gt;&lt;pages&gt;435-41&lt;/pages&gt;&lt;volume&gt;71&lt;/volume&gt;&lt;number&gt;2&lt;/number&gt;&lt;edition&gt;2011/03/24&lt;/edition&gt;&lt;keywords&gt;&lt;keyword&gt;Accidents, Traffic/statistics &amp;amp; numerical data&lt;/keyword&gt;&lt;keyword&gt;Adolescent&lt;/keyword&gt;&lt;keyword&gt;Adult&lt;/keyword&gt;&lt;keyword&gt;Aged&lt;/keyword&gt;&lt;keyword&gt;Aged, 80 and over&lt;/keyword&gt;&lt;keyword&gt;Denmark/epidemiology&lt;/keyword&gt;&lt;keyword&gt;*Employment&lt;/keyword&gt;&lt;keyword&gt;Female&lt;/keyword&gt;&lt;keyword&gt;Humans&lt;/keyword&gt;&lt;keyword&gt;Injury Severity Score&lt;/keyword&gt;&lt;keyword&gt;Male&lt;/keyword&gt;&lt;keyword&gt;Middle Aged&lt;/keyword&gt;&lt;keyword&gt;*Quality of Life&lt;/keyword&gt;&lt;keyword&gt;Treatment Outcome&lt;/keyword&gt;&lt;keyword&gt;Wounds and Injuries/*mortality&lt;/keyword&gt;&lt;keyword&gt;Young Adult&lt;/keyword&gt;&lt;/keywords&gt;&lt;dates&gt;&lt;year&gt;2011&lt;/year&gt;&lt;pub-dates&gt;&lt;date&gt;Aug&lt;/date&gt;&lt;/pub-dates&gt;&lt;/dates&gt;&lt;isbn&gt;0022-5282&lt;/isbn&gt;&lt;accession-num&gt;21427614&lt;/accession-num&gt;&lt;urls&gt;&lt;/urls&gt;&lt;electronic-resource-num&gt;10.1097/TA.0b013e31820e7ec3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CDCC29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Prospective cross-sectional monocentric cohort study </w:t>
            </w:r>
          </w:p>
        </w:tc>
        <w:tc>
          <w:tcPr>
            <w:tcW w:w="1276" w:type="dxa"/>
          </w:tcPr>
          <w:p w14:paraId="1C21682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Outcome 6 to 9 years after moderate to severe injury in terms of survival,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employment status</w:t>
            </w:r>
          </w:p>
        </w:tc>
        <w:tc>
          <w:tcPr>
            <w:tcW w:w="1701" w:type="dxa"/>
          </w:tcPr>
          <w:p w14:paraId="48A494F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 322 (71)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15-89,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9-75,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AIS: NR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Blunt trauma</w:t>
            </w:r>
          </w:p>
        </w:tc>
        <w:tc>
          <w:tcPr>
            <w:tcW w:w="1415" w:type="dxa"/>
          </w:tcPr>
          <w:p w14:paraId="6CF31BB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Surgical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Days ICU stay: 1-62,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 </w:t>
            </w:r>
          </w:p>
        </w:tc>
        <w:tc>
          <w:tcPr>
            <w:tcW w:w="1134" w:type="dxa"/>
          </w:tcPr>
          <w:p w14:paraId="457C56B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4E1671C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E17E9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65E6BD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6-9 years after admission,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7.4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6F5CFA4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 or telephone interview</w:t>
            </w:r>
          </w:p>
        </w:tc>
        <w:tc>
          <w:tcPr>
            <w:tcW w:w="1843" w:type="dxa"/>
          </w:tcPr>
          <w:p w14:paraId="5CF9DBA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78% of the patients survived the trauma; HRQOL was significantly lower for injured patients than a matched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control group; 20% retired early</w:t>
            </w:r>
          </w:p>
        </w:tc>
        <w:tc>
          <w:tcPr>
            <w:tcW w:w="992" w:type="dxa"/>
          </w:tcPr>
          <w:p w14:paraId="786C13CB" w14:textId="77777777" w:rsidR="00486EB3" w:rsidRPr="00592C33" w:rsidRDefault="00486EB3" w:rsidP="0049492E">
            <w:pPr>
              <w:pStyle w:val="CommentText"/>
              <w:spacing w:after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64981B5E" w14:textId="77777777" w:rsidTr="0049492E">
        <w:trPr>
          <w:trHeight w:val="1449"/>
        </w:trPr>
        <w:tc>
          <w:tcPr>
            <w:tcW w:w="1129" w:type="dxa"/>
          </w:tcPr>
          <w:p w14:paraId="6C9EC9E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Post et al., 2006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&lt;EndNote&gt;&lt;Cite&gt;&lt;Author&gt;Post&lt;/Author&gt;&lt;Year&gt;2006&lt;/Year&gt;&lt;RecNum&gt;89&lt;/RecNum&gt;&lt;DisplayText&gt;(11)&lt;/DisplayText&gt;&lt;record&gt;&lt;rec-number&gt;89&lt;/rec-number&gt;&lt;foreign-keys&gt;&lt;key app="EN" db-id="v9rewpps3zpprdea2vov9059f5sp2efswfxx" timestamp="0"&gt;89&lt;/key&gt;&lt;/foreign-keys&gt;&lt;ref-type name="Journal Article"&gt;17&lt;/ref-type&gt;&lt;contributors&gt;&lt;authors&gt;&lt;author&gt;Post, R.B.&lt;/author&gt;&lt;author&gt;van der Sluis, C.K.&lt;/author&gt;&lt;author&gt;Ten Duis, H.J.&lt;/author&gt;&lt;/authors&gt;&lt;/contributors&gt;&lt;titles&gt;&lt;title&gt;Return to work and quality of life in severely injured patients&lt;/title&gt;&lt;secondary-title&gt;Disabil Rehabil&lt;/secondary-title&gt;&lt;/titles&gt;&lt;pages&gt;1399-404&lt;/pages&gt;&lt;volume&gt;28&lt;/volume&gt;&lt;number&gt;22&lt;/number&gt;&lt;dates&gt;&lt;year&gt;2006&lt;/year&gt;&lt;pub-dates&gt;&lt;date&gt;2006-01-01&lt;/date&gt;&lt;/pub-dates&gt;&lt;/dates&gt;&lt;isbn&gt;1464-5165&lt;/isbn&gt;&lt;urls&gt;&lt;/urls&gt;&lt;custom1&gt;RAYYAN-INCLUSION: {&amp;quot;Irmela &amp;quot;=&amp;gt;true, &amp;quot;herrmann-frank&amp;quot;=&amp;gt;true}&lt;/custom1&gt;&lt;language&gt;eng&lt;/language&gt;&lt;/record&gt;&lt;/Cite&gt;&lt;/EndNote&gt;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(11)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22B540B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1E7FBE1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Return-to-work status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analysis of injury-related parameters in relation to functional outcome</w:t>
            </w:r>
          </w:p>
        </w:tc>
        <w:tc>
          <w:tcPr>
            <w:tcW w:w="1701" w:type="dxa"/>
          </w:tcPr>
          <w:p w14:paraId="25AD2306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N=53 (81)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19-64, Mean 37.3 ± 13.2,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34.0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16-54, Mean 23.5 ± 8.2,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21.0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AIS: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0-5, 2.0–3.0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Head, neck, face, thorax, abdomen, extremities, external</w:t>
            </w:r>
          </w:p>
        </w:tc>
        <w:tc>
          <w:tcPr>
            <w:tcW w:w="1415" w:type="dxa"/>
          </w:tcPr>
          <w:p w14:paraId="7E25516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78B0CD6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SIP</w:t>
            </w:r>
          </w:p>
        </w:tc>
        <w:tc>
          <w:tcPr>
            <w:tcW w:w="850" w:type="dxa"/>
          </w:tcPr>
          <w:p w14:paraId="31C50BB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F5E30F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B8A096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1.3-2.2 years post trauma, Mean 1.8± 0.3 years,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1.8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99807A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6869FA2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ost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return to their former work; compared with general population and less severely injured patients good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results; age, but not trauma severity or TBI is a predictor for long-term disablement</w:t>
            </w:r>
          </w:p>
        </w:tc>
        <w:tc>
          <w:tcPr>
            <w:tcW w:w="992" w:type="dxa"/>
          </w:tcPr>
          <w:p w14:paraId="44AE0F92" w14:textId="77777777" w:rsidR="00486EB3" w:rsidRPr="00592C33" w:rsidRDefault="00486EB3" w:rsidP="0049492E">
            <w:pPr>
              <w:pStyle w:val="CommentText"/>
              <w:spacing w:after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288B41DD" w14:textId="77777777" w:rsidTr="0049492E">
        <w:trPr>
          <w:trHeight w:val="1449"/>
        </w:trPr>
        <w:tc>
          <w:tcPr>
            <w:tcW w:w="1129" w:type="dxa"/>
          </w:tcPr>
          <w:p w14:paraId="3A5EE25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Probst et al., 2010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Germany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&lt;EndNote&gt;&lt;Cite&gt;&lt;Author&gt;Probst&lt;/Author&gt;&lt;Year&gt;2010&lt;/Year&gt;&lt;RecNum&gt;90&lt;/RecNum&gt;&lt;DisplayText&gt;(43)&lt;/DisplayText&gt;&lt;record&gt;&lt;rec-number&gt;90&lt;/rec-number&gt;&lt;foreign-keys&gt;&lt;key app="EN" db-id="v9rewpps3zpprdea2vov9059f5sp2efswfxx" timestamp="0"&gt;90&lt;/key&gt;&lt;/foreign-keys&gt;&lt;ref-type name="Journal Article"&gt;17&lt;/ref-type&gt;&lt;contributors&gt;&lt;authors&gt;&lt;author&gt;Probst, C.&lt;/author&gt;&lt;author&gt;Zelle, B.&lt;/author&gt;&lt;author&gt;Panzica, M.&lt;/author&gt;&lt;author&gt;Lohse, R.&lt;/author&gt;&lt;author&gt;Sitarro, N. A.&lt;/author&gt;&lt;author&gt;Krettek, C.&lt;/author&gt;&lt;author&gt;Pape, H. C.&lt;/author&gt;&lt;/authors&gt;&lt;/contributors&gt;&lt;titles&gt;&lt;title&gt;Clinical re-examination 10 or more years after polytrauma: Is there a gender related difference?&lt;/title&gt;&lt;secondary-title&gt;J Trauma&lt;/secondary-title&gt;&lt;/titles&gt;&lt;pages&gt;706-711&lt;/pages&gt;&lt;volume&gt;68&lt;/volume&gt;&lt;number&gt;3&lt;/number&gt;&lt;dates&gt;&lt;year&gt;2010&lt;/year&gt;&lt;pub-dates&gt;&lt;date&gt;2010-01-01&lt;/date&gt;&lt;/pub-dates&gt;&lt;/dates&gt;&lt;isbn&gt;1079-6061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51E848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5ECF86E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Association of improved short-term outcomes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gender differences; long-term follow-up using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rehabilitation status</w:t>
            </w:r>
          </w:p>
        </w:tc>
        <w:tc>
          <w:tcPr>
            <w:tcW w:w="1701" w:type="dxa"/>
          </w:tcPr>
          <w:p w14:paraId="5A777E3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 population of the Hannover Rehab study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N=637 (75.4)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Mean 26.7 ± 12.2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F: Mean 25.9 ± 13.0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Mean 20.4 ± 9.9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F: NR, 21.7 ± 9.7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1-5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F: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1-6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Head, face/neck, thorax, abdomen, skeletal system</w:t>
            </w:r>
          </w:p>
        </w:tc>
        <w:tc>
          <w:tcPr>
            <w:tcW w:w="1415" w:type="dxa"/>
          </w:tcPr>
          <w:p w14:paraId="35331C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M: 15.4 ± 25.0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F: 12.9 ± 23.2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Ventilator days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11.2 ± 13.3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F: 9.9 ± 12.5</w:t>
            </w:r>
          </w:p>
        </w:tc>
        <w:tc>
          <w:tcPr>
            <w:tcW w:w="1134" w:type="dxa"/>
          </w:tcPr>
          <w:p w14:paraId="04D5ED1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HASPOC,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1DF487D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90CBED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9030A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M: 17.5 ± 4.8 years post Trauma</w:t>
            </w:r>
            <w:r w:rsidRPr="00592C33">
              <w:rPr>
                <w:rFonts w:ascii="Times New Roman" w:hAnsi="Times New Roman"/>
                <w:sz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br/>
              <w:t>F: 17.4 ± 5.0 after trauma</w:t>
            </w:r>
            <w:r w:rsidRPr="00592C33">
              <w:rPr>
                <w:rFonts w:ascii="Times New Roman" w:hAnsi="Times New Roman"/>
                <w:sz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54A7CE9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Interview with patients; assessment via physician and physical examination in the trauma centre</w:t>
            </w:r>
          </w:p>
        </w:tc>
        <w:tc>
          <w:tcPr>
            <w:tcW w:w="1843" w:type="dxa"/>
          </w:tcPr>
          <w:p w14:paraId="44ADE28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more severe long-term limitations in women than men; no differences in rehabilitation status; longer sick leave times, significantly lower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higher rates of PTSD and psychological support in women</w:t>
            </w:r>
          </w:p>
        </w:tc>
        <w:tc>
          <w:tcPr>
            <w:tcW w:w="992" w:type="dxa"/>
          </w:tcPr>
          <w:p w14:paraId="5DD752AB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4E8863C5" w14:textId="77777777" w:rsidTr="0049492E">
        <w:trPr>
          <w:trHeight w:val="1449"/>
        </w:trPr>
        <w:tc>
          <w:tcPr>
            <w:tcW w:w="1129" w:type="dxa"/>
          </w:tcPr>
          <w:p w14:paraId="016A89A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Quale et al., 2009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Norway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&lt;EndNote&gt;&lt;Cite&gt;&lt;Author&gt;Quale&lt;/Author&gt;&lt;Year&gt;2009&lt;/Year&gt;&lt;RecNum&gt;337&lt;/RecNum&gt;&lt;DisplayText&gt;(82)&lt;/DisplayText&gt;&lt;record&gt;&lt;rec-number&gt;337&lt;/rec-number&gt;&lt;foreign-keys&gt;&lt;key app="EN" db-id="v9rewpps3zpprdea2vov9059f5sp2efswfxx" timestamp="0"&gt;337&lt;/key&gt;&lt;/foreign-keys&gt;&lt;ref-type name="Journal Article"&gt;17&lt;/ref-type&gt;&lt;contributors&gt;&lt;authors&gt;&lt;author&gt;Quale, A. J.&lt;/author&gt;&lt;author&gt;Schanke, A. K.&lt;/author&gt;&lt;author&gt;Froslie, K. F.&lt;/author&gt;&lt;author&gt;Roise, O.&lt;/author&gt;&lt;/authors&gt;&lt;/contributors&gt;&lt;auth-address&gt;Sunnaas Rehabilitation Hospital/University of Oslo, 1450 Nesoddtangen, Norway. anette.johansen@sunnaas.no&lt;/auth-address&gt;&lt;titles&gt;&lt;title&gt;Severity of injury does not have any impact on posttraumatic stress symptoms in severely injured patients&lt;/title&gt;&lt;secondary-title&gt;Injury&lt;/secondary-title&gt;&lt;alt-title&gt;Injury&lt;/alt-title&gt;&lt;/titles&gt;&lt;pages&gt;498-505&lt;/pages&gt;&lt;volume&gt;40&lt;/volume&gt;&lt;number&gt;5&lt;/number&gt;&lt;edition&gt;2009/04/01&lt;/edition&gt;&lt;keywords&gt;&lt;keyword&gt;Accidents, Traffic/*psychology&lt;/keyword&gt;&lt;keyword&gt;Adaptation, Psychological&lt;/keyword&gt;&lt;keyword&gt;Adolescent&lt;/keyword&gt;&lt;keyword&gt;Adult&lt;/keyword&gt;&lt;keyword&gt;Aged&lt;/keyword&gt;&lt;keyword&gt;Attitude to Health&lt;/keyword&gt;&lt;keyword&gt;Female&lt;/keyword&gt;&lt;keyword&gt;Humans&lt;/keyword&gt;&lt;keyword&gt;*Injury Severity Score&lt;/keyword&gt;&lt;keyword&gt;Male&lt;/keyword&gt;&lt;keyword&gt;Middle Aged&lt;/keyword&gt;&lt;keyword&gt;Multiple Trauma/physiopathology/*psychology&lt;/keyword&gt;&lt;keyword&gt;Norway/epidemiology&lt;/keyword&gt;&lt;keyword&gt;Prospective Studies&lt;/keyword&gt;&lt;keyword&gt;Psychiatric Status Rating Scales&lt;/keyword&gt;&lt;keyword&gt;Risk Factors&lt;/keyword&gt;&lt;keyword&gt;Spinal Cord Injuries/physiopathology/psychology&lt;/keyword&gt;&lt;keyword&gt;Stress Disorders, Post-Traumatic/*epidemiology&lt;/keyword&gt;&lt;keyword&gt;Stress, Psychological/*epidemiology/psychology&lt;/keyword&gt;&lt;keyword&gt;Young Adult&lt;/keyword&gt;&lt;/keywords&gt;&lt;dates&gt;&lt;year&gt;2009&lt;/year&gt;&lt;pub-dates&gt;&lt;date&gt;May&lt;/date&gt;&lt;/pub-dates&gt;&lt;/dates&gt;&lt;isbn&gt;0020-1383&lt;/isbn&gt;&lt;accession-num&gt;19332345&lt;/accession-num&gt;&lt;urls&gt;&lt;/urls&gt;&lt;electronic-resource-num&gt;10.1016/j.injury.2008.11.006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(82)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F2FF21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1D66F9B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Incidence and risk factors of posttraumatic stress symptoms (PTSS)</w:t>
            </w:r>
          </w:p>
        </w:tc>
        <w:tc>
          <w:tcPr>
            <w:tcW w:w="1701" w:type="dxa"/>
          </w:tcPr>
          <w:p w14:paraId="128741B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 79 (74.7)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 ± 14.3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25.6 ± 12.3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Spinal cord, head </w:t>
            </w:r>
          </w:p>
        </w:tc>
        <w:tc>
          <w:tcPr>
            <w:tcW w:w="1415" w:type="dxa"/>
          </w:tcPr>
          <w:p w14:paraId="69F1E27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62 ± 61.4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Ventilator days (Mean): 5.8 ± 13.1</w:t>
            </w:r>
          </w:p>
        </w:tc>
        <w:tc>
          <w:tcPr>
            <w:tcW w:w="1134" w:type="dxa"/>
          </w:tcPr>
          <w:p w14:paraId="7F893A1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4E86FFF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C167EC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60A35D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1-3 weeks after admittance to rehabilitation, median days since injury 39, quartiles 24-57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0BF5C2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Semistructured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interviews, questionnaires; NR</w:t>
            </w:r>
          </w:p>
        </w:tc>
        <w:tc>
          <w:tcPr>
            <w:tcW w:w="1843" w:type="dxa"/>
          </w:tcPr>
          <w:p w14:paraId="483E49A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Low incidence of PTSD, but higher incidence of PTSS; anxiety, female gender, negative attitudes towards emotional expression are risk factors for PTSS</w:t>
            </w:r>
          </w:p>
        </w:tc>
        <w:tc>
          <w:tcPr>
            <w:tcW w:w="992" w:type="dxa"/>
          </w:tcPr>
          <w:p w14:paraId="189CB2E9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86EB3" w:rsidRPr="006314E8" w14:paraId="48627393" w14:textId="77777777" w:rsidTr="0049492E">
        <w:trPr>
          <w:trHeight w:val="1449"/>
        </w:trPr>
        <w:tc>
          <w:tcPr>
            <w:tcW w:w="1129" w:type="dxa"/>
          </w:tcPr>
          <w:p w14:paraId="61684F3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lang w:val="en-GB"/>
              </w:rPr>
              <w:t>Renovell</w:t>
            </w:r>
            <w:proofErr w:type="spellEnd"/>
            <w:r w:rsidRPr="00592C33">
              <w:rPr>
                <w:rFonts w:ascii="Times New Roman" w:hAnsi="Times New Roman"/>
                <w:sz w:val="16"/>
                <w:lang w:val="en-GB"/>
              </w:rPr>
              <w:t>-Ferrer et al., 2017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br/>
              <w:t xml:space="preserve">Spain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&lt;EndNote&gt;&lt;Cite&gt;&lt;Author&gt;Renovell-Ferrer&lt;/Author&gt;&lt;Year&gt;2017&lt;/Year&gt;&lt;RecNum&gt;402&lt;/RecNum&gt;&lt;DisplayText&gt;(66)&lt;/DisplayText&gt;&lt;record&gt;&lt;rec-number&gt;402&lt;/rec-number&gt;&lt;foreign-keys&gt;&lt;key app="EN" db-id="v9rewpps3zpprdea2vov9059f5sp2efswfxx" timestamp="0"&gt;402&lt;/key&gt;&lt;/foreign-keys&gt;&lt;ref-type name="Journal Article"&gt;17&lt;/ref-type&gt;&lt;contributors&gt;&lt;authors&gt;&lt;author&gt;Renovell-Ferrer, P&lt;/author&gt;&lt;author&gt;Bertó-Martí, X&lt;/author&gt;&lt;author&gt;Diranzo-García, J&lt;/author&gt;&lt;author&gt;Barrera-Puigdorells, L&lt;/author&gt;&lt;author&gt;Estrems-Díaz, V&lt;/author&gt;&lt;author&gt;Silvestre-Muñoz, A&lt;/author&gt;&lt;author&gt;Brú-Pomer, A&lt;/author&gt;&lt;/authors&gt;&lt;/contributors&gt;&lt;titles&gt;&lt;title&gt;Functional outcome after calcaneus fractures: a comparison between polytrauma patients and isolated fractures&lt;/title&gt;&lt;secondary-title&gt;Injury&lt;/secondary-title&gt;&lt;/titles&gt;&lt;pages&gt;S91-S96&lt;/pages&gt;&lt;dates&gt;&lt;year&gt;2017&lt;/year&gt;&lt;/dates&gt;&lt;urls&gt;&lt;/urls&gt;&lt;/record&gt;&lt;/Cite&gt;&lt;/EndNote&gt;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9B3B1D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7DBB770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Comparison of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etiology, severity, and functional outcome of people with operated displaced intra-articular calcaneal fractures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between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patients and isolated cases</w:t>
            </w:r>
          </w:p>
        </w:tc>
        <w:tc>
          <w:tcPr>
            <w:tcW w:w="1701" w:type="dxa"/>
          </w:tcPr>
          <w:p w14:paraId="1BD2183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N=80 (71)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16-74, Mean 48.4,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&gt;16 (14%)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Intra-articular calcaneal fractures, pelvic fracture, spine fracture </w:t>
            </w:r>
          </w:p>
        </w:tc>
        <w:tc>
          <w:tcPr>
            <w:tcW w:w="1415" w:type="dxa"/>
          </w:tcPr>
          <w:p w14:paraId="65F8CE2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</w:t>
            </w:r>
          </w:p>
        </w:tc>
        <w:tc>
          <w:tcPr>
            <w:tcW w:w="1134" w:type="dxa"/>
          </w:tcPr>
          <w:p w14:paraId="1508860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030AA3A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A35AAE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7E9C98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15-62 months after operation, Mean 48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2EE4B1E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843" w:type="dxa"/>
          </w:tcPr>
          <w:p w14:paraId="1688F84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differences in outcome measures and second surgeries; increasing severity of trauma was associated with more second surgeries and worse outcomes; patients with psychiatric comorbidities reported worse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</w:p>
        </w:tc>
        <w:tc>
          <w:tcPr>
            <w:tcW w:w="992" w:type="dxa"/>
          </w:tcPr>
          <w:p w14:paraId="1FA9991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1,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p: 9,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2,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52F4708A" w14:textId="77777777" w:rsidTr="00A8641E">
        <w:trPr>
          <w:trHeight w:val="1165"/>
        </w:trPr>
        <w:tc>
          <w:tcPr>
            <w:tcW w:w="1129" w:type="dxa"/>
          </w:tcPr>
          <w:p w14:paraId="03F8AA0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Richter et al., 2006 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&lt;EndNote&gt;&lt;Cite&gt;&lt;Author&gt;Richter&lt;/Author&gt;&lt;Year&gt;2006&lt;/Year&gt;&lt;RecNum&gt;336&lt;/RecNum&gt;&lt;DisplayText&gt;(83)&lt;/DisplayText&gt;&lt;record&gt;&lt;rec-number&gt;336&lt;/rec-number&gt;&lt;foreign-keys&gt;&lt;key app="EN" db-id="v9rewpps3zpprdea2vov9059f5sp2efswfxx" timestamp="0"&gt;336&lt;/key&gt;&lt;/foreign-keys&gt;&lt;ref-type name="Journal Article"&gt;17&lt;/ref-type&gt;&lt;contributors&gt;&lt;authors&gt;&lt;author&gt;Richter, J. C.&lt;/author&gt;&lt;author&gt;Waydhas, C.&lt;/author&gt;&lt;author&gt;Pajonk, F. G.&lt;/author&gt;&lt;/authors&gt;&lt;/contributors&gt;&lt;auth-address&gt;Department of Internal Medicine, University Hospital, Bern, Switzerland.&lt;/auth-address&gt;&lt;titles&gt;&lt;title&gt;Incidence of posttraumatic stress disorder after prolonged surgical intensive care unit treatment&lt;/title&gt;&lt;secondary-title&gt;Psychosomatics&lt;/secondary-title&gt;&lt;alt-title&gt;Psychosomatics&lt;/alt-title&gt;&lt;/titles&gt;&lt;pages&gt;223-30&lt;/pages&gt;&lt;volume&gt;47&lt;/volume&gt;&lt;number&gt;3&lt;/number&gt;&lt;edition&gt;2006/05/11&lt;/edition&gt;&lt;keywords&gt;&lt;keyword&gt;Adult&lt;/keyword&gt;&lt;keyword&gt;Comorbidity&lt;/keyword&gt;&lt;keyword&gt;Critical Care/*psychology&lt;/keyword&gt;&lt;keyword&gt;Female&lt;/keyword&gt;&lt;keyword&gt;Follow-Up Studies&lt;/keyword&gt;&lt;keyword&gt;Hospital Mortality&lt;/keyword&gt;&lt;keyword&gt;Humans&lt;/keyword&gt;&lt;keyword&gt;*Interview, Psychological&lt;/keyword&gt;&lt;keyword&gt;*Length of Stay&lt;/keyword&gt;&lt;keyword&gt;Male&lt;/keyword&gt;&lt;keyword&gt;Mental Disorders/diagnosis/psychology&lt;/keyword&gt;&lt;keyword&gt;Middle Aged&lt;/keyword&gt;&lt;keyword&gt;Multiple Trauma/mortality/*psychology/surgery&lt;/keyword&gt;&lt;keyword&gt;Personality Assessment&lt;/keyword&gt;&lt;keyword&gt;Psychopathology&lt;/keyword&gt;&lt;keyword&gt;*Referral and Consultation&lt;/keyword&gt;&lt;keyword&gt;Risk Factors&lt;/keyword&gt;&lt;keyword&gt;Stress Disorders, Post-Traumatic/diagnosis/*psychology&lt;/keyword&gt;&lt;/keywords&gt;&lt;dates&gt;&lt;year&gt;2006&lt;/year&gt;&lt;pub-dates&gt;&lt;date&gt;May-Jun&lt;/date&gt;&lt;/pub-dates&gt;&lt;/dates&gt;&lt;isbn&gt;0033-3182 (Print)&amp;#xD;0033-3182&lt;/isbn&gt;&lt;accession-num&gt;16684939&lt;/accession-num&gt;&lt;urls&gt;&lt;/urls&gt;&lt;electronic-resource-num&gt;10.1176/appi.psy.47.3.223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(83)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5A0211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1B2258E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Prevalence of PTSD; identification of risk factors for PTSD</w:t>
            </w:r>
          </w:p>
        </w:tc>
        <w:tc>
          <w:tcPr>
            <w:tcW w:w="1701" w:type="dxa"/>
          </w:tcPr>
          <w:p w14:paraId="0FBA79C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N=37 (76)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41.7 ± 17.0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30.4 ± 10.7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7FDDAC0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stay: ≥ 30 </w:t>
            </w:r>
          </w:p>
        </w:tc>
        <w:tc>
          <w:tcPr>
            <w:tcW w:w="1134" w:type="dxa"/>
          </w:tcPr>
          <w:p w14:paraId="761DEE0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75422A4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65D09F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A53FB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7-58 months after discharge from ICU, Mean 35 ± 14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42DCD07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and interview; NR</w:t>
            </w:r>
          </w:p>
        </w:tc>
        <w:tc>
          <w:tcPr>
            <w:tcW w:w="1843" w:type="dxa"/>
          </w:tcPr>
          <w:p w14:paraId="2C36BCC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Compared to non-trauma patients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higher risk for PTSD in trauma patients; ISS and ICU treatment not associated with PTSD</w:t>
            </w:r>
          </w:p>
        </w:tc>
        <w:tc>
          <w:tcPr>
            <w:tcW w:w="992" w:type="dxa"/>
          </w:tcPr>
          <w:p w14:paraId="4AF5CE3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x4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2,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5518040F" w14:textId="77777777" w:rsidTr="0049492E">
        <w:trPr>
          <w:trHeight w:val="1449"/>
        </w:trPr>
        <w:tc>
          <w:tcPr>
            <w:tcW w:w="1129" w:type="dxa"/>
          </w:tcPr>
          <w:p w14:paraId="068E3B3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Ringburg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&lt;EndNote&gt;&lt;Cite&gt;&lt;Author&gt;Ringburg&lt;/Author&gt;&lt;Year&gt;2011&lt;/Year&gt;&lt;RecNum&gt;91&lt;/RecNum&gt;&lt;DisplayText&gt;(75)&lt;/DisplayText&gt;&lt;record&gt;&lt;rec-number&gt;91&lt;/rec-number&gt;&lt;foreign-keys&gt;&lt;key app="EN" db-id="v9rewpps3zpprdea2vov9059f5sp2efswfxx" timestamp="0"&gt;91&lt;/key&gt;&lt;/foreign-keys&gt;&lt;ref-type name="Journal Article"&gt;17&lt;/ref-type&gt;&lt;contributors&gt;&lt;authors&gt;&lt;author&gt;Ringburg, A. N.&lt;/author&gt;&lt;author&gt;Polinder, S.&lt;/author&gt;&lt;author&gt;Van Ierland, M. C. P.&lt;/author&gt;&lt;author&gt;Steyerberg, E. W.&lt;/author&gt;&lt;author&gt;Van Lieshout, E. M. M.&lt;/author&gt;&lt;author&gt;Patka, P.&lt;/author&gt;&lt;author&gt;Van Beeck, E. F.&lt;/author&gt;&lt;author&gt;Schipper, I. B.&lt;/author&gt;&lt;/authors&gt;&lt;/contributors&gt;&lt;titles&gt;&lt;title&gt;Prevalence and prognostic factors of disability after major trauma&lt;/title&gt;&lt;secondary-title&gt;J Trauma&lt;/secondary-title&gt;&lt;/titles&gt;&lt;pages&gt;916-922&lt;/pages&gt;&lt;volume&gt;70&lt;/volume&gt;&lt;number&gt;4&lt;/number&gt;&lt;dates&gt;&lt;year&gt;2011&lt;/year&gt;&lt;pub-dates&gt;&lt;date&gt;2011-01-01&lt;/date&gt;&lt;/pub-dates&gt;&lt;/dates&gt;&lt;isbn&gt;1079-6061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1981B79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206C1DA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predictive factors for long-term poor functioning in the dimensions of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instruments</w:t>
            </w:r>
          </w:p>
        </w:tc>
        <w:tc>
          <w:tcPr>
            <w:tcW w:w="1701" w:type="dxa"/>
          </w:tcPr>
          <w:p w14:paraId="6EBB542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N=246 (66)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Head, face, chest, abdomen, extremities</w:t>
            </w:r>
          </w:p>
        </w:tc>
        <w:tc>
          <w:tcPr>
            <w:tcW w:w="1415" w:type="dxa"/>
          </w:tcPr>
          <w:p w14:paraId="23995CD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4D8BDFA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EQ-5D,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HUI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HUI 3</w:t>
            </w:r>
          </w:p>
        </w:tc>
        <w:tc>
          <w:tcPr>
            <w:tcW w:w="850" w:type="dxa"/>
          </w:tcPr>
          <w:p w14:paraId="0A0FD5F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1C8F7B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477A49B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12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396B887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6D5E140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far below general population norms; high prevalence of specific limitations with female gender and comorbidity as predictors of long-term disability</w:t>
            </w:r>
          </w:p>
        </w:tc>
        <w:tc>
          <w:tcPr>
            <w:tcW w:w="992" w:type="dxa"/>
          </w:tcPr>
          <w:p w14:paraId="4D33BE4A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6,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1,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24ACE06D" w14:textId="77777777" w:rsidTr="0049492E">
        <w:trPr>
          <w:trHeight w:val="1449"/>
        </w:trPr>
        <w:tc>
          <w:tcPr>
            <w:tcW w:w="1129" w:type="dxa"/>
          </w:tcPr>
          <w:p w14:paraId="156091D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Sampalis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 2006 Canada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&lt;EndNote&gt;&lt;Cite&gt;&lt;Author&gt;Sampalis&lt;/Author&gt;&lt;Year&gt;2006&lt;/Year&gt;&lt;RecNum&gt;344&lt;/RecNum&gt;&lt;DisplayText&gt;(67)&lt;/DisplayText&gt;&lt;record&gt;&lt;rec-number&gt;344&lt;/rec-number&gt;&lt;foreign-keys&gt;&lt;key app="EN" db-id="v9rewpps3zpprdea2vov9059f5sp2efswfxx" timestamp="0"&gt;344&lt;/key&gt;&lt;/foreign-keys&gt;&lt;ref-type name="Journal Article"&gt;17&lt;/ref-type&gt;&lt;contributors&gt;&lt;authors&gt;&lt;author&gt;Sampalis, John S.&lt;/author&gt;&lt;author&gt;Liberman, Moishe&lt;/author&gt;&lt;author&gt;Davis, Laura&lt;/author&gt;&lt;author&gt;Angelopoulos, John&lt;/author&gt;&lt;author&gt;Longo, Nadia&lt;/author&gt;&lt;author&gt;Joch, Monica&lt;/author&gt;&lt;author&gt;Sampalis, Fotini&lt;/author&gt;&lt;author&gt;Nikolis, Andreas&lt;/author&gt;&lt;author&gt;Lavoie, Andre&lt;/author&gt;&lt;author&gt;Denis, Ronald&lt;/author&gt;&lt;author&gt;Mulder, David S.&lt;/author&gt;&lt;/authors&gt;&lt;/contributors&gt;&lt;titles&gt;&lt;title&gt;Functional status and quality of life in survivors of injury treated at tertiary trauma centers: What are we neglecting?&lt;/title&gt;&lt;secondary-title&gt;J Trauma&lt;/secondary-title&gt;&lt;/titles&gt;&lt;pages&gt;806-813&lt;/pages&gt;&lt;volume&gt;60&lt;/volume&gt;&lt;number&gt;4&lt;/number&gt;&lt;keywords&gt;&lt;keyword&gt;Functional capacity&lt;/keyword&gt;&lt;keyword&gt;Injury&lt;/keyword&gt;&lt;keyword&gt;Long-term&lt;/keyword&gt;&lt;keyword&gt;Morbidity&lt;/keyword&gt;&lt;keyword&gt;Outcomes&lt;/keyword&gt;&lt;keyword&gt;Trauma&lt;/keyword&gt;&lt;keyword&gt;Quality of life&lt;/keyword&gt;&lt;/keywords&gt;&lt;dates&gt;&lt;year&gt;2006&lt;/year&gt;&lt;/dates&gt;&lt;isbn&gt;2163-0755&lt;/isbn&gt;&lt;accession-num&gt;00005373-200604000-00014&lt;/accession-num&gt;&lt;urls&gt;&lt;related-urls&gt;&lt;url&gt;http://journals.lww.com/jtrauma/Fulltext/2006/04000/Functional_Status_and_Quality_of_Life_in_Survivors.14.aspx&lt;/url&gt;&lt;/related-urls&gt;&lt;/urls&gt;&lt;electronic-resource-num&gt;10.1097/01.ta.0000215103.62783.4d&lt;/electronic-resource-num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34C879A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 xml:space="preserve">Retrospective </w:t>
            </w:r>
            <w:proofErr w:type="spellStart"/>
            <w:r w:rsidRPr="00592C33">
              <w:rPr>
                <w:rFonts w:ascii="Times New Roman" w:hAnsi="Times New Roman"/>
                <w:sz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cross-sectional </w:t>
            </w:r>
            <w:r w:rsidRPr="00592C33">
              <w:rPr>
                <w:rFonts w:ascii="Times New Roman" w:hAnsi="Times New Roman"/>
                <w:sz w:val="16"/>
                <w:lang w:val="en-GB"/>
              </w:rPr>
              <w:t>cohort study</w:t>
            </w:r>
          </w:p>
        </w:tc>
        <w:tc>
          <w:tcPr>
            <w:tcW w:w="1276" w:type="dxa"/>
          </w:tcPr>
          <w:p w14:paraId="09F059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Functional status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12 months after injury</w:t>
            </w:r>
          </w:p>
        </w:tc>
        <w:tc>
          <w:tcPr>
            <w:tcW w:w="1701" w:type="dxa"/>
          </w:tcPr>
          <w:p w14:paraId="649EEA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green"/>
                <w:u w:val="single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N=144 (61.8)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18-85, Mean 44,2 ±17.1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1-49, Mean 18.9 ± 9.4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Head/ neck, extremity, face, thorax, abdominal, burns</w:t>
            </w:r>
          </w:p>
        </w:tc>
        <w:tc>
          <w:tcPr>
            <w:tcW w:w="1415" w:type="dxa"/>
          </w:tcPr>
          <w:p w14:paraId="3F93BF9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 and conservative</w:t>
            </w:r>
            <w:r w:rsidRPr="00592C33"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stay: 0.1-11.0, Mean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3.44 ± 0.9</w:t>
            </w:r>
          </w:p>
        </w:tc>
        <w:tc>
          <w:tcPr>
            <w:tcW w:w="1134" w:type="dxa"/>
          </w:tcPr>
          <w:p w14:paraId="222B0BC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SF-36,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SIP</w:t>
            </w:r>
          </w:p>
        </w:tc>
        <w:tc>
          <w:tcPr>
            <w:tcW w:w="850" w:type="dxa"/>
          </w:tcPr>
          <w:p w14:paraId="6870BDE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831CEC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9D6D1A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0.8-1.5 years, Mean 1.3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134FAD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6886B19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Residual impairments in functional capacity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 year after injury; specific subgroups (injuries resulting of motor vehicle collisions, thoracic and head injuries) report diminished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ICU treatment, prolonged length of hospital stay, and surgical treatment are predictors for poor functional capacity and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</w:p>
        </w:tc>
        <w:tc>
          <w:tcPr>
            <w:tcW w:w="992" w:type="dxa"/>
          </w:tcPr>
          <w:p w14:paraId="1256BD6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6,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3BCCE300" w14:textId="77777777" w:rsidTr="0049492E">
        <w:trPr>
          <w:trHeight w:val="1449"/>
        </w:trPr>
        <w:tc>
          <w:tcPr>
            <w:tcW w:w="1129" w:type="dxa"/>
          </w:tcPr>
          <w:p w14:paraId="172A7E6E" w14:textId="77777777" w:rsidR="00486EB3" w:rsidRPr="00001585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1585">
              <w:rPr>
                <w:rFonts w:ascii="Times New Roman" w:hAnsi="Times New Roman"/>
                <w:sz w:val="16"/>
                <w:szCs w:val="16"/>
              </w:rPr>
              <w:t>Schmidt-Rohlfing et al., 2011</w:t>
            </w:r>
            <w:r w:rsidRPr="00001585">
              <w:rPr>
                <w:rFonts w:ascii="Times New Roman" w:hAnsi="Times New Roman"/>
                <w:sz w:val="16"/>
                <w:szCs w:val="16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 w:rsidRPr="005D6598"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&lt;EndNote&gt;&lt;Cite&gt;&lt;Author&gt;Schmidt-Rohlfing&lt;/Author&gt;&lt;Year&gt;2011&lt;/Year&gt;&lt;RecNum&gt;92&lt;/RecNum&gt;&lt;DisplayText&gt;(44)&lt;/DisplayText&gt;&lt;record&gt;&lt;rec-number&gt;92&lt;/rec-number&gt;&lt;foreign-keys&gt;&lt;key app="EN" db-id="v9rewpps3zpprdea2vov9059f5sp2efswfxx" timestamp="0"&gt;92&lt;/key&gt;&lt;/foreign-keys&gt;&lt;ref-type name="Journal Article"&gt;17&lt;/ref-type&gt;&lt;contributors&gt;&lt;authors&gt;&lt;author&gt;Schmidt-Rohlfing, B.&lt;/author&gt;&lt;author&gt;Pfeifer, R.&lt;/author&gt;&lt;author&gt;Kaneshige, J.&lt;/author&gt;&lt;author&gt;Hofman, M.&lt;/author&gt;&lt;author&gt;Knobe, M.&lt;/author&gt;&lt;author&gt;Sellei, R.&lt;/author&gt;&lt;author&gt;Pape, H. C.&lt;/author&gt;&lt;/authors&gt;&lt;/contributors&gt;&lt;titles&gt;&lt;title&gt;Scoring systems for outcome after knee injuries&lt;/title&gt;&lt;secondary-title&gt;Injury&lt;/secondary-title&gt;&lt;/titles&gt;&lt;pages&gt;271-275&lt;/pages&gt;&lt;volume&gt;42&lt;/volume&gt;&lt;number&gt;3&lt;/number&gt;&lt;dates&gt;&lt;year&gt;2011&lt;/year&gt;&lt;pub-dates&gt;&lt;date&gt;2011-01-01&lt;/date&gt;&lt;/pub-dates&gt;&lt;/dates&gt;&lt;isbn&gt;0020-1383&lt;/isbn&gt;&lt;urls&gt;&lt;/urls&gt;&lt;custom1&gt;RAYYAN-INCLUSION: {&amp;quot;Irmela &amp;quot;=&amp;gt;true, &amp;quot;herrmann-frank&amp;quot;=&amp;gt;true}&lt;/custom1&gt;&lt;language&gt;English&lt;/language&gt;&lt;/record&gt;&lt;/Cite&gt;&lt;/EndNote&gt;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D6598">
              <w:rPr>
                <w:rFonts w:ascii="Times New Roman" w:hAnsi="Times New Roman"/>
                <w:noProof/>
                <w:sz w:val="16"/>
                <w:szCs w:val="16"/>
              </w:rPr>
              <w:t>(44)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4410AB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5E44F6A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Correlation between scoring systems focusing on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those focusing on functional status of knee joint </w:t>
            </w:r>
          </w:p>
        </w:tc>
        <w:tc>
          <w:tcPr>
            <w:tcW w:w="1701" w:type="dxa"/>
          </w:tcPr>
          <w:p w14:paraId="16B66AC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Study population of the Hannover Rehab study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  <w:t>Patients with knee injury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N=48 (73)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29.7 ± 11.8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22 ± 9.8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lastRenderedPageBreak/>
              <w:t>Patients with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  <w:t>femur fracture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N=107 (72)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26.8 ±13.9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23.3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Knee, femoral fracture, head</w:t>
            </w:r>
          </w:p>
        </w:tc>
        <w:tc>
          <w:tcPr>
            <w:tcW w:w="1415" w:type="dxa"/>
          </w:tcPr>
          <w:p w14:paraId="6F2A805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Surgical</w:t>
            </w:r>
          </w:p>
        </w:tc>
        <w:tc>
          <w:tcPr>
            <w:tcW w:w="1134" w:type="dxa"/>
          </w:tcPr>
          <w:p w14:paraId="4C8BABE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HASPOC,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254FA73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7BCE0BE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AAC1F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16.9 ± 4.9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2846DEB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Assessment via physician, NR </w:t>
            </w:r>
          </w:p>
        </w:tc>
        <w:tc>
          <w:tcPr>
            <w:tcW w:w="1843" w:type="dxa"/>
          </w:tcPr>
          <w:p w14:paraId="41DB3A9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correlation between scoring systems for functional knee condition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poorer outcome for patients with knee injuries compared to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patients with femoral fractures</w:t>
            </w:r>
          </w:p>
        </w:tc>
        <w:tc>
          <w:tcPr>
            <w:tcW w:w="992" w:type="dxa"/>
          </w:tcPr>
          <w:p w14:paraId="1264B052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1, p: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3, NA: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4,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769E44BC" w14:textId="77777777" w:rsidTr="0049492E">
        <w:trPr>
          <w:trHeight w:val="1449"/>
        </w:trPr>
        <w:tc>
          <w:tcPr>
            <w:tcW w:w="1129" w:type="dxa"/>
          </w:tcPr>
          <w:p w14:paraId="3E2D4D1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Simmel et al., 2013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&lt;EndNote&gt;&lt;Cite&gt;&lt;Author&gt;Simmel&lt;/Author&gt;&lt;Year&gt;2013&lt;/Year&gt;&lt;RecNum&gt;227&lt;/RecNum&gt;&lt;DisplayText&gt;(56)&lt;/DisplayText&gt;&lt;record&gt;&lt;rec-number&gt;227&lt;/rec-number&gt;&lt;foreign-keys&gt;&lt;key app="EN" db-id="wvp95v9rqtp2t4eevr3p090ctf9pw9ez5psw" timestamp="1477300870"&gt;227&lt;/key&gt;&lt;/foreign-keys&gt;&lt;ref-type name="Journal Article"&gt;17&lt;/ref-type&gt;&lt;contributors&gt;&lt;authors&gt;&lt;author&gt;Simmel, S.&lt;/author&gt;&lt;author&gt;Drisch, S.&lt;/author&gt;&lt;author&gt;Haag, S.&lt;/author&gt;&lt;author&gt;Buhren, V.&lt;/author&gt;&lt;/authors&gt;&lt;/contributors&gt;&lt;titles&gt;&lt;title&gt;Long-term results after multiple trauma with ISS &amp;gt; 25: Outcome and predictors of quality of life&lt;/title&gt;&lt;secondary-title&gt;Chirurg&lt;/secondary-title&gt;&lt;/titles&gt;&lt;periodical&gt;&lt;full-title&gt;Chirurg&lt;/full-title&gt;&lt;/periodical&gt;&lt;pages&gt;771-779&lt;/pages&gt;&lt;volume&gt;84&lt;/volume&gt;&lt;number&gt;9&lt;/number&gt;&lt;dates&gt;&lt;year&gt;2013&lt;/year&gt;&lt;pub-dates&gt;&lt;date&gt;2013-01-01&lt;/date&gt;&lt;/pub-dates&gt;&lt;/dates&gt;&lt;isbn&gt;--- - 0009-4722 - 0009-4722&lt;/isbn&gt;&lt;urls&gt;&lt;/urls&gt;&lt;language&gt;English, German&lt;/language&gt;&lt;/record&gt;&lt;/Cite&gt;&lt;/EndNote&gt;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AF3603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15C0122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health status many years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influencing factors</w:t>
            </w:r>
          </w:p>
        </w:tc>
        <w:tc>
          <w:tcPr>
            <w:tcW w:w="1701" w:type="dxa"/>
          </w:tcPr>
          <w:p w14:paraId="04851DBD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N=127 (76)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Mean 36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26-75, Mean 35.6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01D29E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21.1</w:t>
            </w:r>
          </w:p>
        </w:tc>
        <w:tc>
          <w:tcPr>
            <w:tcW w:w="1134" w:type="dxa"/>
          </w:tcPr>
          <w:p w14:paraId="081D089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Chart</w:t>
            </w:r>
          </w:p>
        </w:tc>
        <w:tc>
          <w:tcPr>
            <w:tcW w:w="850" w:type="dxa"/>
          </w:tcPr>
          <w:p w14:paraId="5CE065B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7AB50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23280F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38-108 months post trauma, Mean 70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689614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F660F2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Significantly reduced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health status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; higher age, female gender, low education and chronic previous illnesses have a negative impact on outcomes as well as difficulties with authorities/institutions, unemployment, long inpatient stays and subjectively inadequate inpatient treatment</w:t>
            </w:r>
          </w:p>
        </w:tc>
        <w:tc>
          <w:tcPr>
            <w:tcW w:w="992" w:type="dxa"/>
          </w:tcPr>
          <w:p w14:paraId="796018A4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8, p: 3,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7080F69F" w14:textId="77777777" w:rsidTr="0049492E">
        <w:trPr>
          <w:trHeight w:val="1449"/>
        </w:trPr>
        <w:tc>
          <w:tcPr>
            <w:tcW w:w="1129" w:type="dxa"/>
          </w:tcPr>
          <w:p w14:paraId="30BFD59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Sirois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Canada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&lt;EndNote&gt;&lt;Cite&gt;&lt;Author&gt;Sirois&lt;/Author&gt;&lt;Year&gt;2009&lt;/Year&gt;&lt;RecNum&gt;324&lt;/RecNum&gt;&lt;DisplayText&gt;(55)&lt;/DisplayText&gt;&lt;record&gt;&lt;rec-number&gt;324&lt;/rec-number&gt;&lt;foreign-keys&gt;&lt;key app="EN" db-id="v9rewpps3zpprdea2vov9059f5sp2efswfxx" timestamp="0"&gt;324&lt;/key&gt;&lt;/foreign-keys&gt;&lt;ref-type name="Journal Article"&gt;17&lt;/ref-type&gt;&lt;contributors&gt;&lt;authors&gt;&lt;author&gt;Sirois, M J&lt;/author&gt;&lt;author&gt;Dionne, C E&lt;/author&gt;&lt;author&gt;Lavoie, A&lt;/author&gt;&lt;/authors&gt;&lt;/contributors&gt;&lt;titles&gt;&lt;title&gt;Regional differences in rehabilitation needs, rehabilitation access, and physical outcomes among multiple trauma survivors&lt;/title&gt;&lt;secondary-title&gt;Am J Phys Med Rehabil&lt;/secondary-title&gt;&lt;/titles&gt;&lt;pages&gt;387-398&lt;/pages&gt;&lt;volume&gt;88&lt;/volume&gt;&lt;number&gt;5&lt;/number&gt;&lt;dates&gt;&lt;year&gt;2009&lt;/year&gt;&lt;/dates&gt;&lt;isbn&gt;0894-9115&lt;/isbn&gt;&lt;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(55)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A70B32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Retrospective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cohort study</w:t>
            </w:r>
          </w:p>
        </w:tc>
        <w:tc>
          <w:tcPr>
            <w:tcW w:w="1276" w:type="dxa"/>
          </w:tcPr>
          <w:p w14:paraId="6094CD3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Regional differences in perceived need for and barriers to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postacute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rehabilitation services; long-term functional outcomes and physical health outcomes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</w:p>
        </w:tc>
        <w:tc>
          <w:tcPr>
            <w:tcW w:w="1701" w:type="dxa"/>
          </w:tcPr>
          <w:p w14:paraId="47914A6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N=435 (64.5)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18-65, Mean 41.1 ± 15.1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1–75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Spine, brain, extremity</w:t>
            </w:r>
          </w:p>
        </w:tc>
        <w:tc>
          <w:tcPr>
            <w:tcW w:w="1415" w:type="dxa"/>
          </w:tcPr>
          <w:p w14:paraId="2BDF938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3B2B7A8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SF-12,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Version 2 (PCS and subscales physical function, role function and general health perception)</w:t>
            </w:r>
          </w:p>
        </w:tc>
        <w:tc>
          <w:tcPr>
            <w:tcW w:w="850" w:type="dxa"/>
          </w:tcPr>
          <w:p w14:paraId="0E08A11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7C19394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EB7935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2-4 years, Mean 3.3 ± 0.7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39D3BB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Telephone interview with patient (if necessary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proxy)</w:t>
            </w:r>
          </w:p>
        </w:tc>
        <w:tc>
          <w:tcPr>
            <w:tcW w:w="1843" w:type="dxa"/>
          </w:tcPr>
          <w:p w14:paraId="1208A8B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regional differences in perceived need and barriers to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postacute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rehabilitation services; no regional differences in long-term functional outcomes and physical health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with the exception of a slightly lower score in SF-12 subscale physical functioning in regions with limited availability of rehabilitation services</w:t>
            </w:r>
          </w:p>
        </w:tc>
        <w:tc>
          <w:tcPr>
            <w:tcW w:w="992" w:type="dxa"/>
          </w:tcPr>
          <w:p w14:paraId="713DF22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2492068C" w14:textId="77777777" w:rsidTr="0049492E">
        <w:trPr>
          <w:trHeight w:val="1449"/>
        </w:trPr>
        <w:tc>
          <w:tcPr>
            <w:tcW w:w="1129" w:type="dxa"/>
          </w:tcPr>
          <w:p w14:paraId="1E82343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Sluys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2005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Sweden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&lt;EndNote&gt;&lt;Cite&gt;&lt;Author&gt;Sluys&lt;/Author&gt;&lt;Year&gt;2005&lt;/Year&gt;&lt;RecNum&gt;345&lt;/RecNum&gt;&lt;DisplayText&gt;(68)&lt;/DisplayText&gt;&lt;record&gt;&lt;rec-number&gt;345&lt;/rec-number&gt;&lt;foreign-keys&gt;&lt;key app="EN" db-id="v9rewpps3zpprdea2vov9059f5sp2efswfxx" timestamp="0"&gt;345&lt;/key&gt;&lt;/foreign-keys&gt;&lt;ref-type name="Journal Article"&gt;17&lt;/ref-type&gt;&lt;contributors&gt;&lt;authors&gt;&lt;author&gt;Sluys, K.&lt;/author&gt;&lt;author&gt;Haggmark, T.&lt;/author&gt;&lt;author&gt;Iselius, L.&lt;/author&gt;&lt;/authors&gt;&lt;/contributors&gt;&lt;auth-address&gt;Department of Surgical Science, Karolinska Institute, Stockholm, Sweden. kerstin.sluys@telia.com&lt;/auth-address&gt;&lt;titles&gt;&lt;title&gt;Outcome and quality of life 5 years after major trauma&lt;/title&gt;&lt;secondary-title&gt;J Trauma&lt;/secondary-title&gt;&lt;alt-title&gt;The Journal of Trauma&lt;/alt-title&gt;&lt;/titles&gt;&lt;pages&gt;223-32&lt;/pages&gt;&lt;volume&gt;59&lt;/volume&gt;&lt;number&gt;1&lt;/number&gt;&lt;edition&gt;2005/08/13&lt;/edition&gt;&lt;keywords&gt;&lt;keyword&gt;Adolescent&lt;/keyword&gt;&lt;keyword&gt;Adult&lt;/keyword&gt;&lt;keyword&gt;Aged&lt;/keyword&gt;&lt;keyword&gt;Aged, 80 and over&lt;/keyword&gt;&lt;keyword&gt;Female&lt;/keyword&gt;&lt;keyword&gt;Health Status Indicators&lt;/keyword&gt;&lt;keyword&gt;Humans&lt;/keyword&gt;&lt;keyword&gt;Injury Severity Score&lt;/keyword&gt;&lt;keyword&gt;Male&lt;/keyword&gt;&lt;keyword&gt;Middle Aged&lt;/keyword&gt;&lt;keyword&gt;*Outcome Assessment (Health Care)&lt;/keyword&gt;&lt;keyword&gt;*Quality of Life&lt;/keyword&gt;&lt;keyword&gt;Risk Factors&lt;/keyword&gt;&lt;keyword&gt;Statistics, Nonparametric&lt;/keyword&gt;&lt;keyword&gt;Wounds and Injuries/complications/*therapy&lt;/keyword&gt;&lt;/keywords&gt;&lt;dates&gt;&lt;year&gt;2005&lt;/year&gt;&lt;pub-dates&gt;&lt;date&gt;Jul&lt;/date&gt;&lt;/pub-dates&gt;&lt;/dates&gt;&lt;isbn&gt;0022-5282 (Print)&amp;#xD;0022-5282&lt;/isbn&gt;&lt;accession-num&gt;16096568&lt;/accession-num&gt;&lt;urls&gt;&lt;/urls&gt;&lt;remote-database-provider&gt;NLM&lt;/remote-database-provider&gt;&lt;language&gt;eng&lt;/language&gt;&lt;/record&gt;&lt;/Cite&gt;&lt;/EndNote&gt;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419DE9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6F7D6B6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Outcome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5 years after injury and identification of factors potentially associated with outcome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</w:p>
        </w:tc>
        <w:tc>
          <w:tcPr>
            <w:tcW w:w="1701" w:type="dxa"/>
          </w:tcPr>
          <w:p w14:paraId="398DFD66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N=205 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20-87,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9-57,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3-5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Extremities, pelvic girdle, head and neck, chest, external/skin, abdominal or pelvic content, face</w:t>
            </w:r>
          </w:p>
        </w:tc>
        <w:tc>
          <w:tcPr>
            <w:tcW w:w="1415" w:type="dxa"/>
          </w:tcPr>
          <w:p w14:paraId="173F07B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Surgical, conservative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Days ICU stay: 1-86, Mean 4</w:t>
            </w:r>
          </w:p>
        </w:tc>
        <w:tc>
          <w:tcPr>
            <w:tcW w:w="1134" w:type="dxa"/>
          </w:tcPr>
          <w:p w14:paraId="6817291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5B90CAC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CC0D3B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C870AF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5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13BD81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or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telephone interview</w:t>
            </w:r>
          </w:p>
        </w:tc>
        <w:tc>
          <w:tcPr>
            <w:tcW w:w="1843" w:type="dxa"/>
          </w:tcPr>
          <w:p w14:paraId="6814391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Relevant decrease in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permanent impairments as well as disabilities in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most of the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affected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001585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ength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 hospital stay, days spent on ICU, surgical procedures, in-hospital major complications, age, recurrent injury, and inadequate information are risk factors for poor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injury severity did not predict poor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14:paraId="6ADFBE3C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3,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1437F844" w14:textId="77777777" w:rsidTr="0049492E">
        <w:trPr>
          <w:trHeight w:val="1449"/>
        </w:trPr>
        <w:tc>
          <w:tcPr>
            <w:tcW w:w="1129" w:type="dxa"/>
          </w:tcPr>
          <w:p w14:paraId="1112015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Soberg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Norway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&lt;EndNote&gt;&lt;Cite&gt;&lt;Author&gt;Soberg&lt;/Author&gt;&lt;Year&gt;2007&lt;/Year&gt;&lt;RecNum&gt;326&lt;/RecNum&gt;&lt;DisplayText&gt;(58)&lt;/DisplayText&gt;&lt;record&gt;&lt;rec-number&gt;326&lt;/rec-number&gt;&lt;foreign-keys&gt;&lt;key app="EN" db-id="v9rewpps3zpprdea2vov9059f5sp2efswfxx" timestamp="0"&gt;326&lt;/key&gt;&lt;/foreign-keys&gt;&lt;ref-type name="Journal Article"&gt;17&lt;/ref-type&gt;&lt;contributors&gt;&lt;authors&gt;&lt;author&gt;Soberg, Helene Lundgaard&lt;/author&gt;&lt;author&gt;Finset, Arnstein&lt;/author&gt;&lt;author&gt;Bautz-Holter, Erik&lt;/author&gt;&lt;author&gt;Sandvik, Leiv&lt;/author&gt;&lt;author&gt;Roise, Olav&lt;/author&gt;&lt;/authors&gt;&lt;/contributors&gt;&lt;titles&gt;&lt;title&gt;Return to work after severe multiple injuries: A multidimensional approach on status 1 and 2 years postinjury&lt;/title&gt;&lt;secondary-title&gt;J Trauma &lt;/secondary-title&gt;&lt;/titles&gt;&lt;pages&gt;471-481&lt;/pages&gt;&lt;volume&gt;62&lt;/volume&gt;&lt;number&gt;2&lt;/number&gt;&lt;dates&gt;&lt;year&gt;2007&lt;/year&gt;&lt;/dates&gt;&lt;isbn&gt;2163-0755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ACAA10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4A90606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Complete and partial return to work rate; prognostic factors for complete return to work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</w:p>
        </w:tc>
        <w:tc>
          <w:tcPr>
            <w:tcW w:w="1701" w:type="dxa"/>
          </w:tcPr>
          <w:p w14:paraId="1FCE7D86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N=100 (82)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18-67, 34.5 ± 13.5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28.1 ±11.3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Head/neck, face chest, abdomen/pelvic content, extremity, external, spinal cord</w:t>
            </w:r>
          </w:p>
        </w:tc>
        <w:tc>
          <w:tcPr>
            <w:tcW w:w="1415" w:type="dxa"/>
          </w:tcPr>
          <w:p w14:paraId="4FB2431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Ventilator days (median): 5 (IR 9)</w:t>
            </w:r>
          </w:p>
        </w:tc>
        <w:tc>
          <w:tcPr>
            <w:tcW w:w="1134" w:type="dxa"/>
          </w:tcPr>
          <w:p w14:paraId="04C39E4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5F9C89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-</w:t>
            </w:r>
          </w:p>
        </w:tc>
        <w:tc>
          <w:tcPr>
            <w:tcW w:w="995" w:type="dxa"/>
          </w:tcPr>
          <w:p w14:paraId="134651D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BBE998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20.0 ± 9.5 weeks, 1 year and 2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!</w:t>
            </w:r>
          </w:p>
        </w:tc>
        <w:tc>
          <w:tcPr>
            <w:tcW w:w="1276" w:type="dxa"/>
          </w:tcPr>
          <w:p w14:paraId="2A154DA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post, telephone interview of 2 patients</w:t>
            </w:r>
          </w:p>
        </w:tc>
        <w:tc>
          <w:tcPr>
            <w:tcW w:w="1843" w:type="dxa"/>
          </w:tcPr>
          <w:p w14:paraId="0E51BA1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Complete return to work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 out of 10 patients 2 years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2/3 active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ly attempting to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return to work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L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ower education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low social functioning and &gt; 20 weeks in hospital or rehabilitation are risk factors for not returning to work;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tendentially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better mental health in returnees than in non-returnees to work, overall lower mental sum scores than for general population; physical health 1 year after trauma significantly lower than for general population</w:t>
            </w:r>
          </w:p>
        </w:tc>
        <w:tc>
          <w:tcPr>
            <w:tcW w:w="992" w:type="dxa"/>
          </w:tcPr>
          <w:p w14:paraId="705BFE4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8, p: 2,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6F38D2DD" w14:textId="77777777" w:rsidTr="0049492E">
        <w:trPr>
          <w:trHeight w:val="1449"/>
        </w:trPr>
        <w:tc>
          <w:tcPr>
            <w:tcW w:w="1129" w:type="dxa"/>
          </w:tcPr>
          <w:p w14:paraId="423BFAF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Soberg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Norway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&lt;EndNote&gt;&lt;Cite&gt;&lt;Author&gt;Soberg&lt;/Author&gt;&lt;Year&gt;2011&lt;/Year&gt;&lt;RecNum&gt;325&lt;/RecNum&gt;&lt;DisplayText&gt;(57)&lt;/DisplayText&gt;&lt;record&gt;&lt;rec-number&gt;325&lt;/rec-number&gt;&lt;foreign-keys&gt;&lt;key app="EN" db-id="v9rewpps3zpprdea2vov9059f5sp2efswfxx" timestamp="0"&gt;325&lt;/key&gt;&lt;/foreign-keys&gt;&lt;ref-type name="Journal Article"&gt;17&lt;/ref-type&gt;&lt;contributors&gt;&lt;authors&gt;&lt;author&gt;Soberg, Helene L&lt;/author&gt;&lt;author&gt;Roise, Olav&lt;/author&gt;&lt;author&gt;Bautz-Holter, Erik&lt;/author&gt;&lt;author&gt;Finset, Arnstein&lt;/author&gt;&lt;/authors&gt;&lt;/contributors&gt;&lt;titles&gt;&lt;title&gt;Returning to work after severe multiple injuries: Multidimensional functioning and the trajectory from injury to work at 5 years&lt;/title&gt;&lt;secondary-title&gt;J Trauma &lt;/secondary-title&gt;&lt;/titles&gt;&lt;pages&gt;425-434&lt;/pages&gt;&lt;volume&gt;71&lt;/volume&gt;&lt;number&gt;2&lt;/number&gt;&lt;dates&gt;&lt;year&gt;2011&lt;/year&gt;&lt;/dates&gt;&lt;isbn&gt;2163-0755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(57)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1218447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4806E4B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Work status and trajectory of return to work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; prognostic factors for the return to work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over 5 years</w:t>
            </w:r>
          </w:p>
        </w:tc>
        <w:tc>
          <w:tcPr>
            <w:tcW w:w="1701" w:type="dxa"/>
          </w:tcPr>
          <w:p w14:paraId="4B82154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N=75 (83)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18-67, 34.5 ± 13.5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NRTW-Group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28.9 ± 12.5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RTW-Group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25.8 ± 10.8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Head (TBI), face chest, abdomen/pelvic content, spinal, upper extremity, lower extremity </w:t>
            </w:r>
          </w:p>
        </w:tc>
        <w:tc>
          <w:tcPr>
            <w:tcW w:w="1415" w:type="dxa"/>
          </w:tcPr>
          <w:p w14:paraId="58763C5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4AF6051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5B2E064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FB340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ABAD09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20.0 ± 9.5 weeks, 1 year, 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years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5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  <w:tc>
          <w:tcPr>
            <w:tcW w:w="1276" w:type="dxa"/>
          </w:tcPr>
          <w:p w14:paraId="1BE0FF8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1B7D39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Complete return to work of 50%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over 5 years, 23% receive disability benefits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H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igher education, better physical, social and cognitive functioning and use of coping strategies are prognostic factors for returning to work; generally better physical and mental functioning after trauma in returnees to work than in non-returnees</w:t>
            </w:r>
          </w:p>
        </w:tc>
        <w:tc>
          <w:tcPr>
            <w:tcW w:w="992" w:type="dxa"/>
          </w:tcPr>
          <w:p w14:paraId="243DBAE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7,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1,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5480662A" w14:textId="77777777" w:rsidTr="0049492E">
        <w:trPr>
          <w:trHeight w:val="362"/>
        </w:trPr>
        <w:tc>
          <w:tcPr>
            <w:tcW w:w="1129" w:type="dxa"/>
          </w:tcPr>
          <w:p w14:paraId="71FE4E0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Stulemeijer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&lt;EndNote&gt;&lt;Cite&gt;&lt;Author&gt;Stulemeijer&lt;/Author&gt;&lt;Year&gt;2006&lt;/Year&gt;&lt;RecNum&gt;327&lt;/RecNum&gt;&lt;DisplayText&gt;(79)&lt;/DisplayText&gt;&lt;record&gt;&lt;rec-number&gt;327&lt;/rec-number&gt;&lt;foreign-keys&gt;&lt;key app="EN" db-id="v9rewpps3zpprdea2vov9059f5sp2efswfxx" timestamp="0"&gt;327&lt;/key&gt;&lt;/foreign-keys&gt;&lt;ref-type name="Journal Article"&gt;17&lt;/ref-type&gt;&lt;contributors&gt;&lt;authors&gt;&lt;author&gt;Stulemeijer, Maja&lt;/author&gt;&lt;author&gt;van der Werf, Sieberen&lt;/author&gt;&lt;author&gt;Jacobs, Bram&lt;/author&gt;&lt;author&gt;Biert, Jan&lt;/author&gt;&lt;author&gt;van Vugt, Arie B&lt;/author&gt;&lt;author&gt;Brauer, Jolanda MP&lt;/author&gt;&lt;author&gt;Vos, Pieter E&lt;/author&gt;&lt;/authors&gt;&lt;/contributors&gt;&lt;titles&gt;&lt;title&gt;Impact of additional extracranial injuries on outcome after mild traumatic brain injury&lt;/title&gt;&lt;secondary-title&gt;Journal of Neurotrauma&lt;/secondary-title&gt;&lt;/titles&gt;&lt;pages&gt;1561-1569&lt;/pages&gt;&lt;volume&gt;23&lt;/volume&gt;&lt;number&gt;10&lt;/number&gt;&lt;dates&gt;&lt;year&gt;2006&lt;/year&gt;&lt;/dates&gt;&lt;isbn&gt;0897-7151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4404A2E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00E99C6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Impact of additional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extracranial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injuries on functional outcomes and on post-concussion symptoms in patients with mild TBI</w:t>
            </w:r>
          </w:p>
        </w:tc>
        <w:tc>
          <w:tcPr>
            <w:tcW w:w="1701" w:type="dxa"/>
          </w:tcPr>
          <w:p w14:paraId="1D230A1F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Isolated TBI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N=210 (63)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35.2 ± 12.3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1-17, Mean 4.7 ± 3.4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 (head): 1-4. Mean 1.9 ± 0.7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TBI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extracranial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 injuries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N=89 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37.9 ± 12.0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5-41, Mean 14.5 ± 7.4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 (head): 1-5, Mean 2.3 ± 0.8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Control Group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N=261 (45)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Age, ISS, 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TBI, extremities, face, chest, abdomen, external</w:t>
            </w:r>
          </w:p>
        </w:tc>
        <w:tc>
          <w:tcPr>
            <w:tcW w:w="1415" w:type="dxa"/>
          </w:tcPr>
          <w:p w14:paraId="6447F8C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3820453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490B6F39" w14:textId="77777777" w:rsidR="00486EB3" w:rsidRPr="007A557C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7A557C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56B6B24D" w14:textId="77777777" w:rsidR="00486EB3" w:rsidRPr="007A557C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7A557C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SF-36 </w:t>
            </w:r>
            <w:r w:rsidRPr="007A557C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(sub-scales of physical and social functioning)</w:t>
            </w:r>
          </w:p>
        </w:tc>
        <w:tc>
          <w:tcPr>
            <w:tcW w:w="1276" w:type="dxa"/>
          </w:tcPr>
          <w:p w14:paraId="39E3109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 Months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5700117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38AA432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Poorer functional outcomes (i.e. lower levels of physical function, lower rates of return to work and generally worse outcomes) of patients with additional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extracranial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injuries and mild TBI but equal level of post-concussion symptoms; greater impairment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compared to the control group with mild injuries</w:t>
            </w:r>
          </w:p>
        </w:tc>
        <w:tc>
          <w:tcPr>
            <w:tcW w:w="992" w:type="dxa"/>
          </w:tcPr>
          <w:p w14:paraId="76DE982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559AA658" w14:textId="77777777" w:rsidTr="0049492E">
        <w:trPr>
          <w:trHeight w:val="1449"/>
        </w:trPr>
        <w:tc>
          <w:tcPr>
            <w:tcW w:w="1129" w:type="dxa"/>
          </w:tcPr>
          <w:p w14:paraId="5CDC2A1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Suzuki et al., 2007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Japan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&lt;EndNote&gt;&lt;Cite&gt;&lt;Author&gt;Suzuki&lt;/Author&gt;&lt;Year&gt;2007&lt;/Year&gt;&lt;RecNum&gt;339&lt;/RecNum&gt;&lt;DisplayText&gt;(69)&lt;/DisplayText&gt;&lt;record&gt;&lt;rec-number&gt;339&lt;/rec-number&gt;&lt;foreign-keys&gt;&lt;key app="EN" db-id="v9rewpps3zpprdea2vov9059f5sp2efswfxx" timestamp="0"&gt;339&lt;/key&gt;&lt;/foreign-keys&gt;&lt;ref-type name="Journal Article"&gt;17&lt;/ref-type&gt;&lt;contributors&gt;&lt;authors&gt;&lt;author&gt;Suzuki, T.&lt;/author&gt;&lt;author&gt;Shindo, M.&lt;/author&gt;&lt;author&gt;Soma, K.&lt;/author&gt;&lt;author&gt;Minehara, H.&lt;/author&gt;&lt;author&gt;Nakamura, K.&lt;/author&gt;&lt;author&gt;Uchino, M.&lt;/author&gt;&lt;author&gt;Itoman, M.&lt;/author&gt;&lt;/authors&gt;&lt;/contributors&gt;&lt;auth-address&gt;Departments of Emergency Medicine and Critical Care, Kitasato University School of Medicine, Sagamihara, Japan. taku@mars.dti.ne.jp&lt;/auth-address&gt;&lt;titles&gt;&lt;title&gt;Long-term functional outcome after unstable pelvic ring fracture&lt;/title&gt;&lt;secondary-title&gt;J Trauma&lt;/secondary-title&gt;&lt;alt-title&gt;The Journal of trauma&lt;/alt-title&gt;&lt;/titles&gt;&lt;pages&gt;884-8&lt;/pages&gt;&lt;volume&gt;63&lt;/volume&gt;&lt;number&gt;4&lt;/number&gt;&lt;edition&gt;2007/12/20&lt;/edition&gt;&lt;keywords&gt;&lt;keyword&gt;Adult&lt;/keyword&gt;&lt;keyword&gt;Comorbidity&lt;/keyword&gt;&lt;keyword&gt;Female&lt;/keyword&gt;&lt;keyword&gt;Fractures, Bone/*epidemiology/therapy&lt;/keyword&gt;&lt;keyword&gt;Humans&lt;/keyword&gt;&lt;keyword&gt;Injury Severity Score&lt;/keyword&gt;&lt;keyword&gt;Japan/epidemiology&lt;/keyword&gt;&lt;keyword&gt;Longitudinal Studies&lt;/keyword&gt;&lt;keyword&gt;Male&lt;/keyword&gt;&lt;keyword&gt;Multivariate Analysis&lt;/keyword&gt;&lt;keyword&gt;Outcome Assessment (Health Care)&lt;/keyword&gt;&lt;keyword&gt;Pelvic Bones/*injuries&lt;/keyword&gt;&lt;keyword&gt;Peripheral Nervous System Diseases/epidemiology&lt;/keyword&gt;&lt;keyword&gt;Prognosis&lt;/keyword&gt;&lt;keyword&gt;Recovery of Function&lt;/keyword&gt;&lt;keyword&gt;Regression Analysis&lt;/keyword&gt;&lt;/keywords&gt;&lt;dates&gt;&lt;year&gt;2007&lt;/year&gt;&lt;pub-dates&gt;&lt;date&gt;Oct&lt;/date&gt;&lt;/pub-dates&gt;&lt;/dates&gt;&lt;isbn&gt;0022-5282&lt;/isbn&gt;&lt;accession-num&gt;18090021&lt;/accession-num&gt;&lt;urls&gt;&lt;/urls&gt;&lt;electronic-resource-num&gt;10.1097/01.ta.0000235888.90489.fc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(69)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548274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3C177DA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Evaluation of long-term functional outcome of patients with unstable pelvic ring fractures and correlation with other factors</w:t>
            </w:r>
          </w:p>
        </w:tc>
        <w:tc>
          <w:tcPr>
            <w:tcW w:w="1701" w:type="dxa"/>
          </w:tcPr>
          <w:p w14:paraId="6C3B2AC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N=57 (49)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16-72, Mean 42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9-50, Mean 24.6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Pelvic fracture</w:t>
            </w:r>
          </w:p>
        </w:tc>
        <w:tc>
          <w:tcPr>
            <w:tcW w:w="1415" w:type="dxa"/>
          </w:tcPr>
          <w:p w14:paraId="34E420D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Surgical and conservative </w:t>
            </w:r>
          </w:p>
        </w:tc>
        <w:tc>
          <w:tcPr>
            <w:tcW w:w="1134" w:type="dxa"/>
          </w:tcPr>
          <w:p w14:paraId="2ECC427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SF-36</w:t>
            </w:r>
          </w:p>
        </w:tc>
        <w:tc>
          <w:tcPr>
            <w:tcW w:w="850" w:type="dxa"/>
          </w:tcPr>
          <w:p w14:paraId="6D1E230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3832709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21597B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24.4-107.4 months, Mean 47.2 months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168FE1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Questionnaire; during clinical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reevaluation</w:t>
            </w:r>
            <w:proofErr w:type="spellEnd"/>
          </w:p>
        </w:tc>
        <w:tc>
          <w:tcPr>
            <w:tcW w:w="1843" w:type="dxa"/>
          </w:tcPr>
          <w:p w14:paraId="03E7EF2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Functional outcome was not associated with ISS, fracture location or type of fracture; neurologic injury correlated with poor functional outcome</w:t>
            </w:r>
          </w:p>
        </w:tc>
        <w:tc>
          <w:tcPr>
            <w:tcW w:w="992" w:type="dxa"/>
          </w:tcPr>
          <w:p w14:paraId="73CE8A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4, p: 9,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15BCDE9A" w14:textId="77777777" w:rsidTr="0049492E">
        <w:trPr>
          <w:trHeight w:val="1449"/>
        </w:trPr>
        <w:tc>
          <w:tcPr>
            <w:tcW w:w="1129" w:type="dxa"/>
          </w:tcPr>
          <w:p w14:paraId="28EC69C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Tee et al., 2014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Australia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&lt;EndNote&gt;&lt;Cite&gt;&lt;Author&gt;Tee&lt;/Author&gt;&lt;Year&gt;2014&lt;/Year&gt;&lt;RecNum&gt;94&lt;/RecNum&gt;&lt;DisplayText&gt;(72)&lt;/DisplayText&gt;&lt;record&gt;&lt;rec-number&gt;94&lt;/rec-number&gt;&lt;foreign-keys&gt;&lt;key app="EN" db-id="v9rewpps3zpprdea2vov9059f5sp2efswfxx" timestamp="0"&gt;94&lt;/key&gt;&lt;/foreign-keys&gt;&lt;ref-type name="Journal Article"&gt;17&lt;/ref-type&gt;&lt;contributors&gt;&lt;authors&gt;&lt;author&gt;Tee, J. W.&lt;/author&gt;&lt;author&gt;Chan, C. H. P.&lt;/author&gt;&lt;author&gt;Gruen, R. L.&lt;/author&gt;&lt;author&gt;Fitzgerald, M. C. B.&lt;/author&gt;&lt;author&gt;Liew, S. M.&lt;/author&gt;&lt;author&gt;Cameron, P. A.&lt;/author&gt;&lt;author&gt;Rosenfeld, J. V.&lt;/author&gt;&lt;/authors&gt;&lt;/contributors&gt;&lt;titles&gt;&lt;title&gt;Early predictors of health-related quality of life outcomes in polytrauma patients with spine injuries: A level 1 trauma center study&lt;/title&gt;&lt;secondary-title&gt;Global Spine J&lt;/secondary-title&gt;&lt;/titles&gt;&lt;pages&gt;21-32&lt;/pages&gt;&lt;volume&gt;4&lt;/volume&gt;&lt;number&gt;1&lt;/number&gt;&lt;dates&gt;&lt;year&gt;2014&lt;/year&gt;&lt;pub-dates&gt;&lt;date&gt;2014-01-01&lt;/date&gt;&lt;/pub-dates&gt;&lt;/dates&gt;&lt;isbn&gt;2192-5682&lt;/isbn&gt;&lt;urls&gt;&lt;related-urls&gt;&lt;url&gt;http://www.thieme.com/index.php?page=shop.product_details&amp;amp;flypage=flypage.tpl&amp;amp;product_id=1351&amp;amp;category_id=90&amp;amp;option=com_virtuemart&amp;amp;Itemid=53&lt;/url&gt;&lt;/related-urls&gt;&lt;/urls&gt;&lt;language&gt;English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(72)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10A352D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64AD972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Early predictors of suboptimal health status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spine injuries</w:t>
            </w:r>
          </w:p>
        </w:tc>
        <w:tc>
          <w:tcPr>
            <w:tcW w:w="1701" w:type="dxa"/>
          </w:tcPr>
          <w:p w14:paraId="728CDB4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N: 479 (71.8)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47.5 ± 19.1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Md14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TBI, spine</w:t>
            </w:r>
          </w:p>
        </w:tc>
        <w:tc>
          <w:tcPr>
            <w:tcW w:w="1415" w:type="dxa"/>
          </w:tcPr>
          <w:p w14:paraId="20C6304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6E35FD4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SF-12</w:t>
            </w:r>
          </w:p>
        </w:tc>
        <w:tc>
          <w:tcPr>
            <w:tcW w:w="850" w:type="dxa"/>
          </w:tcPr>
          <w:p w14:paraId="2841D06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7FE4C9F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725250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 year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370A7A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843" w:type="dxa"/>
          </w:tcPr>
          <w:p w14:paraId="27FCE04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Early risk factors of suboptimal physical health or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are tachycardia,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hyperglycemia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multiple chronic pre-existing medical comorbidities and thoracic spine injuries </w:t>
            </w:r>
          </w:p>
        </w:tc>
        <w:tc>
          <w:tcPr>
            <w:tcW w:w="992" w:type="dxa"/>
          </w:tcPr>
          <w:p w14:paraId="2B34701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7, p: 3,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5492384A" w14:textId="77777777" w:rsidTr="0049492E">
        <w:trPr>
          <w:trHeight w:val="1449"/>
        </w:trPr>
        <w:tc>
          <w:tcPr>
            <w:tcW w:w="1129" w:type="dxa"/>
          </w:tcPr>
          <w:p w14:paraId="09B46EEC" w14:textId="77777777" w:rsidR="00486EB3" w:rsidRPr="00001585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1585">
              <w:rPr>
                <w:rFonts w:ascii="Times New Roman" w:hAnsi="Times New Roman"/>
                <w:sz w:val="16"/>
                <w:szCs w:val="16"/>
              </w:rPr>
              <w:t xml:space="preserve">Van Delft-Schreurs et al., 2016 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 w:rsidRPr="005D6598"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&lt;EndNote&gt;&lt;Cite&gt;&lt;Author&gt;van Delft-Schreurs&lt;/Author&gt;&lt;Year&gt;2016&lt;/Year&gt;&lt;RecNum&gt;401&lt;/RecNum&gt;&lt;DisplayText&gt;(74)&lt;/DisplayText&gt;&lt;record&gt;&lt;rec-number&gt;401&lt;/rec-number&gt;&lt;foreign-keys&gt;&lt;key app="EN" db-id="v9rewpps3zpprdea2vov9059f5sp2efswfxx" timestamp="0"&gt;401&lt;/key&gt;&lt;/foreign-keys&gt;&lt;ref-type name="Journal Article"&gt;17&lt;/ref-type&gt;&lt;contributors&gt;&lt;authors&gt;&lt;author&gt;van Delft-Schreurs, CCHM&lt;/author&gt;&lt;author&gt;van Son, MAC&lt;/author&gt;&lt;author&gt;de Jongh, MAC&lt;/author&gt;&lt;author&gt;Gosens, T&lt;/author&gt;&lt;author&gt;Verhofstad, MHJ&lt;/author&gt;&lt;author&gt;de Vries, J&lt;/author&gt;&lt;/authors&gt;&lt;/contributors&gt;&lt;titles&gt;&lt;title&gt;Psychometric properties of the Dutch Short Musculoskeletal Function Assessment (SMFA) questionnaire in severly injured patients&lt;/title&gt;&lt;secondary-title&gt;Injury&lt;/secondary-title&gt;&lt;/titles&gt;&lt;pages&gt;2034-2040&lt;/pages&gt;&lt;volume&gt;47&lt;/volume&gt;&lt;dates&gt;&lt;year&gt;2016&lt;/year&gt;&lt;/dates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D6598">
              <w:rPr>
                <w:rFonts w:ascii="Times New Roman" w:hAnsi="Times New Roman"/>
                <w:noProof/>
                <w:sz w:val="16"/>
                <w:szCs w:val="16"/>
              </w:rPr>
              <w:t>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6A10175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Retrospective monocentric cross-sectional cohort study</w:t>
            </w:r>
          </w:p>
        </w:tc>
        <w:tc>
          <w:tcPr>
            <w:tcW w:w="1276" w:type="dxa"/>
          </w:tcPr>
          <w:p w14:paraId="065B787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Structure and psychometric properties of the Dutch SMFA questionnaire in severely injured patients</w:t>
            </w:r>
          </w:p>
        </w:tc>
        <w:tc>
          <w:tcPr>
            <w:tcW w:w="1701" w:type="dxa"/>
          </w:tcPr>
          <w:p w14:paraId="7E2A02C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N=173 (69)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46 ± 19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≥ 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Upper and lower extremity, TBI</w:t>
            </w:r>
          </w:p>
        </w:tc>
        <w:tc>
          <w:tcPr>
            <w:tcW w:w="1415" w:type="dxa"/>
          </w:tcPr>
          <w:p w14:paraId="2CB8EB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4D25CC3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SMFA, WHOQOL-BREF</w:t>
            </w:r>
          </w:p>
        </w:tc>
        <w:tc>
          <w:tcPr>
            <w:tcW w:w="850" w:type="dxa"/>
          </w:tcPr>
          <w:p w14:paraId="3E175AC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101679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4DF0F98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1.3-4.4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30A0B34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</w:p>
        </w:tc>
        <w:tc>
          <w:tcPr>
            <w:tcW w:w="1843" w:type="dxa"/>
          </w:tcPr>
          <w:p w14:paraId="200AE72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Good psychometric properties of the Dutch SMFA in severely injured people and strong correlations between the SMFA and WHOQOL-BREF; Dutch SMFA seems to be valid and useful for generating an overview of physical limitations and emotional problems</w:t>
            </w:r>
          </w:p>
        </w:tc>
        <w:tc>
          <w:tcPr>
            <w:tcW w:w="992" w:type="dxa"/>
          </w:tcPr>
          <w:p w14:paraId="5D53027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y: 7,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n: 1,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5,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 p*: 1,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si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1</w:t>
            </w:r>
          </w:p>
        </w:tc>
      </w:tr>
      <w:tr w:rsidR="00486EB3" w:rsidRPr="00654BB7" w14:paraId="34822522" w14:textId="77777777" w:rsidTr="0049492E">
        <w:trPr>
          <w:trHeight w:val="1449"/>
        </w:trPr>
        <w:tc>
          <w:tcPr>
            <w:tcW w:w="1129" w:type="dxa"/>
          </w:tcPr>
          <w:p w14:paraId="08865D6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Victorson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2008 USA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&lt;EndNote&gt;&lt;Cite&gt;&lt;Author&gt;Victorson&lt;/Author&gt;&lt;Year&gt;2008&lt;/Year&gt;&lt;RecNum&gt;338&lt;/RecNum&gt;&lt;DisplayText&gt;(84)&lt;/DisplayText&gt;&lt;record&gt;&lt;rec-number&gt;338&lt;/rec-number&gt;&lt;foreign-keys&gt;&lt;key app="EN" db-id="v9rewpps3zpprdea2vov9059f5sp2efswfxx" timestamp="0"&gt;338&lt;/key&gt;&lt;/foreign-keys&gt;&lt;ref-type name="Journal Article"&gt;17&lt;/ref-type&gt;&lt;contributors&gt;&lt;authors&gt;&lt;author&gt;Victorson, D. E.&lt;/author&gt;&lt;author&gt;Enders, C. K.&lt;/author&gt;&lt;author&gt;Burnett, K. F.&lt;/author&gt;&lt;author&gt;Ouellette, E. A.&lt;/author&gt;&lt;/authors&gt;&lt;/contributors&gt;&lt;auth-address&gt;Department of Psychiatry and Behavioral Sciences, Northwestern University Feinberg School of Medicine, Chicago, IL, USA. d-victorson@northwestern.edu&lt;/auth-address&gt;&lt;titles&gt;&lt;title&gt;The Injury Distress Index: development and validation&lt;/title&gt;&lt;secondary-title&gt;Arch Phys Med Rehabil&lt;/secondary-title&gt;&lt;alt-title&gt;Archives of Physical Medicine and Rehabilitation&lt;/alt-title&gt;&lt;/titles&gt;&lt;pages&gt;1893-902&lt;/pages&gt;&lt;volume&gt;89&lt;/volume&gt;&lt;number&gt;10&lt;/number&gt;&lt;edition&gt;2008/10/22&lt;/edition&gt;&lt;keywords&gt;&lt;keyword&gt;Adult&lt;/keyword&gt;&lt;keyword&gt;Anxiety/diagnosis&lt;/keyword&gt;&lt;keyword&gt;Depression/diagnosis&lt;/keyword&gt;&lt;keyword&gt;Female&lt;/keyword&gt;&lt;keyword&gt;Humans&lt;/keyword&gt;&lt;keyword&gt;Injury Severity Score&lt;/keyword&gt;&lt;keyword&gt;Length of Stay/statistics &amp;amp; numerical data&lt;/keyword&gt;&lt;keyword&gt;Male&lt;/keyword&gt;&lt;keyword&gt;Pain Measurement&lt;/keyword&gt;&lt;keyword&gt;Psychometrics&lt;/keyword&gt;&lt;keyword&gt;Self-Assessment&lt;/keyword&gt;&lt;keyword&gt;Surveys and Questionnaires&lt;/keyword&gt;&lt;keyword&gt;Wounds and Injuries/*psychology&lt;/keyword&gt;&lt;/keywords&gt;&lt;dates&gt;&lt;year&gt;2008&lt;/year&gt;&lt;pub-dates&gt;&lt;date&gt;Oct&lt;/date&gt;&lt;/pub-dates&gt;&lt;/dates&gt;&lt;isbn&gt;0003-9993&lt;/isbn&gt;&lt;accession-num&gt;18929018&lt;/accession-num&gt;&lt;urls&gt;&lt;/urls&gt;&lt;electronic-resource-num&gt;10.1016/j.apmr.2008.02.032&lt;/electronic-resource-num&gt;&lt;remote-database-provider&gt;NLM&lt;/remote-database-provider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(84)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25BA0F3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Mixed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ethod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monocentric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study</w:t>
            </w:r>
          </w:p>
        </w:tc>
        <w:tc>
          <w:tcPr>
            <w:tcW w:w="1276" w:type="dxa"/>
          </w:tcPr>
          <w:p w14:paraId="6DE564F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Development and validation of the injury distress index (IDI)</w:t>
            </w:r>
          </w:p>
        </w:tc>
        <w:tc>
          <w:tcPr>
            <w:tcW w:w="1701" w:type="dxa"/>
          </w:tcPr>
          <w:p w14:paraId="145EA72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N=169 (66.1)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34.5±11.1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NR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1-5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Lower extremity, upper extremity, burn (21%)</w:t>
            </w:r>
          </w:p>
        </w:tc>
        <w:tc>
          <w:tcPr>
            <w:tcW w:w="1415" w:type="dxa"/>
          </w:tcPr>
          <w:p w14:paraId="0E404E9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Surgical, conservative</w:t>
            </w:r>
          </w:p>
        </w:tc>
        <w:tc>
          <w:tcPr>
            <w:tcW w:w="1134" w:type="dxa"/>
          </w:tcPr>
          <w:p w14:paraId="5413467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50" w:type="dxa"/>
          </w:tcPr>
          <w:p w14:paraId="02829CF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7CBAA5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B5358F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8 days after admission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1789393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questionnaire; trauma cent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</w:t>
            </w:r>
          </w:p>
        </w:tc>
        <w:tc>
          <w:tcPr>
            <w:tcW w:w="1843" w:type="dxa"/>
          </w:tcPr>
          <w:p w14:paraId="066527B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IDI showed acceptable reliability and validity </w:t>
            </w:r>
          </w:p>
        </w:tc>
        <w:tc>
          <w:tcPr>
            <w:tcW w:w="992" w:type="dxa"/>
          </w:tcPr>
          <w:p w14:paraId="71B1291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MMAT: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y: 8, n: 2,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ct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</w:t>
            </w:r>
          </w:p>
        </w:tc>
      </w:tr>
      <w:tr w:rsidR="00486EB3" w:rsidRPr="006314E8" w14:paraId="567A2D8E" w14:textId="77777777" w:rsidTr="0049492E">
        <w:trPr>
          <w:trHeight w:val="1449"/>
        </w:trPr>
        <w:tc>
          <w:tcPr>
            <w:tcW w:w="1129" w:type="dxa"/>
          </w:tcPr>
          <w:p w14:paraId="7FD751C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Vles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2005 Netherlands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PEVuZE5vdGU+PENpdGU+PEF1dGhvcj5WbGVzPC9BdXRob3I+PFllYXI+MjAwNTwvWWVhcj48UmVj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PEVuZE5vdGU+PENpdGU+PEF1dGhvcj5WbGVzPC9BdXRob3I+PFllYXI+MjAwNTwvWWVhcj48UmVj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26A3E7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Prospective monocentric cohort study</w:t>
            </w:r>
          </w:p>
        </w:tc>
        <w:tc>
          <w:tcPr>
            <w:tcW w:w="1276" w:type="dxa"/>
          </w:tcPr>
          <w:p w14:paraId="40EBA4D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Prevalence and determinants of disabilities and return to work after severe injury</w:t>
            </w:r>
          </w:p>
        </w:tc>
        <w:tc>
          <w:tcPr>
            <w:tcW w:w="1701" w:type="dxa"/>
          </w:tcPr>
          <w:p w14:paraId="2B208443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N=166 (81)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Men: Mean 33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Women: Mean 37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Men: Mean 23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Women: Mean 23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≥ 2</w:t>
            </w:r>
            <w:r w:rsidRPr="00592C33">
              <w:rPr>
                <w:rFonts w:ascii="Times New Roman" w:hAnsi="Times New Roman"/>
                <w:sz w:val="16"/>
                <w:szCs w:val="16"/>
                <w:highlight w:val="green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Injury: Cranium, brain, extremities, spine, pelvis, chest, thoracic contents, abdomen, pelvic contents</w:t>
            </w:r>
          </w:p>
        </w:tc>
        <w:tc>
          <w:tcPr>
            <w:tcW w:w="1415" w:type="dxa"/>
          </w:tcPr>
          <w:p w14:paraId="197EBDE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2E473BC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EQ-5D</w:t>
            </w:r>
          </w:p>
        </w:tc>
        <w:tc>
          <w:tcPr>
            <w:tcW w:w="850" w:type="dxa"/>
          </w:tcPr>
          <w:p w14:paraId="7DCD0F5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3ED36D5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Change of daily activities and sports</w:t>
            </w:r>
          </w:p>
        </w:tc>
        <w:tc>
          <w:tcPr>
            <w:tcW w:w="1276" w:type="dxa"/>
          </w:tcPr>
          <w:p w14:paraId="501603C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12-69 months, Mean/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41 months (3.4 years) after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779D034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Self-administered questionnaire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ent by post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or telephone interview</w:t>
            </w:r>
          </w:p>
        </w:tc>
        <w:tc>
          <w:tcPr>
            <w:tcW w:w="1843" w:type="dxa"/>
          </w:tcPr>
          <w:p w14:paraId="5D9478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Substantial impact of trauma on long-term functioning; follow-up between 12 and 24 months might be suitable for outcome assessment including quality of treatment</w:t>
            </w:r>
          </w:p>
        </w:tc>
        <w:tc>
          <w:tcPr>
            <w:tcW w:w="992" w:type="dxa"/>
          </w:tcPr>
          <w:p w14:paraId="23DC537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5,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3, NA: 3,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/,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001047B8" w14:textId="77777777" w:rsidTr="0049492E">
        <w:trPr>
          <w:trHeight w:val="1449"/>
        </w:trPr>
        <w:tc>
          <w:tcPr>
            <w:tcW w:w="1129" w:type="dxa"/>
          </w:tcPr>
          <w:p w14:paraId="28328511" w14:textId="77777777" w:rsidR="00486EB3" w:rsidRPr="00001585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1585">
              <w:rPr>
                <w:rFonts w:ascii="Times New Roman" w:hAnsi="Times New Roman"/>
                <w:sz w:val="16"/>
                <w:szCs w:val="16"/>
              </w:rPr>
              <w:t>von Rüden et al., 2013</w:t>
            </w:r>
            <w:r w:rsidRPr="00001585">
              <w:rPr>
                <w:rFonts w:ascii="Times New Roman" w:hAnsi="Times New Roman"/>
                <w:sz w:val="16"/>
                <w:szCs w:val="16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 w:rsidRPr="005D6598"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&lt;EndNote&gt;&lt;Cite&gt;&lt;Author&gt;von Rüden&lt;/Author&gt;&lt;Year&gt;2013&lt;/Year&gt;&lt;RecNum&gt;95&lt;/RecNum&gt;&lt;DisplayText&gt;(39)&lt;/DisplayText&gt;&lt;record&gt;&lt;rec-number&gt;95&lt;/rec-number&gt;&lt;foreign-keys&gt;&lt;key app="EN" db-id="v9rewpps3zpprdea2vov9059f5sp2efswfxx" timestamp="0"&gt;95&lt;/key&gt;&lt;/foreign-keys&gt;&lt;ref-type name="Journal Article"&gt;17&lt;/ref-type&gt;&lt;contributors&gt;&lt;authors&gt;&lt;author&gt;von Rüden, C.&lt;/author&gt;&lt;author&gt;Woltmann, A.&lt;/author&gt;&lt;author&gt;Rose, M.&lt;/author&gt;&lt;author&gt;Wurm, S.&lt;/author&gt;&lt;author&gt;Ruger, M.&lt;/author&gt;&lt;author&gt;Hierholzer, C.&lt;/author&gt;&lt;author&gt;Buhren, V.&lt;/author&gt;&lt;/authors&gt;&lt;/contributors&gt;&lt;titles&gt;&lt;title&gt;Outcome after severe multiple trauma: A retrospective analysis&lt;/title&gt;&lt;secondary-title&gt;J Trauma Manag Outcomes&lt;/secondary-title&gt;&lt;/titles&gt;&lt;pages&gt;4&lt;/pages&gt;&lt;volume&gt;7&lt;/volume&gt;&lt;number&gt;1&lt;/number&gt;&lt;dates&gt;&lt;year&gt;2013&lt;/year&gt;&lt;pub-dates&gt;&lt;date&gt;2013-01-01&lt;/date&gt;&lt;/pub-dates&gt;&lt;/dates&gt;&lt;isbn&gt;1752-2897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001585">
              <w:rPr>
                <w:rFonts w:ascii="Times New Roman" w:hAnsi="Times New Roman"/>
                <w:noProof/>
                <w:sz w:val="16"/>
                <w:szCs w:val="16"/>
              </w:rPr>
              <w:t>(39)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3527A6E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4D3AE1E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Prognosis, incidence, trauma mechanism, mortality, invalidity, working ability/disability and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ISS ≥ 50</w:t>
            </w:r>
          </w:p>
        </w:tc>
        <w:tc>
          <w:tcPr>
            <w:tcW w:w="1701" w:type="dxa"/>
          </w:tcPr>
          <w:p w14:paraId="66FA4485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N=88 (77.3)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18-63, Mean 40.3 ± 17.4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56.8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1.7-4.4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Head/brain, face, chest, abdomen, spinal cord, pelvis, upper limb, lower limb, soft tissues</w:t>
            </w:r>
          </w:p>
        </w:tc>
        <w:tc>
          <w:tcPr>
            <w:tcW w:w="1415" w:type="dxa"/>
          </w:tcPr>
          <w:p w14:paraId="2A23931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Days ICU stay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 &lt;50: 14.4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 &gt;50: 25.9 Ventilator days (Mean):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 &lt;50: 13.4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 &gt;50: 20.3</w:t>
            </w:r>
          </w:p>
        </w:tc>
        <w:tc>
          <w:tcPr>
            <w:tcW w:w="1134" w:type="dxa"/>
          </w:tcPr>
          <w:p w14:paraId="31CE74A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Chart</w:t>
            </w:r>
          </w:p>
        </w:tc>
        <w:tc>
          <w:tcPr>
            <w:tcW w:w="850" w:type="dxa"/>
          </w:tcPr>
          <w:p w14:paraId="585D22D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80DC66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1382324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18-78 months post trauma, Mean 3.6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4CF3F6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;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face to face interview with subgroup</w:t>
            </w:r>
          </w:p>
        </w:tc>
        <w:tc>
          <w:tcPr>
            <w:tcW w:w="1843" w:type="dxa"/>
          </w:tcPr>
          <w:p w14:paraId="1DC0576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Good prognosis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for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severely injured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persons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but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not satisf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actory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mainly due to psychological problems and chronic pain; 6.5% with ISS ≥;50; main cause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: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motorbike accident; 36% mortality rate; 57% limited working ability</w:t>
            </w:r>
          </w:p>
        </w:tc>
        <w:tc>
          <w:tcPr>
            <w:tcW w:w="992" w:type="dxa"/>
          </w:tcPr>
          <w:p w14:paraId="76E6672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5, m: 2, NA: 4,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1DEA6B3D" w14:textId="77777777" w:rsidTr="0049492E">
        <w:trPr>
          <w:trHeight w:val="1449"/>
        </w:trPr>
        <w:tc>
          <w:tcPr>
            <w:tcW w:w="1129" w:type="dxa"/>
          </w:tcPr>
          <w:p w14:paraId="0B9C1DC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Williamson et al., 2009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Australia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PEVuZE5vdGU+PENpdGU+PEF1dGhvcj5XaWxsaWFtc29uPC9BdXRob3I+PFllYXI+MjAwOTwvWWVh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>
                <w:fldData xml:space="preserve">PEVuZE5vdGU+PENpdGU+PEF1dGhvcj5XaWxsaWFtc29uPC9BdXRob3I+PFllYXI+MjAwOTwvWWVh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(73)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F2E72F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Prospective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multicentric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cohort study</w:t>
            </w:r>
          </w:p>
        </w:tc>
        <w:tc>
          <w:tcPr>
            <w:tcW w:w="1276" w:type="dxa"/>
          </w:tcPr>
          <w:p w14:paraId="33FE67C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Predictors of moderate or severe pain 6 months after injury </w:t>
            </w:r>
          </w:p>
        </w:tc>
        <w:tc>
          <w:tcPr>
            <w:tcW w:w="1701" w:type="dxa"/>
          </w:tcPr>
          <w:p w14:paraId="41DF846C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N=1290 (61)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14-95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&gt;15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Extremities, spinal injuries</w:t>
            </w:r>
          </w:p>
        </w:tc>
        <w:tc>
          <w:tcPr>
            <w:tcW w:w="1415" w:type="dxa"/>
          </w:tcPr>
          <w:p w14:paraId="36E8023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7DAAEAA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lang w:val="en-GB"/>
              </w:rPr>
              <w:t>SF-12 (only on discharge rating of status in the week before injury)</w:t>
            </w:r>
          </w:p>
        </w:tc>
        <w:tc>
          <w:tcPr>
            <w:tcW w:w="850" w:type="dxa"/>
          </w:tcPr>
          <w:p w14:paraId="20F8D24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04A6A3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07CC5C6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6.1-7.1 months after trauma (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Md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6.5);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before discharge, 6 months (assessment of other PROs than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</w:p>
        </w:tc>
        <w:tc>
          <w:tcPr>
            <w:tcW w:w="1276" w:type="dxa"/>
          </w:tcPr>
          <w:p w14:paraId="46020FE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Face to face interview in acute hospital before discharge and during follow-up by telephone at home</w:t>
            </w:r>
          </w:p>
        </w:tc>
        <w:tc>
          <w:tcPr>
            <w:tcW w:w="1843" w:type="dxa"/>
          </w:tcPr>
          <w:p w14:paraId="58299A2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Prevalence of moderate or severe pain at follow-up was 30%; predictors of pain were educational and compensation status, preinjury pain-related disability, pain intensity at discharge</w:t>
            </w:r>
          </w:p>
        </w:tc>
        <w:tc>
          <w:tcPr>
            <w:tcW w:w="992" w:type="dxa"/>
          </w:tcPr>
          <w:p w14:paraId="4F0C176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7, p: 3,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0169081A" w14:textId="77777777" w:rsidTr="0049492E">
        <w:trPr>
          <w:trHeight w:val="1449"/>
        </w:trPr>
        <w:tc>
          <w:tcPr>
            <w:tcW w:w="1129" w:type="dxa"/>
          </w:tcPr>
          <w:p w14:paraId="4520CC1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Wurm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&lt;EndNote&gt;&lt;Cite&gt;&lt;Author&gt;Wurm&lt;/Author&gt;&lt;Year&gt;2012&lt;/Year&gt;&lt;RecNum&gt;96&lt;/RecNum&gt;&lt;DisplayText&gt;(40)&lt;/DisplayText&gt;&lt;record&gt;&lt;rec-number&gt;96&lt;/rec-number&gt;&lt;foreign-keys&gt;&lt;key app="EN" db-id="v9rewpps3zpprdea2vov9059f5sp2efswfxx" timestamp="0"&gt;96&lt;/key&gt;&lt;/foreign-keys&gt;&lt;ref-type name="Journal Article"&gt;17&lt;/ref-type&gt;&lt;contributors&gt;&lt;authors&gt;&lt;author&gt;Wurm, S.&lt;/author&gt;&lt;author&gt;Rose, M.&lt;/author&gt;&lt;author&gt;von Ruden, C.&lt;/author&gt;&lt;author&gt;Woltmann, A.&lt;/author&gt;&lt;author&gt;Buhren, V.&lt;/author&gt;&lt;/authors&gt;&lt;/contributors&gt;&lt;titles&gt;&lt;title&gt;[Severe polytrauma with an ISS ≥ 50]&lt;/title&gt;&lt;secondary-title&gt;Z Orthop Unfall&lt;/secondary-title&gt;&lt;/titles&gt;&lt;pages&gt;296-301&lt;/pages&gt;&lt;volume&gt;150&lt;/volume&gt;&lt;number&gt;3&lt;/number&gt;&lt;dates&gt;&lt;year&gt;2012&lt;/year&gt;&lt;pub-dates&gt;&lt;date&gt;2012-01-01&lt;/date&gt;&lt;/pub-dates&gt;&lt;/dates&gt;&lt;isbn&gt;1864-6697&lt;/isbn&gt;&lt;urls&gt;&lt;/urls&gt;&lt;language&gt;ger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592C33"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164177E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68A1969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Posttraumatic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ISS ≥ 50</w:t>
            </w:r>
          </w:p>
        </w:tc>
        <w:tc>
          <w:tcPr>
            <w:tcW w:w="1701" w:type="dxa"/>
          </w:tcPr>
          <w:p w14:paraId="1A1ABEC7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N=88 (77)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40.3 ± 17.4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ISS: Mean 56.8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§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Mean 3.9-4.4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Thorax, TBI, abdomen, spine, lower extremity</w:t>
            </w:r>
          </w:p>
        </w:tc>
        <w:tc>
          <w:tcPr>
            <w:tcW w:w="1415" w:type="dxa"/>
          </w:tcPr>
          <w:p w14:paraId="0F159A4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23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Ventilator days (Mean): 20</w:t>
            </w:r>
          </w:p>
        </w:tc>
        <w:tc>
          <w:tcPr>
            <w:tcW w:w="1134" w:type="dxa"/>
          </w:tcPr>
          <w:p w14:paraId="4ACD7D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Chart</w:t>
            </w:r>
          </w:p>
        </w:tc>
        <w:tc>
          <w:tcPr>
            <w:tcW w:w="850" w:type="dxa"/>
          </w:tcPr>
          <w:p w14:paraId="4846FA5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5FEA5C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752AE31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18-78 months post trauma, Mean 3.6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0957BA3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sent by post and personal interview with subgroup</w:t>
            </w:r>
          </w:p>
        </w:tc>
        <w:tc>
          <w:tcPr>
            <w:tcW w:w="1843" w:type="dxa"/>
          </w:tcPr>
          <w:p w14:paraId="05905C7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Good survival rate but poor posttraumatic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mainly due to psychological problems and chronic pain </w:t>
            </w:r>
          </w:p>
        </w:tc>
        <w:tc>
          <w:tcPr>
            <w:tcW w:w="992" w:type="dxa"/>
          </w:tcPr>
          <w:p w14:paraId="0E377AA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5,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3,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643B23A3" w14:textId="77777777" w:rsidTr="0049492E">
        <w:trPr>
          <w:trHeight w:val="1449"/>
        </w:trPr>
        <w:tc>
          <w:tcPr>
            <w:tcW w:w="1129" w:type="dxa"/>
          </w:tcPr>
          <w:p w14:paraId="35688019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Zelle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Germany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&lt;EndNote&gt;&lt;Cite&gt;&lt;Author&gt;Zelle&lt;/Author&gt;&lt;Year&gt;2005a&lt;/Year&gt;&lt;RecNum&gt;329&lt;/RecNum&gt;&lt;DisplayText&gt;(45)&lt;/DisplayText&gt;&lt;record&gt;&lt;rec-number&gt;329&lt;/rec-number&gt;&lt;foreign-keys&gt;&lt;key app="EN" db-id="v9rewpps3zpprdea2vov9059f5sp2efswfxx" timestamp="0"&gt;329&lt;/key&gt;&lt;/foreign-keys&gt;&lt;ref-type name="Journal Article"&gt;17&lt;/ref-type&gt;&lt;contributors&gt;&lt;authors&gt;&lt;author&gt;Zelle, BA&lt;/author&gt;&lt;author&gt;Brown, SR&lt;/author&gt;&lt;author&gt;Panzica, M&lt;/author&gt;&lt;author&gt;Lohse, R&lt;/author&gt;&lt;author&gt;Sittaro, NA&lt;/author&gt;&lt;author&gt;Krettek, C&lt;/author&gt;&lt;author&gt;Pape, HC&lt;/author&gt;&lt;/authors&gt;&lt;/contributors&gt;&lt;titles&gt;&lt;title&gt;The impact of injuries below the knee joint on the long-term functional outcome following polytrauma&lt;/title&gt;&lt;secondary-title&gt;Injury&lt;/secondary-title&gt;&lt;/titles&gt;&lt;pages&gt;169-177&lt;/pages&gt;&lt;volume&gt;36&lt;/volume&gt;&lt;number&gt;1&lt;/number&gt;&lt;dates&gt;&lt;year&gt;2005&lt;/year&gt;&lt;/dates&gt;&lt;isbn&gt;0020-1383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(45)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050710D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7B1D80D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Comparison of objective and subjective outcome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injuries below the knee joint and injuries of the lower extremity above the knee joint</w:t>
            </w:r>
          </w:p>
        </w:tc>
        <w:tc>
          <w:tcPr>
            <w:tcW w:w="1701" w:type="dxa"/>
          </w:tcPr>
          <w:p w14:paraId="35E47A3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 population of the Hannover Rehab study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N=389 (74)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25.4 ± 11.7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20.2 ± 9.3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Lower extremity</w:t>
            </w:r>
          </w:p>
        </w:tc>
        <w:tc>
          <w:tcPr>
            <w:tcW w:w="1415" w:type="dxa"/>
          </w:tcPr>
          <w:p w14:paraId="19308BB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1134" w:type="dxa"/>
          </w:tcPr>
          <w:p w14:paraId="766D6E4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HASPOC,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5F2CA8D4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4F55C3C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28447F5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17.3 ± 4.8 years post trauma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66D4E79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as well as assessment via physician; examination in the trauma centre</w:t>
            </w:r>
          </w:p>
        </w:tc>
        <w:tc>
          <w:tcPr>
            <w:tcW w:w="1843" w:type="dxa"/>
          </w:tcPr>
          <w:p w14:paraId="10C6842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Significantly better objective and subjective outcomes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injuries above the knee joint compared to injuries below the knee joint; no significant differences in the MCS of SF-12</w:t>
            </w:r>
          </w:p>
        </w:tc>
        <w:tc>
          <w:tcPr>
            <w:tcW w:w="992" w:type="dxa"/>
          </w:tcPr>
          <w:p w14:paraId="2AC860ED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4, p: 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1,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3ABC0FF0" w14:textId="77777777" w:rsidTr="007A557C">
        <w:trPr>
          <w:trHeight w:val="1165"/>
        </w:trPr>
        <w:tc>
          <w:tcPr>
            <w:tcW w:w="1129" w:type="dxa"/>
          </w:tcPr>
          <w:p w14:paraId="4BD2FF41" w14:textId="77777777" w:rsidR="00486EB3" w:rsidRPr="00654BB7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54BB7">
              <w:rPr>
                <w:rFonts w:ascii="Times New Roman" w:hAnsi="Times New Roman"/>
                <w:sz w:val="16"/>
                <w:szCs w:val="16"/>
              </w:rPr>
              <w:t>Zelle et al., 2005b</w:t>
            </w:r>
            <w:r w:rsidRPr="00654BB7">
              <w:rPr>
                <w:rFonts w:ascii="Times New Roman" w:hAnsi="Times New Roman"/>
                <w:sz w:val="16"/>
                <w:szCs w:val="16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 w:rsidRPr="00654BB7"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&lt;EndNote&gt;&lt;Cite&gt;&lt;Author&gt;Zelle&lt;/Author&gt;&lt;Year&gt;2005b&lt;/Year&gt;&lt;RecNum&gt;328&lt;/RecNum&gt;&lt;DisplayText&gt;(35)&lt;/DisplayText&gt;&lt;record&gt;&lt;rec-number&gt;328&lt;/rec-number&gt;&lt;foreign-keys&gt;&lt;key app="EN" db-id="v9rewpps3zpprdea2vov9059f5sp2efswfxx" timestamp="0"&gt;328&lt;/key&gt;&lt;/foreign-keys&gt;&lt;ref-type name="Journal Article"&gt;17&lt;/ref-type&gt;&lt;contributors&gt;&lt;authors&gt;&lt;author&gt;Zelle, Boris A&lt;/author&gt;&lt;author&gt;Panzica, Martin&lt;/author&gt;&lt;author&gt;Vogt, Molly T&lt;/author&gt;&lt;author&gt;Sittaro, Nicola A&lt;/author&gt;&lt;author&gt;Krettek, Christian&lt;/author&gt;&lt;author&gt;Pape, Hans C&lt;/author&gt;&lt;/authors&gt;&lt;/contributors&gt;&lt;titles&gt;&lt;title&gt;Influence of workers’ compensation eligibility upon functional recovery 10 to 28 years after polytrauma&lt;/title&gt;&lt;secondary-title&gt;Am J Surg&lt;/secondary-title&gt;&lt;/titles&gt;&lt;pages&gt;30-36&lt;/pages&gt;&lt;volume&gt;190&lt;/volume&gt;&lt;number&gt;1&lt;/number&gt;&lt;dates&gt;&lt;year&gt;2005&lt;/year&gt;&lt;/dates&gt;&lt;isbn&gt;0002-9610&lt;/isbn&gt;&lt;urls&gt;&lt;/urls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 w:rsidRPr="00654BB7">
              <w:rPr>
                <w:rFonts w:ascii="Times New Roman" w:hAnsi="Times New Roman"/>
                <w:noProof/>
                <w:sz w:val="16"/>
                <w:szCs w:val="16"/>
              </w:rPr>
              <w:t>(35)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78972EAF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5AE6FA1E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Comparison of long-term functional outcome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between workers´ compensation patients (WCP) and non-workers´ compensation patients (N-WCP)</w:t>
            </w:r>
          </w:p>
        </w:tc>
        <w:tc>
          <w:tcPr>
            <w:tcW w:w="1701" w:type="dxa"/>
          </w:tcPr>
          <w:p w14:paraId="6A162531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Study population of the Hannover Rehab study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N=637 (75)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Age: 3-60, Mean 26.4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4-54, Mean 20.7 ± 9.7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 xml:space="preserve">WCP 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N=233 (82.0)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29.78 ± 12.09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20.60 ± 10.00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N-WCP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N=404 (71.5)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Mean 24.56 ± 12.12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Mean 20.80 ± 9.61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Injury: Lower extremity, head, face, upper extremity, chest, abdomen, spine, neck, skin </w:t>
            </w:r>
          </w:p>
        </w:tc>
        <w:tc>
          <w:tcPr>
            <w:tcW w:w="1415" w:type="dxa"/>
          </w:tcPr>
          <w:p w14:paraId="6E9DAFE6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NR</w:t>
            </w:r>
          </w:p>
        </w:tc>
        <w:tc>
          <w:tcPr>
            <w:tcW w:w="1134" w:type="dxa"/>
          </w:tcPr>
          <w:p w14:paraId="3272085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HASPOC,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SF-12</w:t>
            </w:r>
          </w:p>
        </w:tc>
        <w:tc>
          <w:tcPr>
            <w:tcW w:w="850" w:type="dxa"/>
          </w:tcPr>
          <w:p w14:paraId="5BB78A5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2B43DC9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657164C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10-28 years, Mean 17.5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WCP: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17.36 ± 4.77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t>N-WCP:</w:t>
            </w:r>
            <w:r w:rsidRPr="00592C33">
              <w:rPr>
                <w:rFonts w:ascii="Times New Roman" w:hAnsi="Times New Roman"/>
                <w:sz w:val="16"/>
                <w:szCs w:val="16"/>
                <w:u w:val="single"/>
                <w:lang w:val="en-GB"/>
              </w:rPr>
              <w:br/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Mean 17.0 ± 4.89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</w:p>
        </w:tc>
        <w:tc>
          <w:tcPr>
            <w:tcW w:w="1276" w:type="dxa"/>
          </w:tcPr>
          <w:p w14:paraId="4A34897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Self-administered questionnaire as well as assessment via physician; examination in the trauma centre</w:t>
            </w:r>
          </w:p>
        </w:tc>
        <w:tc>
          <w:tcPr>
            <w:tcW w:w="1843" w:type="dxa"/>
          </w:tcPr>
          <w:p w14:paraId="5C8ADCF8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Worse subjective and objective outcomes in WCP; no significant differences in the SF-12 MCS</w:t>
            </w:r>
          </w:p>
        </w:tc>
        <w:tc>
          <w:tcPr>
            <w:tcW w:w="992" w:type="dxa"/>
          </w:tcPr>
          <w:p w14:paraId="564BF327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8, p: 3,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/, NA: 4,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p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tr w:rsidR="00486EB3" w:rsidRPr="006314E8" w14:paraId="7920C198" w14:textId="77777777" w:rsidTr="0049492E">
        <w:trPr>
          <w:trHeight w:val="1449"/>
        </w:trPr>
        <w:tc>
          <w:tcPr>
            <w:tcW w:w="1129" w:type="dxa"/>
          </w:tcPr>
          <w:p w14:paraId="5BBC2BD3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Zwingmann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Germany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instrText xml:space="preserve"> ADDIN EN.CITE &lt;EndNote&gt;&lt;Cite&gt;&lt;Author&gt;Zwingmann&lt;/Author&gt;&lt;Year&gt;2016&lt;/Year&gt;&lt;RecNum&gt;97&lt;/RecNum&gt;&lt;DisplayText&gt;(70)&lt;/DisplayText&gt;&lt;record&gt;&lt;rec-number&gt;97&lt;/rec-number&gt;&lt;foreign-keys&gt;&lt;key app="EN" db-id="v9rewpps3zpprdea2vov9059f5sp2efswfxx" timestamp="0"&gt;97&lt;/key&gt;&lt;/foreign-keys&gt;&lt;ref-type name="Journal Article"&gt;17&lt;/ref-type&gt;&lt;contributors&gt;&lt;authors&gt;&lt;author&gt;Zwingmann, J.&lt;/author&gt;&lt;author&gt;Hagelschuer, P.&lt;/author&gt;&lt;author&gt;Langenmair, E.&lt;/author&gt;&lt;author&gt;Bode, G.&lt;/author&gt;&lt;author&gt;Herget, G.&lt;/author&gt;&lt;author&gt;Sudkamp, N. P.&lt;/author&gt;&lt;author&gt;Hammer, T.&lt;/author&gt;&lt;/authors&gt;&lt;/contributors&gt;&lt;titles&gt;&lt;title&gt;Lower health-related quality of life in Polytrauma Patients: Long-term follow-up after over 5 years&lt;/title&gt;&lt;secondary-title&gt;Medicine (Baltimore)&lt;/secondary-title&gt;&lt;/titles&gt;&lt;pages&gt;e3515&lt;/pages&gt;&lt;volume&gt;95&lt;/volume&gt;&lt;number&gt;19&lt;/number&gt;&lt;dates&gt;&lt;year&gt;2016&lt;/year&gt;&lt;pub-dates&gt;&lt;date&gt;2016-01-01&lt;/date&gt;&lt;/pub-dates&gt;&lt;/dates&gt;&lt;isbn&gt;0025-7974&lt;/isbn&gt;&lt;urls&gt;&lt;/urls&gt;&lt;language&gt;eng&lt;/language&gt;&lt;/record&gt;&lt;/Cite&gt;&lt;/EndNote&gt;</w:instrTex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GB"/>
              </w:rPr>
              <w:t>(70)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14:paraId="5CEA1BFC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Retrospective monocentric cohort study</w:t>
            </w:r>
          </w:p>
        </w:tc>
        <w:tc>
          <w:tcPr>
            <w:tcW w:w="1276" w:type="dxa"/>
          </w:tcPr>
          <w:p w14:paraId="1C4086B0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Long-term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HRQoL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 changes in daily life of patients after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polytrauma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727BD63E" w14:textId="77777777" w:rsidR="00486EB3" w:rsidRPr="00592C33" w:rsidRDefault="00486EB3" w:rsidP="0049492E">
            <w:pPr>
              <w:pStyle w:val="CommentText"/>
              <w:spacing w:after="12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N=147 (75.5)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Age: 6.1-82.1, Mean 40 ± 19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ISS: 17-59, Mean 28 ±10.6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AIS: NR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Injury: NR</w:t>
            </w:r>
          </w:p>
        </w:tc>
        <w:tc>
          <w:tcPr>
            <w:tcW w:w="1415" w:type="dxa"/>
          </w:tcPr>
          <w:p w14:paraId="13D6ED3B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Days ICU stay (Mean): 7.8 ± 7.5</w:t>
            </w:r>
          </w:p>
        </w:tc>
        <w:tc>
          <w:tcPr>
            <w:tcW w:w="1134" w:type="dxa"/>
          </w:tcPr>
          <w:p w14:paraId="3757A8B5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EQ-5D,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SF-36,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TOP</w:t>
            </w:r>
          </w:p>
        </w:tc>
        <w:tc>
          <w:tcPr>
            <w:tcW w:w="850" w:type="dxa"/>
          </w:tcPr>
          <w:p w14:paraId="38EFEB0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995" w:type="dxa"/>
          </w:tcPr>
          <w:p w14:paraId="6718BCD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</w:tcPr>
          <w:p w14:paraId="3B108421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5.0-7.4 years post trauma,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Mean 6 ± 0,8 years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$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03A9B68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NR, verbal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interview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and/or written questionnaire sent by post</w:t>
            </w:r>
          </w:p>
        </w:tc>
        <w:tc>
          <w:tcPr>
            <w:tcW w:w="1843" w:type="dxa"/>
          </w:tcPr>
          <w:p w14:paraId="20CC89BA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Impaired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QoL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due to pain and functional disability; association of negative socio-economic effects and emotional repercussion</w:t>
            </w:r>
          </w:p>
        </w:tc>
        <w:tc>
          <w:tcPr>
            <w:tcW w:w="992" w:type="dxa"/>
          </w:tcPr>
          <w:p w14:paraId="61CC63E2" w14:textId="77777777" w:rsidR="00486EB3" w:rsidRPr="00592C33" w:rsidRDefault="00486EB3" w:rsidP="0049492E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NICE: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pp: 3, p: 3, 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 xml:space="preserve">m: 4, NA: 5, </w:t>
            </w:r>
            <w:proofErr w:type="spellStart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: 2,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#</w:t>
            </w:r>
            <w:r w:rsidRPr="00592C33">
              <w:rPr>
                <w:rFonts w:ascii="Times New Roman" w:hAnsi="Times New Roman"/>
                <w:sz w:val="16"/>
                <w:szCs w:val="16"/>
                <w:lang w:val="en-GB"/>
              </w:rPr>
              <w:t>, m</w:t>
            </w:r>
            <w:r w:rsidRPr="00592C33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?</w:t>
            </w:r>
          </w:p>
        </w:tc>
      </w:tr>
      <w:bookmarkEnd w:id="0"/>
    </w:tbl>
    <w:p w14:paraId="79C0DD17" w14:textId="77777777" w:rsidR="00486EB3" w:rsidRDefault="00486EB3" w:rsidP="00D80755">
      <w:pPr>
        <w:rPr>
          <w:rFonts w:ascii="Times New Roman" w:hAnsi="Times New Roman"/>
          <w:b/>
          <w:sz w:val="16"/>
          <w:szCs w:val="16"/>
          <w:u w:val="single"/>
          <w:lang w:val="en-GB"/>
        </w:rPr>
      </w:pPr>
    </w:p>
    <w:p w14:paraId="21FFF1F5" w14:textId="451CC325" w:rsidR="00151F00" w:rsidRPr="00D80755" w:rsidRDefault="00777955" w:rsidP="00D80755">
      <w:pPr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b/>
          <w:sz w:val="16"/>
          <w:szCs w:val="16"/>
          <w:u w:val="single"/>
          <w:lang w:val="en-GB"/>
        </w:rPr>
        <w:t>In</w:t>
      </w:r>
      <w:r w:rsidR="00F441FD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t xml:space="preserve">dices and </w:t>
      </w:r>
      <w:r w:rsidR="00452277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t xml:space="preserve">Abbreviations: </w:t>
      </w:r>
      <w:r w:rsidR="00300ACE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br/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>AIS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§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: AIS values shown for various body regions; F: Female; IQR/IR: Interquartile range; M: Male; max.: highest value; </w:t>
      </w:r>
      <w:r w:rsidR="00EB1DA7" w:rsidRPr="00592C33">
        <w:rPr>
          <w:rFonts w:ascii="Times New Roman" w:hAnsi="Times New Roman"/>
          <w:sz w:val="16"/>
          <w:szCs w:val="16"/>
          <w:lang w:val="en-GB"/>
        </w:rPr>
        <w:t xml:space="preserve">MCS: Mental Component Summary score; NR: not reported; </w:t>
      </w:r>
      <w:proofErr w:type="spellStart"/>
      <w:r w:rsidR="00DC692E" w:rsidRPr="00592C33">
        <w:rPr>
          <w:rFonts w:ascii="Times New Roman" w:hAnsi="Times New Roman"/>
          <w:sz w:val="16"/>
          <w:szCs w:val="16"/>
          <w:lang w:val="en-GB"/>
        </w:rPr>
        <w:t>Md</w:t>
      </w:r>
      <w:proofErr w:type="spellEnd"/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: Median; N: Number; NRTW: Non-return to work; </w:t>
      </w:r>
      <w:r w:rsidR="00EB1DA7" w:rsidRPr="00592C33">
        <w:rPr>
          <w:rFonts w:ascii="Times New Roman" w:hAnsi="Times New Roman"/>
          <w:sz w:val="16"/>
          <w:szCs w:val="16"/>
          <w:lang w:val="en-GB"/>
        </w:rPr>
        <w:t>PCS: Physical Component Summary score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 xml:space="preserve">; </w:t>
      </w:r>
      <w:proofErr w:type="spellStart"/>
      <w:r w:rsidR="00EB1DA7" w:rsidRPr="00592C33">
        <w:rPr>
          <w:rFonts w:ascii="Times New Roman" w:hAnsi="Times New Roman"/>
          <w:sz w:val="16"/>
          <w:szCs w:val="16"/>
          <w:lang w:val="en-GB"/>
        </w:rPr>
        <w:t>QoL</w:t>
      </w:r>
      <w:proofErr w:type="spellEnd"/>
      <w:r w:rsidR="00EB1DA7" w:rsidRPr="00592C33">
        <w:rPr>
          <w:rFonts w:ascii="Times New Roman" w:hAnsi="Times New Roman"/>
          <w:sz w:val="16"/>
          <w:szCs w:val="16"/>
          <w:lang w:val="en-GB"/>
        </w:rPr>
        <w:t xml:space="preserve">: Quality of Life; 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RTW: Return to work; SD: Standard deviation; *: Numbers displayed for Overall-Characteristic of study population; 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$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: one measurement; 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#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>: two measurement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>s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; 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!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>: three measurement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>s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; 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?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>: four measurement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>s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 xml:space="preserve">; </w:t>
      </w:r>
      <w:r w:rsidR="00DC692E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&amp;</w:t>
      </w:r>
      <w:r w:rsidR="00DC692E" w:rsidRPr="00592C33">
        <w:rPr>
          <w:rFonts w:ascii="Times New Roman" w:hAnsi="Times New Roman"/>
          <w:sz w:val="16"/>
          <w:szCs w:val="16"/>
          <w:lang w:val="en-GB"/>
        </w:rPr>
        <w:t>: five measurement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>s</w:t>
      </w:r>
      <w:r w:rsidR="00DC692E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br/>
      </w:r>
      <w:r w:rsidR="00452277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t xml:space="preserve">Critical </w:t>
      </w:r>
      <w:r w:rsidR="00791FBB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t>a</w:t>
      </w:r>
      <w:r w:rsidR="00452277" w:rsidRPr="00592C33">
        <w:rPr>
          <w:rFonts w:ascii="Times New Roman" w:hAnsi="Times New Roman"/>
          <w:b/>
          <w:sz w:val="16"/>
          <w:szCs w:val="16"/>
          <w:u w:val="single"/>
          <w:lang w:val="en-GB"/>
        </w:rPr>
        <w:t>ppraisal:</w:t>
      </w:r>
      <w:r w:rsidR="00452277" w:rsidRPr="00592C33">
        <w:rPr>
          <w:rFonts w:ascii="Times New Roman" w:hAnsi="Times New Roman"/>
          <w:b/>
          <w:sz w:val="16"/>
          <w:szCs w:val="16"/>
          <w:lang w:val="en-GB"/>
        </w:rPr>
        <w:t xml:space="preserve"> </w:t>
      </w:r>
      <w:r w:rsidR="00452277" w:rsidRPr="00592C33">
        <w:rPr>
          <w:rFonts w:ascii="Times New Roman" w:hAnsi="Times New Roman"/>
          <w:b/>
          <w:sz w:val="16"/>
          <w:szCs w:val="16"/>
          <w:lang w:val="en-GB"/>
        </w:rPr>
        <w:br/>
      </w:r>
      <w:r w:rsidR="00BE31AC" w:rsidRPr="00592C33">
        <w:rPr>
          <w:rFonts w:ascii="Times New Roman" w:hAnsi="Times New Roman"/>
          <w:sz w:val="16"/>
          <w:szCs w:val="16"/>
          <w:lang w:val="en-GB"/>
        </w:rPr>
        <w:t xml:space="preserve">n: no; y: yes </w:t>
      </w:r>
      <w:r w:rsidR="00BE31AC" w:rsidRPr="00592C33">
        <w:rPr>
          <w:rFonts w:ascii="Times New Roman" w:hAnsi="Times New Roman"/>
          <w:sz w:val="16"/>
          <w:szCs w:val="16"/>
          <w:lang w:val="en-GB"/>
        </w:rPr>
        <w:br/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MMAT: </w:t>
      </w:r>
      <w:proofErr w:type="spellStart"/>
      <w:r w:rsidR="00452277" w:rsidRPr="00592C33">
        <w:rPr>
          <w:rFonts w:ascii="Times New Roman" w:hAnsi="Times New Roman"/>
          <w:sz w:val="16"/>
          <w:szCs w:val="16"/>
          <w:lang w:val="en-GB"/>
        </w:rPr>
        <w:t>ct</w:t>
      </w:r>
      <w:proofErr w:type="spellEnd"/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: can´t tell – statement not possible;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br/>
        <w:t>NICE: m: there are significant sources of bias.; m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#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: Evaluation of internal validity of entire study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few or no checklist criteria were fulfilled; m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?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: Evaluation of </w:t>
      </w:r>
      <w:r w:rsidR="002D7EB4">
        <w:rPr>
          <w:rFonts w:ascii="Times New Roman" w:hAnsi="Times New Roman"/>
          <w:sz w:val="16"/>
          <w:szCs w:val="16"/>
          <w:lang w:val="en-GB"/>
        </w:rPr>
        <w:t>the study's overall</w:t>
      </w:r>
      <w:r w:rsidR="002D7EB4" w:rsidRPr="00592C3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external validity 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few or no checklist criteria were fulfilled; NA: not applicable – </w:t>
      </w:r>
      <w:r w:rsidR="002D7EB4">
        <w:rPr>
          <w:rFonts w:ascii="Times New Roman" w:hAnsi="Times New Roman"/>
          <w:sz w:val="16"/>
          <w:szCs w:val="16"/>
          <w:lang w:val="en-GB"/>
        </w:rPr>
        <w:t>a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spects of the study design that are not applicable; </w:t>
      </w:r>
      <w:proofErr w:type="spellStart"/>
      <w:r w:rsidR="00452277" w:rsidRPr="00592C33">
        <w:rPr>
          <w:rFonts w:ascii="Times New Roman" w:hAnsi="Times New Roman"/>
          <w:sz w:val="16"/>
          <w:szCs w:val="16"/>
          <w:lang w:val="en-GB"/>
        </w:rPr>
        <w:t>NR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a</w:t>
      </w:r>
      <w:proofErr w:type="spellEnd"/>
      <w:r w:rsidR="00452277" w:rsidRPr="00592C33">
        <w:rPr>
          <w:rFonts w:ascii="Times New Roman" w:hAnsi="Times New Roman"/>
          <w:sz w:val="16"/>
          <w:szCs w:val="16"/>
          <w:lang w:val="en-GB"/>
        </w:rPr>
        <w:t>: not reported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the study does not report how certain aspects have been or should be taken into account; p: either the answer to the checklist question cannot be clearly answered by the way the study is reported, or the study may not have considered all potential sources of bias; p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 xml:space="preserve">#: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Evaluation of internal validity of entire study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some checklist criteria were fulfilled; p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>?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: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 xml:space="preserve">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Evaluation of 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the study's overall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external validity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some checklist criteria were fulfilled; pp: study was designed or conducted to minimi</w:t>
      </w:r>
      <w:r w:rsidR="00C57A4B" w:rsidRPr="00592C33">
        <w:rPr>
          <w:rFonts w:ascii="Times New Roman" w:hAnsi="Times New Roman"/>
          <w:sz w:val="16"/>
          <w:szCs w:val="16"/>
          <w:lang w:val="en-GB"/>
        </w:rPr>
        <w:t>s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e risk of bias; pp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 xml:space="preserve">#: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Evaluation of </w:t>
      </w:r>
      <w:r w:rsidR="002D7EB4">
        <w:rPr>
          <w:rFonts w:ascii="Times New Roman" w:hAnsi="Times New Roman"/>
          <w:sz w:val="16"/>
          <w:szCs w:val="16"/>
          <w:lang w:val="en-GB"/>
        </w:rPr>
        <w:t>the study's overall</w:t>
      </w:r>
      <w:r w:rsidR="002D7EB4" w:rsidRPr="00592C3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internal validity 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all or most checklist criteria were fulfilled; pp</w:t>
      </w:r>
      <w:r w:rsidR="00452277" w:rsidRPr="00592C33">
        <w:rPr>
          <w:rFonts w:ascii="Times New Roman" w:hAnsi="Times New Roman"/>
          <w:sz w:val="16"/>
          <w:szCs w:val="16"/>
          <w:vertAlign w:val="superscript"/>
          <w:lang w:val="en-GB"/>
        </w:rPr>
        <w:t xml:space="preserve">?: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Evaluation of </w:t>
      </w:r>
      <w:r w:rsidR="002D7EB4">
        <w:rPr>
          <w:rFonts w:ascii="Times New Roman" w:hAnsi="Times New Roman"/>
          <w:sz w:val="16"/>
          <w:szCs w:val="16"/>
          <w:lang w:val="en-GB"/>
        </w:rPr>
        <w:t>the study's overall</w:t>
      </w:r>
      <w:r w:rsidR="002D7EB4" w:rsidRPr="00592C3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external validity </w:t>
      </w:r>
      <w:r w:rsidR="002D7EB4">
        <w:rPr>
          <w:rFonts w:ascii="Times New Roman" w:hAnsi="Times New Roman"/>
          <w:sz w:val="16"/>
          <w:szCs w:val="16"/>
          <w:lang w:val="en-GB"/>
        </w:rPr>
        <w:t xml:space="preserve"> –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t>all or most checklist criteria were fulfilled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br/>
        <w:t xml:space="preserve">SIGN: </w:t>
      </w:r>
      <w:proofErr w:type="spellStart"/>
      <w:r w:rsidR="00452277" w:rsidRPr="00592C33">
        <w:rPr>
          <w:rFonts w:ascii="Times New Roman" w:hAnsi="Times New Roman"/>
          <w:sz w:val="16"/>
          <w:szCs w:val="16"/>
          <w:lang w:val="en-GB"/>
        </w:rPr>
        <w:t>cs</w:t>
      </w:r>
      <w:proofErr w:type="spellEnd"/>
      <w:r w:rsidR="00452277" w:rsidRPr="00592C33">
        <w:rPr>
          <w:rFonts w:ascii="Times New Roman" w:hAnsi="Times New Roman"/>
          <w:sz w:val="16"/>
          <w:szCs w:val="16"/>
          <w:lang w:val="en-GB"/>
        </w:rPr>
        <w:t xml:space="preserve">: can´t say– statement not possible; da: study directly applicable to target population; p*: Most criteria met. Some flaws in study with an associated risk of bias; </w:t>
      </w:r>
      <w:proofErr w:type="spellStart"/>
      <w:r w:rsidR="00452277" w:rsidRPr="00592C33">
        <w:rPr>
          <w:rFonts w:ascii="Times New Roman" w:hAnsi="Times New Roman"/>
          <w:sz w:val="16"/>
          <w:szCs w:val="16"/>
          <w:lang w:val="en-GB"/>
        </w:rPr>
        <w:t>si</w:t>
      </w:r>
      <w:proofErr w:type="spellEnd"/>
      <w:r w:rsidR="00452277" w:rsidRPr="00592C33">
        <w:rPr>
          <w:rFonts w:ascii="Times New Roman" w:hAnsi="Times New Roman"/>
          <w:sz w:val="16"/>
          <w:szCs w:val="16"/>
          <w:lang w:val="en-GB"/>
        </w:rPr>
        <w:t>: some indirectness in applicability to target population</w:t>
      </w:r>
      <w:r w:rsidR="00BE31AC" w:rsidRPr="00592C33" w:rsidDel="00BE31AC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452277" w:rsidRPr="00592C33">
        <w:rPr>
          <w:rFonts w:ascii="Times New Roman" w:hAnsi="Times New Roman"/>
          <w:sz w:val="16"/>
          <w:szCs w:val="16"/>
          <w:lang w:val="en-GB"/>
        </w:rPr>
        <w:br/>
      </w:r>
      <w:r w:rsidR="00452277" w:rsidRPr="00592C33">
        <w:rPr>
          <w:rFonts w:cs="Arial"/>
          <w:sz w:val="16"/>
          <w:szCs w:val="16"/>
          <w:lang w:val="en-GB"/>
        </w:rPr>
        <w:fldChar w:fldCharType="begin"/>
      </w:r>
      <w:r w:rsidR="00452277" w:rsidRPr="00592C33">
        <w:rPr>
          <w:sz w:val="16"/>
          <w:lang w:val="en-GB"/>
        </w:rPr>
        <w:instrText xml:space="preserve"> </w:instrText>
      </w:r>
      <w:r w:rsidR="00452277" w:rsidRPr="00592C33">
        <w:rPr>
          <w:sz w:val="16"/>
          <w:highlight w:val="magenta"/>
          <w:lang w:val="en-GB"/>
        </w:rPr>
        <w:instrText>ADDIN EN.REFLIST</w:instrText>
      </w:r>
      <w:r w:rsidR="00452277" w:rsidRPr="00592C33">
        <w:rPr>
          <w:sz w:val="16"/>
          <w:lang w:val="en-GB"/>
        </w:rPr>
        <w:instrText xml:space="preserve"> </w:instrText>
      </w:r>
      <w:r w:rsidR="00452277" w:rsidRPr="00592C33">
        <w:rPr>
          <w:rFonts w:cs="Arial"/>
          <w:sz w:val="16"/>
          <w:szCs w:val="16"/>
          <w:lang w:val="en-GB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5E630A" w:rsidRPr="006314E8" w14:paraId="1CA55218" w14:textId="77777777" w:rsidTr="0073665E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14:paraId="278461B6" w14:textId="0E26599E" w:rsidR="004F2A57" w:rsidRPr="00592C33" w:rsidRDefault="004F2A57" w:rsidP="004F2A57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14:paraId="4EEB72CF" w14:textId="26D480D8" w:rsidR="00CF2360" w:rsidRPr="005E630A" w:rsidRDefault="00CF2360" w:rsidP="005E630A">
      <w:pPr>
        <w:rPr>
          <w:rFonts w:ascii="Times New Roman" w:hAnsi="Times New Roman"/>
          <w:sz w:val="16"/>
          <w:szCs w:val="16"/>
          <w:lang w:val="en-GB"/>
        </w:rPr>
        <w:sectPr w:rsidR="00CF2360" w:rsidRPr="005E630A" w:rsidSect="004041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00" w:orient="landscape"/>
          <w:pgMar w:top="1417" w:right="1417" w:bottom="1417" w:left="1134" w:header="708" w:footer="708" w:gutter="0"/>
          <w:lnNumType w:countBy="1" w:restart="continuous"/>
          <w:cols w:space="708"/>
          <w:docGrid w:linePitch="360"/>
        </w:sectPr>
      </w:pPr>
      <w:bookmarkStart w:id="1" w:name="_GoBack"/>
      <w:bookmarkEnd w:id="1"/>
    </w:p>
    <w:p w14:paraId="1F91868F" w14:textId="5CC5AE2A" w:rsidR="00C47456" w:rsidRPr="005E630A" w:rsidRDefault="00C47456" w:rsidP="005E630A">
      <w:pPr>
        <w:jc w:val="both"/>
        <w:rPr>
          <w:rFonts w:ascii="Times New Roman" w:hAnsi="Times New Roman"/>
          <w:lang w:val="en-GB"/>
        </w:rPr>
      </w:pPr>
    </w:p>
    <w:sectPr w:rsidR="00C47456" w:rsidRPr="005E630A" w:rsidSect="0040416B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43E87" w14:textId="77777777" w:rsidR="00972D4C" w:rsidRDefault="00972D4C">
      <w:pPr>
        <w:spacing w:after="0" w:line="240" w:lineRule="auto"/>
      </w:pPr>
      <w:r>
        <w:separator/>
      </w:r>
    </w:p>
  </w:endnote>
  <w:endnote w:type="continuationSeparator" w:id="0">
    <w:p w14:paraId="250887CC" w14:textId="77777777" w:rsidR="00972D4C" w:rsidRDefault="00972D4C">
      <w:pPr>
        <w:spacing w:after="0" w:line="240" w:lineRule="auto"/>
      </w:pPr>
      <w:r>
        <w:continuationSeparator/>
      </w:r>
    </w:p>
  </w:endnote>
  <w:endnote w:type="continuationNotice" w:id="1">
    <w:p w14:paraId="01BDB668" w14:textId="77777777" w:rsidR="00972D4C" w:rsidRDefault="00972D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JBFD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031A2" w14:textId="77777777" w:rsidR="00654BB7" w:rsidRDefault="00654BB7" w:rsidP="007804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B9CD664" w14:textId="77777777" w:rsidR="00654BB7" w:rsidRDefault="00654BB7" w:rsidP="007804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35DA" w14:textId="67EAD7FD" w:rsidR="00654BB7" w:rsidRPr="00B43D41" w:rsidRDefault="00654BB7" w:rsidP="00780440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13704C">
      <w:rPr>
        <w:rStyle w:val="PageNumber"/>
        <w:rFonts w:ascii="Times New Roman" w:hAnsi="Times New Roman"/>
      </w:rPr>
      <w:fldChar w:fldCharType="begin"/>
    </w:r>
    <w:r w:rsidRPr="0013704C">
      <w:rPr>
        <w:rStyle w:val="PageNumber"/>
        <w:rFonts w:ascii="Times New Roman" w:hAnsi="Times New Roman"/>
      </w:rPr>
      <w:instrText xml:space="preserve">PAGE  </w:instrText>
    </w:r>
    <w:r w:rsidRPr="0013704C">
      <w:rPr>
        <w:rStyle w:val="PageNumber"/>
        <w:rFonts w:ascii="Times New Roman" w:hAnsi="Times New Roman"/>
      </w:rPr>
      <w:fldChar w:fldCharType="separate"/>
    </w:r>
    <w:r w:rsidR="005E630A">
      <w:rPr>
        <w:rStyle w:val="PageNumber"/>
        <w:rFonts w:ascii="Times New Roman" w:hAnsi="Times New Roman"/>
        <w:noProof/>
      </w:rPr>
      <w:t>23</w:t>
    </w:r>
    <w:r w:rsidRPr="0013704C">
      <w:rPr>
        <w:rStyle w:val="PageNumber"/>
        <w:rFonts w:ascii="Times New Roman" w:hAnsi="Times New Roman"/>
      </w:rPr>
      <w:fldChar w:fldCharType="end"/>
    </w:r>
  </w:p>
  <w:p w14:paraId="5D1DB8FF" w14:textId="77777777" w:rsidR="00654BB7" w:rsidRDefault="00654BB7" w:rsidP="0078044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27E3" w14:textId="77777777" w:rsidR="00486EB3" w:rsidRDefault="00486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A53E4" w14:textId="77777777" w:rsidR="00972D4C" w:rsidRDefault="00972D4C">
      <w:pPr>
        <w:spacing w:after="0" w:line="240" w:lineRule="auto"/>
      </w:pPr>
      <w:r>
        <w:separator/>
      </w:r>
    </w:p>
  </w:footnote>
  <w:footnote w:type="continuationSeparator" w:id="0">
    <w:p w14:paraId="48803955" w14:textId="77777777" w:rsidR="00972D4C" w:rsidRDefault="00972D4C">
      <w:pPr>
        <w:spacing w:after="0" w:line="240" w:lineRule="auto"/>
      </w:pPr>
      <w:r>
        <w:continuationSeparator/>
      </w:r>
    </w:p>
  </w:footnote>
  <w:footnote w:type="continuationNotice" w:id="1">
    <w:p w14:paraId="5B491CBC" w14:textId="77777777" w:rsidR="00972D4C" w:rsidRDefault="00972D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EBBA1" w14:textId="77777777" w:rsidR="00486EB3" w:rsidRDefault="00486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592E1" w14:textId="77777777" w:rsidR="00486EB3" w:rsidRDefault="00486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A151" w14:textId="77777777" w:rsidR="00486EB3" w:rsidRDefault="00486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8407D6"/>
    <w:multiLevelType w:val="hybridMultilevel"/>
    <w:tmpl w:val="978FC3F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1D"/>
    <w:multiLevelType w:val="multilevel"/>
    <w:tmpl w:val="1A488D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312DFF"/>
    <w:multiLevelType w:val="hybridMultilevel"/>
    <w:tmpl w:val="853813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15E8C"/>
    <w:multiLevelType w:val="hybridMultilevel"/>
    <w:tmpl w:val="75326140"/>
    <w:lvl w:ilvl="0" w:tplc="040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605CF"/>
    <w:multiLevelType w:val="hybridMultilevel"/>
    <w:tmpl w:val="C3D67D54"/>
    <w:lvl w:ilvl="0" w:tplc="894A3B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CAA038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327E3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E44AFD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6249FB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BA4519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4EA191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D54D80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15E600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D010F3"/>
    <w:multiLevelType w:val="hybridMultilevel"/>
    <w:tmpl w:val="076882DE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381534"/>
    <w:multiLevelType w:val="hybridMultilevel"/>
    <w:tmpl w:val="1EE22B96"/>
    <w:lvl w:ilvl="0" w:tplc="FFFFFFFF">
      <w:start w:val="1"/>
      <w:numFmt w:val="bullet"/>
      <w:lvlText w:val=""/>
      <w:lvlJc w:val="left"/>
      <w:pPr>
        <w:tabs>
          <w:tab w:val="num" w:pos="1318"/>
        </w:tabs>
        <w:ind w:left="13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38"/>
        </w:tabs>
        <w:ind w:left="203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58"/>
        </w:tabs>
        <w:ind w:left="27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78"/>
        </w:tabs>
        <w:ind w:left="34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98"/>
        </w:tabs>
        <w:ind w:left="41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18"/>
        </w:tabs>
        <w:ind w:left="49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38"/>
        </w:tabs>
        <w:ind w:left="56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58"/>
        </w:tabs>
        <w:ind w:left="63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78"/>
        </w:tabs>
        <w:ind w:left="7078" w:hanging="360"/>
      </w:pPr>
      <w:rPr>
        <w:rFonts w:ascii="Wingdings" w:hAnsi="Wingdings" w:hint="default"/>
      </w:rPr>
    </w:lvl>
  </w:abstractNum>
  <w:abstractNum w:abstractNumId="7" w15:restartNumberingAfterBreak="0">
    <w:nsid w:val="0E0F0B6E"/>
    <w:multiLevelType w:val="hybridMultilevel"/>
    <w:tmpl w:val="B366DBC8"/>
    <w:lvl w:ilvl="0" w:tplc="D7CE9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2663D3"/>
    <w:multiLevelType w:val="multilevel"/>
    <w:tmpl w:val="C622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D13367"/>
    <w:multiLevelType w:val="multilevel"/>
    <w:tmpl w:val="775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7E0457"/>
    <w:multiLevelType w:val="hybridMultilevel"/>
    <w:tmpl w:val="0974F51C"/>
    <w:lvl w:ilvl="0" w:tplc="E9C49A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A3347"/>
    <w:multiLevelType w:val="hybridMultilevel"/>
    <w:tmpl w:val="C7C43AF8"/>
    <w:lvl w:ilvl="0" w:tplc="5F8ABFC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613FB"/>
    <w:multiLevelType w:val="hybridMultilevel"/>
    <w:tmpl w:val="54F843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F152E"/>
    <w:multiLevelType w:val="hybridMultilevel"/>
    <w:tmpl w:val="18ACFFD6"/>
    <w:lvl w:ilvl="0" w:tplc="922C2B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A2979"/>
    <w:multiLevelType w:val="hybridMultilevel"/>
    <w:tmpl w:val="73AAE3F8"/>
    <w:lvl w:ilvl="0" w:tplc="10062EB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F420B"/>
    <w:multiLevelType w:val="hybridMultilevel"/>
    <w:tmpl w:val="ABB8392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C9075AB"/>
    <w:multiLevelType w:val="multilevel"/>
    <w:tmpl w:val="C744F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6814DDE"/>
    <w:multiLevelType w:val="hybridMultilevel"/>
    <w:tmpl w:val="696826C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93C0905"/>
    <w:multiLevelType w:val="hybridMultilevel"/>
    <w:tmpl w:val="33EC59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A6A05"/>
    <w:multiLevelType w:val="hybridMultilevel"/>
    <w:tmpl w:val="3AC0406C"/>
    <w:lvl w:ilvl="0" w:tplc="040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0745E"/>
    <w:multiLevelType w:val="hybridMultilevel"/>
    <w:tmpl w:val="6C160A22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33499"/>
    <w:multiLevelType w:val="multilevel"/>
    <w:tmpl w:val="2BFC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FE70E4"/>
    <w:multiLevelType w:val="hybridMultilevel"/>
    <w:tmpl w:val="A030C064"/>
    <w:lvl w:ilvl="0" w:tplc="D728A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97973"/>
    <w:multiLevelType w:val="hybridMultilevel"/>
    <w:tmpl w:val="B74EA87E"/>
    <w:lvl w:ilvl="0" w:tplc="4BBAA2D0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7293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7F967BE2"/>
    <w:multiLevelType w:val="singleLevel"/>
    <w:tmpl w:val="AA94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25"/>
  </w:num>
  <w:num w:numId="5">
    <w:abstractNumId w:val="24"/>
  </w:num>
  <w:num w:numId="6">
    <w:abstractNumId w:val="15"/>
  </w:num>
  <w:num w:numId="7">
    <w:abstractNumId w:val="1"/>
  </w:num>
  <w:num w:numId="8">
    <w:abstractNumId w:val="5"/>
  </w:num>
  <w:num w:numId="9">
    <w:abstractNumId w:val="4"/>
  </w:num>
  <w:num w:numId="10">
    <w:abstractNumId w:val="22"/>
  </w:num>
  <w:num w:numId="11">
    <w:abstractNumId w:val="11"/>
  </w:num>
  <w:num w:numId="12">
    <w:abstractNumId w:val="2"/>
  </w:num>
  <w:num w:numId="13">
    <w:abstractNumId w:val="19"/>
  </w:num>
  <w:num w:numId="14">
    <w:abstractNumId w:val="3"/>
  </w:num>
  <w:num w:numId="15">
    <w:abstractNumId w:val="10"/>
  </w:num>
  <w:num w:numId="16">
    <w:abstractNumId w:val="21"/>
  </w:num>
  <w:num w:numId="17">
    <w:abstractNumId w:val="8"/>
  </w:num>
  <w:num w:numId="18">
    <w:abstractNumId w:val="9"/>
  </w:num>
  <w:num w:numId="19">
    <w:abstractNumId w:val="12"/>
  </w:num>
  <w:num w:numId="20">
    <w:abstractNumId w:val="14"/>
  </w:num>
  <w:num w:numId="21">
    <w:abstractNumId w:val="16"/>
  </w:num>
  <w:num w:numId="22">
    <w:abstractNumId w:val="20"/>
  </w:num>
  <w:num w:numId="23">
    <w:abstractNumId w:val="13"/>
  </w:num>
  <w:num w:numId="24">
    <w:abstractNumId w:val="23"/>
  </w:num>
  <w:num w:numId="25">
    <w:abstractNumId w:val="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rewpps3zpprdea2vov9059f5sp2efswfxx&quot;&gt;My EndNote Library_Exposé&lt;record-ids&gt;&lt;item&gt;2&lt;/item&gt;&lt;item&gt;4&lt;/item&gt;&lt;item&gt;10&lt;/item&gt;&lt;item&gt;15&lt;/item&gt;&lt;item&gt;21&lt;/item&gt;&lt;item&gt;29&lt;/item&gt;&lt;item&gt;30&lt;/item&gt;&lt;item&gt;36&lt;/item&gt;&lt;item&gt;41&lt;/item&gt;&lt;item&gt;42&lt;/item&gt;&lt;item&gt;43&lt;/item&gt;&lt;item&gt;47&lt;/item&gt;&lt;item&gt;63&lt;/item&gt;&lt;item&gt;70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4&lt;/item&gt;&lt;item&gt;95&lt;/item&gt;&lt;item&gt;96&lt;/item&gt;&lt;item&gt;97&lt;/item&gt;&lt;item&gt;150&lt;/item&gt;&lt;item&gt;168&lt;/item&gt;&lt;item&gt;175&lt;/item&gt;&lt;item&gt;176&lt;/item&gt;&lt;item&gt;192&lt;/item&gt;&lt;item&gt;203&lt;/item&gt;&lt;item&gt;206&lt;/item&gt;&lt;item&gt;212&lt;/item&gt;&lt;item&gt;221&lt;/item&gt;&lt;item&gt;226&lt;/item&gt;&lt;item&gt;231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5&lt;/item&gt;&lt;item&gt;336&lt;/item&gt;&lt;item&gt;337&lt;/item&gt;&lt;item&gt;338&lt;/item&gt;&lt;item&gt;339&lt;/item&gt;&lt;item&gt;340&lt;/item&gt;&lt;item&gt;342&lt;/item&gt;&lt;item&gt;343&lt;/item&gt;&lt;item&gt;344&lt;/item&gt;&lt;item&gt;345&lt;/item&gt;&lt;item&gt;346&lt;/item&gt;&lt;item&gt;348&lt;/item&gt;&lt;item&gt;349&lt;/item&gt;&lt;item&gt;350&lt;/item&gt;&lt;item&gt;352&lt;/item&gt;&lt;item&gt;355&lt;/item&gt;&lt;item&gt;356&lt;/item&gt;&lt;item&gt;357&lt;/item&gt;&lt;item&gt;360&lt;/item&gt;&lt;item&gt;361&lt;/item&gt;&lt;item&gt;362&lt;/item&gt;&lt;item&gt;363&lt;/item&gt;&lt;item&gt;366&lt;/item&gt;&lt;item&gt;367&lt;/item&gt;&lt;item&gt;368&lt;/item&gt;&lt;item&gt;384&lt;/item&gt;&lt;item&gt;392&lt;/item&gt;&lt;item&gt;393&lt;/item&gt;&lt;item&gt;394&lt;/item&gt;&lt;item&gt;395&lt;/item&gt;&lt;item&gt;396&lt;/item&gt;&lt;item&gt;397&lt;/item&gt;&lt;item&gt;399&lt;/item&gt;&lt;item&gt;400&lt;/item&gt;&lt;item&gt;401&lt;/item&gt;&lt;item&gt;402&lt;/item&gt;&lt;item&gt;403&lt;/item&gt;&lt;item&gt;404&lt;/item&gt;&lt;item&gt;405&lt;/item&gt;&lt;item&gt;406&lt;/item&gt;&lt;item&gt;407&lt;/item&gt;&lt;/record-ids&gt;&lt;/item&gt;&lt;/Libraries&gt;"/>
  </w:docVars>
  <w:rsids>
    <w:rsidRoot w:val="006F5639"/>
    <w:rsid w:val="00000E49"/>
    <w:rsid w:val="000014DE"/>
    <w:rsid w:val="00001585"/>
    <w:rsid w:val="00001B1E"/>
    <w:rsid w:val="0000209C"/>
    <w:rsid w:val="00002B64"/>
    <w:rsid w:val="00002CE7"/>
    <w:rsid w:val="00003048"/>
    <w:rsid w:val="00003598"/>
    <w:rsid w:val="00003846"/>
    <w:rsid w:val="00003DAC"/>
    <w:rsid w:val="00004D18"/>
    <w:rsid w:val="00005527"/>
    <w:rsid w:val="00007270"/>
    <w:rsid w:val="000108FF"/>
    <w:rsid w:val="00010F6B"/>
    <w:rsid w:val="00012401"/>
    <w:rsid w:val="000134D2"/>
    <w:rsid w:val="000138AB"/>
    <w:rsid w:val="000138B0"/>
    <w:rsid w:val="00015643"/>
    <w:rsid w:val="00015DFA"/>
    <w:rsid w:val="00016C61"/>
    <w:rsid w:val="00017817"/>
    <w:rsid w:val="00020ABF"/>
    <w:rsid w:val="00020CF2"/>
    <w:rsid w:val="00021FD4"/>
    <w:rsid w:val="00022277"/>
    <w:rsid w:val="000227A5"/>
    <w:rsid w:val="00022CAF"/>
    <w:rsid w:val="00024A5B"/>
    <w:rsid w:val="000251BA"/>
    <w:rsid w:val="000256E0"/>
    <w:rsid w:val="00025A07"/>
    <w:rsid w:val="000264F5"/>
    <w:rsid w:val="00027438"/>
    <w:rsid w:val="000308BA"/>
    <w:rsid w:val="00031184"/>
    <w:rsid w:val="00032278"/>
    <w:rsid w:val="000331AD"/>
    <w:rsid w:val="00033E4E"/>
    <w:rsid w:val="0003474A"/>
    <w:rsid w:val="00035315"/>
    <w:rsid w:val="00035C4E"/>
    <w:rsid w:val="0004078B"/>
    <w:rsid w:val="00040F99"/>
    <w:rsid w:val="00041080"/>
    <w:rsid w:val="00044958"/>
    <w:rsid w:val="000449F6"/>
    <w:rsid w:val="00044DCB"/>
    <w:rsid w:val="000450B2"/>
    <w:rsid w:val="000456FF"/>
    <w:rsid w:val="00045F6F"/>
    <w:rsid w:val="00046BDE"/>
    <w:rsid w:val="00047327"/>
    <w:rsid w:val="00050D23"/>
    <w:rsid w:val="0005190C"/>
    <w:rsid w:val="000522E7"/>
    <w:rsid w:val="00052CEE"/>
    <w:rsid w:val="000537E8"/>
    <w:rsid w:val="00055C15"/>
    <w:rsid w:val="00060C34"/>
    <w:rsid w:val="00061392"/>
    <w:rsid w:val="00061C18"/>
    <w:rsid w:val="00062209"/>
    <w:rsid w:val="00062901"/>
    <w:rsid w:val="00064E05"/>
    <w:rsid w:val="00066123"/>
    <w:rsid w:val="00067930"/>
    <w:rsid w:val="0007129C"/>
    <w:rsid w:val="000718E4"/>
    <w:rsid w:val="00071E8C"/>
    <w:rsid w:val="00073A58"/>
    <w:rsid w:val="00074AB0"/>
    <w:rsid w:val="00074DDD"/>
    <w:rsid w:val="00075E92"/>
    <w:rsid w:val="00076B6A"/>
    <w:rsid w:val="00077AFA"/>
    <w:rsid w:val="000809C4"/>
    <w:rsid w:val="000811D7"/>
    <w:rsid w:val="00081664"/>
    <w:rsid w:val="00081AF9"/>
    <w:rsid w:val="00081B58"/>
    <w:rsid w:val="00082379"/>
    <w:rsid w:val="000825BE"/>
    <w:rsid w:val="00082C07"/>
    <w:rsid w:val="0008584E"/>
    <w:rsid w:val="00085DFA"/>
    <w:rsid w:val="000860A4"/>
    <w:rsid w:val="0008622D"/>
    <w:rsid w:val="00086D97"/>
    <w:rsid w:val="00086E6F"/>
    <w:rsid w:val="0008750A"/>
    <w:rsid w:val="00090275"/>
    <w:rsid w:val="00090573"/>
    <w:rsid w:val="00091B6F"/>
    <w:rsid w:val="00092927"/>
    <w:rsid w:val="00092E5F"/>
    <w:rsid w:val="00093D39"/>
    <w:rsid w:val="000949D8"/>
    <w:rsid w:val="000951A6"/>
    <w:rsid w:val="00096241"/>
    <w:rsid w:val="0009659D"/>
    <w:rsid w:val="000966DC"/>
    <w:rsid w:val="00096D77"/>
    <w:rsid w:val="0009763B"/>
    <w:rsid w:val="000A04D5"/>
    <w:rsid w:val="000A0B6B"/>
    <w:rsid w:val="000A1091"/>
    <w:rsid w:val="000A1419"/>
    <w:rsid w:val="000A163B"/>
    <w:rsid w:val="000A1CBB"/>
    <w:rsid w:val="000A1D75"/>
    <w:rsid w:val="000A42F5"/>
    <w:rsid w:val="000A47FF"/>
    <w:rsid w:val="000A4B1D"/>
    <w:rsid w:val="000A5446"/>
    <w:rsid w:val="000A6697"/>
    <w:rsid w:val="000A6BD9"/>
    <w:rsid w:val="000A7185"/>
    <w:rsid w:val="000A72E1"/>
    <w:rsid w:val="000A74C3"/>
    <w:rsid w:val="000B0088"/>
    <w:rsid w:val="000B09A4"/>
    <w:rsid w:val="000B0A74"/>
    <w:rsid w:val="000B0EA6"/>
    <w:rsid w:val="000B1A20"/>
    <w:rsid w:val="000B26F6"/>
    <w:rsid w:val="000B27C6"/>
    <w:rsid w:val="000B3C5D"/>
    <w:rsid w:val="000B4448"/>
    <w:rsid w:val="000B4AA1"/>
    <w:rsid w:val="000B6D40"/>
    <w:rsid w:val="000C1B49"/>
    <w:rsid w:val="000C280A"/>
    <w:rsid w:val="000C2F17"/>
    <w:rsid w:val="000C323C"/>
    <w:rsid w:val="000C3602"/>
    <w:rsid w:val="000C3FAC"/>
    <w:rsid w:val="000C5013"/>
    <w:rsid w:val="000C5932"/>
    <w:rsid w:val="000C5F9A"/>
    <w:rsid w:val="000C60B7"/>
    <w:rsid w:val="000C60EE"/>
    <w:rsid w:val="000C611B"/>
    <w:rsid w:val="000C6E90"/>
    <w:rsid w:val="000D10E9"/>
    <w:rsid w:val="000D14B1"/>
    <w:rsid w:val="000D22F8"/>
    <w:rsid w:val="000D299F"/>
    <w:rsid w:val="000D2C30"/>
    <w:rsid w:val="000D39C3"/>
    <w:rsid w:val="000D42D5"/>
    <w:rsid w:val="000D56A1"/>
    <w:rsid w:val="000D6447"/>
    <w:rsid w:val="000D6A1D"/>
    <w:rsid w:val="000D6C7E"/>
    <w:rsid w:val="000D6D48"/>
    <w:rsid w:val="000D72F2"/>
    <w:rsid w:val="000E0A1A"/>
    <w:rsid w:val="000E2135"/>
    <w:rsid w:val="000E22B4"/>
    <w:rsid w:val="000E2555"/>
    <w:rsid w:val="000E3BC7"/>
    <w:rsid w:val="000E3FD1"/>
    <w:rsid w:val="000E5024"/>
    <w:rsid w:val="000E522A"/>
    <w:rsid w:val="000E75A3"/>
    <w:rsid w:val="000E77C9"/>
    <w:rsid w:val="000E7831"/>
    <w:rsid w:val="000E79BE"/>
    <w:rsid w:val="000F008F"/>
    <w:rsid w:val="000F0656"/>
    <w:rsid w:val="000F0E4D"/>
    <w:rsid w:val="000F1C8E"/>
    <w:rsid w:val="000F2C6E"/>
    <w:rsid w:val="000F3181"/>
    <w:rsid w:val="000F38C9"/>
    <w:rsid w:val="000F39D8"/>
    <w:rsid w:val="000F3D61"/>
    <w:rsid w:val="000F4010"/>
    <w:rsid w:val="000F6DE5"/>
    <w:rsid w:val="000F74A7"/>
    <w:rsid w:val="0010008D"/>
    <w:rsid w:val="001003EA"/>
    <w:rsid w:val="00102343"/>
    <w:rsid w:val="00103E9D"/>
    <w:rsid w:val="001041EA"/>
    <w:rsid w:val="0010428E"/>
    <w:rsid w:val="0010491A"/>
    <w:rsid w:val="001049F6"/>
    <w:rsid w:val="001056BA"/>
    <w:rsid w:val="001063F3"/>
    <w:rsid w:val="001068C5"/>
    <w:rsid w:val="00110313"/>
    <w:rsid w:val="00110351"/>
    <w:rsid w:val="00110436"/>
    <w:rsid w:val="001123B0"/>
    <w:rsid w:val="00112F42"/>
    <w:rsid w:val="001139B4"/>
    <w:rsid w:val="00113A39"/>
    <w:rsid w:val="00114CF2"/>
    <w:rsid w:val="00115093"/>
    <w:rsid w:val="001156B6"/>
    <w:rsid w:val="00115FF5"/>
    <w:rsid w:val="00116021"/>
    <w:rsid w:val="00116178"/>
    <w:rsid w:val="0011621F"/>
    <w:rsid w:val="0012039E"/>
    <w:rsid w:val="00121020"/>
    <w:rsid w:val="00121663"/>
    <w:rsid w:val="001219F9"/>
    <w:rsid w:val="00121C30"/>
    <w:rsid w:val="00126B70"/>
    <w:rsid w:val="0012717C"/>
    <w:rsid w:val="00130288"/>
    <w:rsid w:val="00131381"/>
    <w:rsid w:val="00131B79"/>
    <w:rsid w:val="0013227A"/>
    <w:rsid w:val="00132951"/>
    <w:rsid w:val="00132CD0"/>
    <w:rsid w:val="00133021"/>
    <w:rsid w:val="00133205"/>
    <w:rsid w:val="00134920"/>
    <w:rsid w:val="00134D5B"/>
    <w:rsid w:val="00134DD6"/>
    <w:rsid w:val="00135200"/>
    <w:rsid w:val="001361CD"/>
    <w:rsid w:val="00136E16"/>
    <w:rsid w:val="0013704C"/>
    <w:rsid w:val="00137CF1"/>
    <w:rsid w:val="001424F1"/>
    <w:rsid w:val="00142A5B"/>
    <w:rsid w:val="00144AED"/>
    <w:rsid w:val="00145521"/>
    <w:rsid w:val="001456C9"/>
    <w:rsid w:val="00145725"/>
    <w:rsid w:val="00146043"/>
    <w:rsid w:val="0014628D"/>
    <w:rsid w:val="0014689F"/>
    <w:rsid w:val="001476B7"/>
    <w:rsid w:val="001477CA"/>
    <w:rsid w:val="0014785D"/>
    <w:rsid w:val="001478FD"/>
    <w:rsid w:val="00147A9F"/>
    <w:rsid w:val="00150A81"/>
    <w:rsid w:val="00150E11"/>
    <w:rsid w:val="00151E76"/>
    <w:rsid w:val="00151F00"/>
    <w:rsid w:val="001522CC"/>
    <w:rsid w:val="00152975"/>
    <w:rsid w:val="001531F1"/>
    <w:rsid w:val="0015360F"/>
    <w:rsid w:val="001538E2"/>
    <w:rsid w:val="0015392F"/>
    <w:rsid w:val="001539C9"/>
    <w:rsid w:val="001547BA"/>
    <w:rsid w:val="00155262"/>
    <w:rsid w:val="001553E4"/>
    <w:rsid w:val="00155B4E"/>
    <w:rsid w:val="001569B5"/>
    <w:rsid w:val="00156A37"/>
    <w:rsid w:val="0015744A"/>
    <w:rsid w:val="00157682"/>
    <w:rsid w:val="00157FEE"/>
    <w:rsid w:val="001602EB"/>
    <w:rsid w:val="00161AAC"/>
    <w:rsid w:val="001621FD"/>
    <w:rsid w:val="001628C3"/>
    <w:rsid w:val="00162AE3"/>
    <w:rsid w:val="00162DF8"/>
    <w:rsid w:val="00163C97"/>
    <w:rsid w:val="00164E45"/>
    <w:rsid w:val="00166BAF"/>
    <w:rsid w:val="00166F06"/>
    <w:rsid w:val="00167BF0"/>
    <w:rsid w:val="00167C6B"/>
    <w:rsid w:val="00171FD0"/>
    <w:rsid w:val="00172571"/>
    <w:rsid w:val="00172F8A"/>
    <w:rsid w:val="00175971"/>
    <w:rsid w:val="00176160"/>
    <w:rsid w:val="00177C11"/>
    <w:rsid w:val="00182C8B"/>
    <w:rsid w:val="00184A6D"/>
    <w:rsid w:val="00184F9C"/>
    <w:rsid w:val="00185CE5"/>
    <w:rsid w:val="00186506"/>
    <w:rsid w:val="00186B1B"/>
    <w:rsid w:val="00186E67"/>
    <w:rsid w:val="001870A5"/>
    <w:rsid w:val="00187DAA"/>
    <w:rsid w:val="0019198E"/>
    <w:rsid w:val="00191D3E"/>
    <w:rsid w:val="00192058"/>
    <w:rsid w:val="0019210A"/>
    <w:rsid w:val="001921AF"/>
    <w:rsid w:val="001943A1"/>
    <w:rsid w:val="0019467F"/>
    <w:rsid w:val="00194D00"/>
    <w:rsid w:val="00195024"/>
    <w:rsid w:val="001955F7"/>
    <w:rsid w:val="0019580B"/>
    <w:rsid w:val="00196214"/>
    <w:rsid w:val="0019675C"/>
    <w:rsid w:val="0019772D"/>
    <w:rsid w:val="001A0689"/>
    <w:rsid w:val="001A0F6F"/>
    <w:rsid w:val="001A1741"/>
    <w:rsid w:val="001A1AB7"/>
    <w:rsid w:val="001A22EB"/>
    <w:rsid w:val="001A3F8B"/>
    <w:rsid w:val="001A4272"/>
    <w:rsid w:val="001A43B7"/>
    <w:rsid w:val="001A59FD"/>
    <w:rsid w:val="001A6239"/>
    <w:rsid w:val="001A6F5C"/>
    <w:rsid w:val="001B2464"/>
    <w:rsid w:val="001B5606"/>
    <w:rsid w:val="001B6019"/>
    <w:rsid w:val="001B6D4A"/>
    <w:rsid w:val="001B73ED"/>
    <w:rsid w:val="001C1F8A"/>
    <w:rsid w:val="001C272B"/>
    <w:rsid w:val="001C2790"/>
    <w:rsid w:val="001C2B3A"/>
    <w:rsid w:val="001C396B"/>
    <w:rsid w:val="001C3BF0"/>
    <w:rsid w:val="001C4295"/>
    <w:rsid w:val="001C438F"/>
    <w:rsid w:val="001C4B82"/>
    <w:rsid w:val="001C5B8B"/>
    <w:rsid w:val="001C5CBE"/>
    <w:rsid w:val="001C66DE"/>
    <w:rsid w:val="001C76EC"/>
    <w:rsid w:val="001C79D0"/>
    <w:rsid w:val="001C7E7E"/>
    <w:rsid w:val="001D0337"/>
    <w:rsid w:val="001D067F"/>
    <w:rsid w:val="001D12A0"/>
    <w:rsid w:val="001D2546"/>
    <w:rsid w:val="001D3629"/>
    <w:rsid w:val="001D4859"/>
    <w:rsid w:val="001D49A8"/>
    <w:rsid w:val="001D6702"/>
    <w:rsid w:val="001D750F"/>
    <w:rsid w:val="001D78DC"/>
    <w:rsid w:val="001E019A"/>
    <w:rsid w:val="001E0E20"/>
    <w:rsid w:val="001E1345"/>
    <w:rsid w:val="001E31D1"/>
    <w:rsid w:val="001E37DA"/>
    <w:rsid w:val="001E3B45"/>
    <w:rsid w:val="001E431E"/>
    <w:rsid w:val="001E442A"/>
    <w:rsid w:val="001E46EC"/>
    <w:rsid w:val="001E483A"/>
    <w:rsid w:val="001E5D8A"/>
    <w:rsid w:val="001E6CFB"/>
    <w:rsid w:val="001E7FDD"/>
    <w:rsid w:val="001F03EA"/>
    <w:rsid w:val="001F0412"/>
    <w:rsid w:val="001F0BBC"/>
    <w:rsid w:val="001F1FB7"/>
    <w:rsid w:val="001F22DF"/>
    <w:rsid w:val="001F2660"/>
    <w:rsid w:val="001F28BF"/>
    <w:rsid w:val="001F2BDD"/>
    <w:rsid w:val="001F3DEB"/>
    <w:rsid w:val="001F494F"/>
    <w:rsid w:val="001F552C"/>
    <w:rsid w:val="001F5726"/>
    <w:rsid w:val="001F60CF"/>
    <w:rsid w:val="001F655C"/>
    <w:rsid w:val="001F693C"/>
    <w:rsid w:val="001F7218"/>
    <w:rsid w:val="00200623"/>
    <w:rsid w:val="00200E48"/>
    <w:rsid w:val="002010D8"/>
    <w:rsid w:val="00201B03"/>
    <w:rsid w:val="00204C49"/>
    <w:rsid w:val="002103CB"/>
    <w:rsid w:val="00210DD4"/>
    <w:rsid w:val="0021119A"/>
    <w:rsid w:val="00211B07"/>
    <w:rsid w:val="00211DA9"/>
    <w:rsid w:val="00212698"/>
    <w:rsid w:val="00212853"/>
    <w:rsid w:val="00212A20"/>
    <w:rsid w:val="002136E6"/>
    <w:rsid w:val="002138D5"/>
    <w:rsid w:val="00214475"/>
    <w:rsid w:val="0021477C"/>
    <w:rsid w:val="00215756"/>
    <w:rsid w:val="00216768"/>
    <w:rsid w:val="00216A84"/>
    <w:rsid w:val="00216B3D"/>
    <w:rsid w:val="0021740A"/>
    <w:rsid w:val="002174D9"/>
    <w:rsid w:val="00217598"/>
    <w:rsid w:val="00217BC7"/>
    <w:rsid w:val="00217E34"/>
    <w:rsid w:val="00217EF0"/>
    <w:rsid w:val="002204AF"/>
    <w:rsid w:val="00221B7F"/>
    <w:rsid w:val="00222902"/>
    <w:rsid w:val="00223858"/>
    <w:rsid w:val="00226C6E"/>
    <w:rsid w:val="00226F17"/>
    <w:rsid w:val="002277F7"/>
    <w:rsid w:val="00227871"/>
    <w:rsid w:val="00227FB8"/>
    <w:rsid w:val="00230078"/>
    <w:rsid w:val="00230E36"/>
    <w:rsid w:val="002326CE"/>
    <w:rsid w:val="00233483"/>
    <w:rsid w:val="00233C20"/>
    <w:rsid w:val="00234599"/>
    <w:rsid w:val="002346BB"/>
    <w:rsid w:val="00234B33"/>
    <w:rsid w:val="002350D8"/>
    <w:rsid w:val="00235AE1"/>
    <w:rsid w:val="002367F7"/>
    <w:rsid w:val="00236D38"/>
    <w:rsid w:val="0023774E"/>
    <w:rsid w:val="0023776F"/>
    <w:rsid w:val="002377B9"/>
    <w:rsid w:val="00237813"/>
    <w:rsid w:val="0024199E"/>
    <w:rsid w:val="0024230E"/>
    <w:rsid w:val="0024364D"/>
    <w:rsid w:val="00243B1D"/>
    <w:rsid w:val="00244895"/>
    <w:rsid w:val="002459DD"/>
    <w:rsid w:val="00247596"/>
    <w:rsid w:val="00254152"/>
    <w:rsid w:val="00254811"/>
    <w:rsid w:val="0025560C"/>
    <w:rsid w:val="00255F48"/>
    <w:rsid w:val="00256ECD"/>
    <w:rsid w:val="00256EE1"/>
    <w:rsid w:val="00257234"/>
    <w:rsid w:val="00262C16"/>
    <w:rsid w:val="002631E4"/>
    <w:rsid w:val="0026335C"/>
    <w:rsid w:val="002644C3"/>
    <w:rsid w:val="0026467D"/>
    <w:rsid w:val="0026496E"/>
    <w:rsid w:val="00266B9A"/>
    <w:rsid w:val="00266EE9"/>
    <w:rsid w:val="002702FE"/>
    <w:rsid w:val="00270F0A"/>
    <w:rsid w:val="00271259"/>
    <w:rsid w:val="0027160A"/>
    <w:rsid w:val="002724F6"/>
    <w:rsid w:val="002731E6"/>
    <w:rsid w:val="00273A23"/>
    <w:rsid w:val="002747F5"/>
    <w:rsid w:val="00275330"/>
    <w:rsid w:val="002753A8"/>
    <w:rsid w:val="00281C81"/>
    <w:rsid w:val="0028297D"/>
    <w:rsid w:val="00283DB0"/>
    <w:rsid w:val="00284B5A"/>
    <w:rsid w:val="002850E3"/>
    <w:rsid w:val="00286DB0"/>
    <w:rsid w:val="00287697"/>
    <w:rsid w:val="00287997"/>
    <w:rsid w:val="002900EB"/>
    <w:rsid w:val="00291DD2"/>
    <w:rsid w:val="0029218B"/>
    <w:rsid w:val="002921CB"/>
    <w:rsid w:val="00293EA9"/>
    <w:rsid w:val="0029406E"/>
    <w:rsid w:val="002948C4"/>
    <w:rsid w:val="002958FA"/>
    <w:rsid w:val="0029663C"/>
    <w:rsid w:val="002968CB"/>
    <w:rsid w:val="002A07D5"/>
    <w:rsid w:val="002A1E82"/>
    <w:rsid w:val="002A31AE"/>
    <w:rsid w:val="002A37A5"/>
    <w:rsid w:val="002A3888"/>
    <w:rsid w:val="002A3B12"/>
    <w:rsid w:val="002A4886"/>
    <w:rsid w:val="002A53C1"/>
    <w:rsid w:val="002A57DB"/>
    <w:rsid w:val="002A5A7A"/>
    <w:rsid w:val="002A5D77"/>
    <w:rsid w:val="002A6DAF"/>
    <w:rsid w:val="002A77AE"/>
    <w:rsid w:val="002B02C5"/>
    <w:rsid w:val="002B1BC1"/>
    <w:rsid w:val="002B1DB6"/>
    <w:rsid w:val="002B2D35"/>
    <w:rsid w:val="002B366A"/>
    <w:rsid w:val="002B538C"/>
    <w:rsid w:val="002B584B"/>
    <w:rsid w:val="002B5E96"/>
    <w:rsid w:val="002B6318"/>
    <w:rsid w:val="002B73F4"/>
    <w:rsid w:val="002B7937"/>
    <w:rsid w:val="002B79EE"/>
    <w:rsid w:val="002B7E6A"/>
    <w:rsid w:val="002C002C"/>
    <w:rsid w:val="002C0838"/>
    <w:rsid w:val="002C0CF4"/>
    <w:rsid w:val="002C12F1"/>
    <w:rsid w:val="002C23C5"/>
    <w:rsid w:val="002C3256"/>
    <w:rsid w:val="002C7A63"/>
    <w:rsid w:val="002C7D53"/>
    <w:rsid w:val="002D1667"/>
    <w:rsid w:val="002D22B0"/>
    <w:rsid w:val="002D3D12"/>
    <w:rsid w:val="002D48D5"/>
    <w:rsid w:val="002D524A"/>
    <w:rsid w:val="002D5868"/>
    <w:rsid w:val="002D6901"/>
    <w:rsid w:val="002D694A"/>
    <w:rsid w:val="002D7EB4"/>
    <w:rsid w:val="002E0370"/>
    <w:rsid w:val="002E0F7E"/>
    <w:rsid w:val="002E1DCD"/>
    <w:rsid w:val="002E25E8"/>
    <w:rsid w:val="002E29DD"/>
    <w:rsid w:val="002E3973"/>
    <w:rsid w:val="002E3B94"/>
    <w:rsid w:val="002E3CD3"/>
    <w:rsid w:val="002E48D1"/>
    <w:rsid w:val="002E49B4"/>
    <w:rsid w:val="002E551D"/>
    <w:rsid w:val="002E6636"/>
    <w:rsid w:val="002E6DC0"/>
    <w:rsid w:val="002E7374"/>
    <w:rsid w:val="002E75DB"/>
    <w:rsid w:val="002F095C"/>
    <w:rsid w:val="002F0F2D"/>
    <w:rsid w:val="002F1211"/>
    <w:rsid w:val="002F14B9"/>
    <w:rsid w:val="002F19FD"/>
    <w:rsid w:val="002F1CAC"/>
    <w:rsid w:val="002F2F31"/>
    <w:rsid w:val="002F3214"/>
    <w:rsid w:val="002F330C"/>
    <w:rsid w:val="002F4676"/>
    <w:rsid w:val="002F4867"/>
    <w:rsid w:val="002F4D6C"/>
    <w:rsid w:val="002F4FAD"/>
    <w:rsid w:val="002F6044"/>
    <w:rsid w:val="00300ACE"/>
    <w:rsid w:val="00300DD3"/>
    <w:rsid w:val="00300F71"/>
    <w:rsid w:val="003018E7"/>
    <w:rsid w:val="00301A7A"/>
    <w:rsid w:val="00301EBB"/>
    <w:rsid w:val="00303189"/>
    <w:rsid w:val="0030389C"/>
    <w:rsid w:val="00303A9B"/>
    <w:rsid w:val="00304833"/>
    <w:rsid w:val="00304AD6"/>
    <w:rsid w:val="00304BB5"/>
    <w:rsid w:val="00306847"/>
    <w:rsid w:val="00306DB4"/>
    <w:rsid w:val="0030795E"/>
    <w:rsid w:val="0031014D"/>
    <w:rsid w:val="003113D0"/>
    <w:rsid w:val="00311583"/>
    <w:rsid w:val="00313944"/>
    <w:rsid w:val="003139EC"/>
    <w:rsid w:val="00313FC6"/>
    <w:rsid w:val="0031418C"/>
    <w:rsid w:val="00314A92"/>
    <w:rsid w:val="00316199"/>
    <w:rsid w:val="0032164A"/>
    <w:rsid w:val="00321F74"/>
    <w:rsid w:val="003228D3"/>
    <w:rsid w:val="00322A04"/>
    <w:rsid w:val="00323077"/>
    <w:rsid w:val="0032343E"/>
    <w:rsid w:val="003247D3"/>
    <w:rsid w:val="00324E01"/>
    <w:rsid w:val="003250C7"/>
    <w:rsid w:val="003255C7"/>
    <w:rsid w:val="003257B5"/>
    <w:rsid w:val="003276E5"/>
    <w:rsid w:val="00330FF7"/>
    <w:rsid w:val="0033201C"/>
    <w:rsid w:val="00332805"/>
    <w:rsid w:val="003329F6"/>
    <w:rsid w:val="00334647"/>
    <w:rsid w:val="00336B54"/>
    <w:rsid w:val="00336F09"/>
    <w:rsid w:val="00340924"/>
    <w:rsid w:val="0034186A"/>
    <w:rsid w:val="0034305E"/>
    <w:rsid w:val="0034484D"/>
    <w:rsid w:val="003453F7"/>
    <w:rsid w:val="00345CB3"/>
    <w:rsid w:val="00346BC0"/>
    <w:rsid w:val="00347863"/>
    <w:rsid w:val="00350A0B"/>
    <w:rsid w:val="003525DF"/>
    <w:rsid w:val="0035279D"/>
    <w:rsid w:val="00352BF1"/>
    <w:rsid w:val="00353CDA"/>
    <w:rsid w:val="00354B03"/>
    <w:rsid w:val="00354CEF"/>
    <w:rsid w:val="00355CFE"/>
    <w:rsid w:val="003576F7"/>
    <w:rsid w:val="00357939"/>
    <w:rsid w:val="00360CB4"/>
    <w:rsid w:val="00361D34"/>
    <w:rsid w:val="0036261E"/>
    <w:rsid w:val="00365119"/>
    <w:rsid w:val="0036518A"/>
    <w:rsid w:val="00366EAC"/>
    <w:rsid w:val="0036756A"/>
    <w:rsid w:val="00370B47"/>
    <w:rsid w:val="00371263"/>
    <w:rsid w:val="003718F1"/>
    <w:rsid w:val="00372047"/>
    <w:rsid w:val="00372926"/>
    <w:rsid w:val="003742E8"/>
    <w:rsid w:val="00374960"/>
    <w:rsid w:val="003754DF"/>
    <w:rsid w:val="00375EAF"/>
    <w:rsid w:val="00380589"/>
    <w:rsid w:val="00380F4E"/>
    <w:rsid w:val="00384DAF"/>
    <w:rsid w:val="00385C13"/>
    <w:rsid w:val="00385DD2"/>
    <w:rsid w:val="00386159"/>
    <w:rsid w:val="003865CF"/>
    <w:rsid w:val="00386818"/>
    <w:rsid w:val="0038742D"/>
    <w:rsid w:val="003878DB"/>
    <w:rsid w:val="0039073D"/>
    <w:rsid w:val="00390A9B"/>
    <w:rsid w:val="00390D4E"/>
    <w:rsid w:val="003914D1"/>
    <w:rsid w:val="003915B6"/>
    <w:rsid w:val="00391745"/>
    <w:rsid w:val="00392928"/>
    <w:rsid w:val="00393FFD"/>
    <w:rsid w:val="0039524E"/>
    <w:rsid w:val="003954CA"/>
    <w:rsid w:val="00395930"/>
    <w:rsid w:val="00396C3C"/>
    <w:rsid w:val="003A052D"/>
    <w:rsid w:val="003A0C15"/>
    <w:rsid w:val="003A2200"/>
    <w:rsid w:val="003A357F"/>
    <w:rsid w:val="003A3745"/>
    <w:rsid w:val="003A3920"/>
    <w:rsid w:val="003A3E46"/>
    <w:rsid w:val="003A4A3D"/>
    <w:rsid w:val="003A50E5"/>
    <w:rsid w:val="003A5559"/>
    <w:rsid w:val="003A6087"/>
    <w:rsid w:val="003A6AE4"/>
    <w:rsid w:val="003A6CD9"/>
    <w:rsid w:val="003A75DF"/>
    <w:rsid w:val="003B0693"/>
    <w:rsid w:val="003B0BB8"/>
    <w:rsid w:val="003B0F94"/>
    <w:rsid w:val="003B118C"/>
    <w:rsid w:val="003B3F7C"/>
    <w:rsid w:val="003B4F34"/>
    <w:rsid w:val="003B57D8"/>
    <w:rsid w:val="003B59A8"/>
    <w:rsid w:val="003B7929"/>
    <w:rsid w:val="003B7F05"/>
    <w:rsid w:val="003B7F1B"/>
    <w:rsid w:val="003C01EF"/>
    <w:rsid w:val="003C04C5"/>
    <w:rsid w:val="003C3484"/>
    <w:rsid w:val="003C3729"/>
    <w:rsid w:val="003C3E18"/>
    <w:rsid w:val="003C4127"/>
    <w:rsid w:val="003C4666"/>
    <w:rsid w:val="003C4B9E"/>
    <w:rsid w:val="003C6F8D"/>
    <w:rsid w:val="003C7022"/>
    <w:rsid w:val="003D07C6"/>
    <w:rsid w:val="003D251D"/>
    <w:rsid w:val="003D261E"/>
    <w:rsid w:val="003D2683"/>
    <w:rsid w:val="003D2DAE"/>
    <w:rsid w:val="003D336A"/>
    <w:rsid w:val="003D4701"/>
    <w:rsid w:val="003D4D9B"/>
    <w:rsid w:val="003D5B7C"/>
    <w:rsid w:val="003D75D7"/>
    <w:rsid w:val="003E0579"/>
    <w:rsid w:val="003E0B9B"/>
    <w:rsid w:val="003E0E74"/>
    <w:rsid w:val="003E173B"/>
    <w:rsid w:val="003E193B"/>
    <w:rsid w:val="003E19DE"/>
    <w:rsid w:val="003E21C9"/>
    <w:rsid w:val="003E3884"/>
    <w:rsid w:val="003E3D32"/>
    <w:rsid w:val="003E5750"/>
    <w:rsid w:val="003E5BE6"/>
    <w:rsid w:val="003F041F"/>
    <w:rsid w:val="003F0D1F"/>
    <w:rsid w:val="003F1310"/>
    <w:rsid w:val="003F1C4A"/>
    <w:rsid w:val="003F1E7B"/>
    <w:rsid w:val="003F2444"/>
    <w:rsid w:val="003F2FDE"/>
    <w:rsid w:val="003F4243"/>
    <w:rsid w:val="003F4BE5"/>
    <w:rsid w:val="003F78DD"/>
    <w:rsid w:val="0040229D"/>
    <w:rsid w:val="00402534"/>
    <w:rsid w:val="004026F0"/>
    <w:rsid w:val="00402D12"/>
    <w:rsid w:val="00402E6C"/>
    <w:rsid w:val="0040416B"/>
    <w:rsid w:val="0040450C"/>
    <w:rsid w:val="00404A04"/>
    <w:rsid w:val="0040559E"/>
    <w:rsid w:val="0040564A"/>
    <w:rsid w:val="004057FC"/>
    <w:rsid w:val="00405D28"/>
    <w:rsid w:val="00405F6C"/>
    <w:rsid w:val="004069B2"/>
    <w:rsid w:val="00406DDA"/>
    <w:rsid w:val="004073D6"/>
    <w:rsid w:val="00407723"/>
    <w:rsid w:val="004104BB"/>
    <w:rsid w:val="0041072C"/>
    <w:rsid w:val="00410CC2"/>
    <w:rsid w:val="00413ADF"/>
    <w:rsid w:val="0041458B"/>
    <w:rsid w:val="0041492C"/>
    <w:rsid w:val="0041583D"/>
    <w:rsid w:val="0041672B"/>
    <w:rsid w:val="00416A6C"/>
    <w:rsid w:val="004179C9"/>
    <w:rsid w:val="004202F3"/>
    <w:rsid w:val="00420501"/>
    <w:rsid w:val="004209B7"/>
    <w:rsid w:val="0042333B"/>
    <w:rsid w:val="00423B38"/>
    <w:rsid w:val="00423EFC"/>
    <w:rsid w:val="00425164"/>
    <w:rsid w:val="00425344"/>
    <w:rsid w:val="00425B32"/>
    <w:rsid w:val="0042644A"/>
    <w:rsid w:val="00426B17"/>
    <w:rsid w:val="00426F66"/>
    <w:rsid w:val="00427869"/>
    <w:rsid w:val="00427DE5"/>
    <w:rsid w:val="0043018F"/>
    <w:rsid w:val="00430486"/>
    <w:rsid w:val="004306EB"/>
    <w:rsid w:val="00431588"/>
    <w:rsid w:val="004328AE"/>
    <w:rsid w:val="00433AFB"/>
    <w:rsid w:val="00434183"/>
    <w:rsid w:val="004354C4"/>
    <w:rsid w:val="00436101"/>
    <w:rsid w:val="00436C50"/>
    <w:rsid w:val="00440748"/>
    <w:rsid w:val="00440B6E"/>
    <w:rsid w:val="00441198"/>
    <w:rsid w:val="00442CE5"/>
    <w:rsid w:val="00443B0F"/>
    <w:rsid w:val="00443EE9"/>
    <w:rsid w:val="004443E1"/>
    <w:rsid w:val="00445362"/>
    <w:rsid w:val="0044572B"/>
    <w:rsid w:val="00445D77"/>
    <w:rsid w:val="0044690D"/>
    <w:rsid w:val="004470C9"/>
    <w:rsid w:val="004472AA"/>
    <w:rsid w:val="00447AAC"/>
    <w:rsid w:val="004502B1"/>
    <w:rsid w:val="00450320"/>
    <w:rsid w:val="00452277"/>
    <w:rsid w:val="0045320D"/>
    <w:rsid w:val="004535A6"/>
    <w:rsid w:val="00453A06"/>
    <w:rsid w:val="00454316"/>
    <w:rsid w:val="0045492A"/>
    <w:rsid w:val="004554D4"/>
    <w:rsid w:val="0045716F"/>
    <w:rsid w:val="00457371"/>
    <w:rsid w:val="00457B6B"/>
    <w:rsid w:val="00457FF6"/>
    <w:rsid w:val="00460D6A"/>
    <w:rsid w:val="00463D3D"/>
    <w:rsid w:val="00465B7C"/>
    <w:rsid w:val="00465BE0"/>
    <w:rsid w:val="004662D9"/>
    <w:rsid w:val="0046636C"/>
    <w:rsid w:val="004664B0"/>
    <w:rsid w:val="004704FB"/>
    <w:rsid w:val="00471478"/>
    <w:rsid w:val="00471A55"/>
    <w:rsid w:val="00473D44"/>
    <w:rsid w:val="00474563"/>
    <w:rsid w:val="004745D9"/>
    <w:rsid w:val="004756A5"/>
    <w:rsid w:val="004766BA"/>
    <w:rsid w:val="00476A08"/>
    <w:rsid w:val="004805DF"/>
    <w:rsid w:val="00480700"/>
    <w:rsid w:val="0048196A"/>
    <w:rsid w:val="00482432"/>
    <w:rsid w:val="00483A2C"/>
    <w:rsid w:val="00486EB3"/>
    <w:rsid w:val="00487DEA"/>
    <w:rsid w:val="004903AA"/>
    <w:rsid w:val="004918C5"/>
    <w:rsid w:val="0049278E"/>
    <w:rsid w:val="00492797"/>
    <w:rsid w:val="0049295F"/>
    <w:rsid w:val="00493727"/>
    <w:rsid w:val="00494CF4"/>
    <w:rsid w:val="00496230"/>
    <w:rsid w:val="00496788"/>
    <w:rsid w:val="00496C03"/>
    <w:rsid w:val="00497DA0"/>
    <w:rsid w:val="004A0626"/>
    <w:rsid w:val="004A0905"/>
    <w:rsid w:val="004A2A00"/>
    <w:rsid w:val="004A3E12"/>
    <w:rsid w:val="004A4279"/>
    <w:rsid w:val="004A4F45"/>
    <w:rsid w:val="004A5D9C"/>
    <w:rsid w:val="004A6686"/>
    <w:rsid w:val="004A66CD"/>
    <w:rsid w:val="004A671A"/>
    <w:rsid w:val="004A6799"/>
    <w:rsid w:val="004A7947"/>
    <w:rsid w:val="004A7B57"/>
    <w:rsid w:val="004B0581"/>
    <w:rsid w:val="004B0986"/>
    <w:rsid w:val="004B1B84"/>
    <w:rsid w:val="004B2CE9"/>
    <w:rsid w:val="004B31D9"/>
    <w:rsid w:val="004B357D"/>
    <w:rsid w:val="004B3C2E"/>
    <w:rsid w:val="004B3DF9"/>
    <w:rsid w:val="004B4DA6"/>
    <w:rsid w:val="004B5D05"/>
    <w:rsid w:val="004B6570"/>
    <w:rsid w:val="004B6BB6"/>
    <w:rsid w:val="004B6E7F"/>
    <w:rsid w:val="004B7AF5"/>
    <w:rsid w:val="004C10CE"/>
    <w:rsid w:val="004C12B6"/>
    <w:rsid w:val="004C1804"/>
    <w:rsid w:val="004C1807"/>
    <w:rsid w:val="004C2F91"/>
    <w:rsid w:val="004C37AF"/>
    <w:rsid w:val="004C3D18"/>
    <w:rsid w:val="004C518A"/>
    <w:rsid w:val="004C5800"/>
    <w:rsid w:val="004D00B1"/>
    <w:rsid w:val="004D0475"/>
    <w:rsid w:val="004D058A"/>
    <w:rsid w:val="004D08EF"/>
    <w:rsid w:val="004D1565"/>
    <w:rsid w:val="004D3556"/>
    <w:rsid w:val="004D36A4"/>
    <w:rsid w:val="004D4A59"/>
    <w:rsid w:val="004D4AD6"/>
    <w:rsid w:val="004D60D8"/>
    <w:rsid w:val="004D66B9"/>
    <w:rsid w:val="004D6FDE"/>
    <w:rsid w:val="004D7452"/>
    <w:rsid w:val="004D79B9"/>
    <w:rsid w:val="004E0615"/>
    <w:rsid w:val="004E0D74"/>
    <w:rsid w:val="004E2271"/>
    <w:rsid w:val="004E2423"/>
    <w:rsid w:val="004E2CF1"/>
    <w:rsid w:val="004E336B"/>
    <w:rsid w:val="004E33EF"/>
    <w:rsid w:val="004E3C28"/>
    <w:rsid w:val="004E4197"/>
    <w:rsid w:val="004E5046"/>
    <w:rsid w:val="004E529E"/>
    <w:rsid w:val="004E62D1"/>
    <w:rsid w:val="004E6BBB"/>
    <w:rsid w:val="004F0800"/>
    <w:rsid w:val="004F10E5"/>
    <w:rsid w:val="004F231B"/>
    <w:rsid w:val="004F2A57"/>
    <w:rsid w:val="004F2EBF"/>
    <w:rsid w:val="004F2FFB"/>
    <w:rsid w:val="004F348E"/>
    <w:rsid w:val="004F34D5"/>
    <w:rsid w:val="004F4BFB"/>
    <w:rsid w:val="004F4D8D"/>
    <w:rsid w:val="004F4EF4"/>
    <w:rsid w:val="004F5213"/>
    <w:rsid w:val="004F52B8"/>
    <w:rsid w:val="004F53F5"/>
    <w:rsid w:val="004F5A19"/>
    <w:rsid w:val="004F69F6"/>
    <w:rsid w:val="004F7165"/>
    <w:rsid w:val="004F7D26"/>
    <w:rsid w:val="00503AB7"/>
    <w:rsid w:val="0050498D"/>
    <w:rsid w:val="00505935"/>
    <w:rsid w:val="00505B67"/>
    <w:rsid w:val="00505D56"/>
    <w:rsid w:val="00506754"/>
    <w:rsid w:val="00506906"/>
    <w:rsid w:val="00506FDA"/>
    <w:rsid w:val="00507F4D"/>
    <w:rsid w:val="00510B7C"/>
    <w:rsid w:val="00511720"/>
    <w:rsid w:val="00511FB4"/>
    <w:rsid w:val="00512312"/>
    <w:rsid w:val="00515BF2"/>
    <w:rsid w:val="005160DC"/>
    <w:rsid w:val="0051716C"/>
    <w:rsid w:val="00517BB1"/>
    <w:rsid w:val="00517CF1"/>
    <w:rsid w:val="00517DE6"/>
    <w:rsid w:val="00520BE4"/>
    <w:rsid w:val="005214C9"/>
    <w:rsid w:val="00521F4D"/>
    <w:rsid w:val="00522619"/>
    <w:rsid w:val="00522DFF"/>
    <w:rsid w:val="00523E29"/>
    <w:rsid w:val="00524915"/>
    <w:rsid w:val="00524BF8"/>
    <w:rsid w:val="005251D8"/>
    <w:rsid w:val="00525B9C"/>
    <w:rsid w:val="00525D24"/>
    <w:rsid w:val="005272AC"/>
    <w:rsid w:val="00527333"/>
    <w:rsid w:val="005273D5"/>
    <w:rsid w:val="00527B11"/>
    <w:rsid w:val="0053022B"/>
    <w:rsid w:val="00530681"/>
    <w:rsid w:val="005315CF"/>
    <w:rsid w:val="00533195"/>
    <w:rsid w:val="0053320C"/>
    <w:rsid w:val="00534776"/>
    <w:rsid w:val="0053496C"/>
    <w:rsid w:val="005362AA"/>
    <w:rsid w:val="0053660A"/>
    <w:rsid w:val="00536C78"/>
    <w:rsid w:val="0053783A"/>
    <w:rsid w:val="00537E4E"/>
    <w:rsid w:val="00540356"/>
    <w:rsid w:val="00540A34"/>
    <w:rsid w:val="00540D8E"/>
    <w:rsid w:val="00540F0E"/>
    <w:rsid w:val="0054220F"/>
    <w:rsid w:val="005430F3"/>
    <w:rsid w:val="00543684"/>
    <w:rsid w:val="00543EEA"/>
    <w:rsid w:val="00544E5A"/>
    <w:rsid w:val="005463EC"/>
    <w:rsid w:val="005464E0"/>
    <w:rsid w:val="00547056"/>
    <w:rsid w:val="00550898"/>
    <w:rsid w:val="00550E33"/>
    <w:rsid w:val="0055129B"/>
    <w:rsid w:val="00551473"/>
    <w:rsid w:val="00551506"/>
    <w:rsid w:val="00551C26"/>
    <w:rsid w:val="00552F7C"/>
    <w:rsid w:val="005547FB"/>
    <w:rsid w:val="00554EAE"/>
    <w:rsid w:val="00555A48"/>
    <w:rsid w:val="00555FEC"/>
    <w:rsid w:val="00556365"/>
    <w:rsid w:val="00556F1A"/>
    <w:rsid w:val="00557203"/>
    <w:rsid w:val="00557341"/>
    <w:rsid w:val="005576FB"/>
    <w:rsid w:val="00557EA1"/>
    <w:rsid w:val="00562031"/>
    <w:rsid w:val="00562509"/>
    <w:rsid w:val="00562842"/>
    <w:rsid w:val="00563287"/>
    <w:rsid w:val="00563B6B"/>
    <w:rsid w:val="00563FEA"/>
    <w:rsid w:val="00564353"/>
    <w:rsid w:val="00564E54"/>
    <w:rsid w:val="00565147"/>
    <w:rsid w:val="0056544D"/>
    <w:rsid w:val="005657F9"/>
    <w:rsid w:val="00566033"/>
    <w:rsid w:val="00566C5F"/>
    <w:rsid w:val="00567478"/>
    <w:rsid w:val="0056791B"/>
    <w:rsid w:val="00567940"/>
    <w:rsid w:val="00567E07"/>
    <w:rsid w:val="00571C32"/>
    <w:rsid w:val="005720FA"/>
    <w:rsid w:val="0057256E"/>
    <w:rsid w:val="00572E47"/>
    <w:rsid w:val="0057391E"/>
    <w:rsid w:val="00573CCC"/>
    <w:rsid w:val="00580BE0"/>
    <w:rsid w:val="00581850"/>
    <w:rsid w:val="005818DE"/>
    <w:rsid w:val="00581BBD"/>
    <w:rsid w:val="00581DBC"/>
    <w:rsid w:val="00581EA1"/>
    <w:rsid w:val="00582E2E"/>
    <w:rsid w:val="00582ED1"/>
    <w:rsid w:val="0058321D"/>
    <w:rsid w:val="00583455"/>
    <w:rsid w:val="00583604"/>
    <w:rsid w:val="00583B06"/>
    <w:rsid w:val="005845B5"/>
    <w:rsid w:val="00584C63"/>
    <w:rsid w:val="005853AC"/>
    <w:rsid w:val="00586ACC"/>
    <w:rsid w:val="00587330"/>
    <w:rsid w:val="00587782"/>
    <w:rsid w:val="0058789B"/>
    <w:rsid w:val="0059046E"/>
    <w:rsid w:val="00590495"/>
    <w:rsid w:val="0059106B"/>
    <w:rsid w:val="00591D96"/>
    <w:rsid w:val="00592C33"/>
    <w:rsid w:val="00593253"/>
    <w:rsid w:val="00593353"/>
    <w:rsid w:val="00595E7B"/>
    <w:rsid w:val="00595F7F"/>
    <w:rsid w:val="00595F80"/>
    <w:rsid w:val="005962C5"/>
    <w:rsid w:val="00596747"/>
    <w:rsid w:val="00597394"/>
    <w:rsid w:val="00597943"/>
    <w:rsid w:val="005A1957"/>
    <w:rsid w:val="005A20F3"/>
    <w:rsid w:val="005A3F34"/>
    <w:rsid w:val="005A472C"/>
    <w:rsid w:val="005A5843"/>
    <w:rsid w:val="005A5B49"/>
    <w:rsid w:val="005A5B5B"/>
    <w:rsid w:val="005A7F46"/>
    <w:rsid w:val="005B0889"/>
    <w:rsid w:val="005B1BB7"/>
    <w:rsid w:val="005B1E85"/>
    <w:rsid w:val="005B2583"/>
    <w:rsid w:val="005B25CE"/>
    <w:rsid w:val="005B3DDF"/>
    <w:rsid w:val="005B5057"/>
    <w:rsid w:val="005B569F"/>
    <w:rsid w:val="005B5FC8"/>
    <w:rsid w:val="005B6964"/>
    <w:rsid w:val="005B7C56"/>
    <w:rsid w:val="005C0054"/>
    <w:rsid w:val="005C0075"/>
    <w:rsid w:val="005C0B97"/>
    <w:rsid w:val="005C0F49"/>
    <w:rsid w:val="005C17E0"/>
    <w:rsid w:val="005C19D8"/>
    <w:rsid w:val="005C359A"/>
    <w:rsid w:val="005C3D8A"/>
    <w:rsid w:val="005C51ED"/>
    <w:rsid w:val="005C53CC"/>
    <w:rsid w:val="005C58E0"/>
    <w:rsid w:val="005C59B2"/>
    <w:rsid w:val="005C5B47"/>
    <w:rsid w:val="005C64EA"/>
    <w:rsid w:val="005C6FC7"/>
    <w:rsid w:val="005C72DD"/>
    <w:rsid w:val="005C7E1F"/>
    <w:rsid w:val="005D0785"/>
    <w:rsid w:val="005D3AFC"/>
    <w:rsid w:val="005D4CED"/>
    <w:rsid w:val="005D5876"/>
    <w:rsid w:val="005D62D2"/>
    <w:rsid w:val="005D6598"/>
    <w:rsid w:val="005D66C2"/>
    <w:rsid w:val="005E22FF"/>
    <w:rsid w:val="005E30B2"/>
    <w:rsid w:val="005E5C03"/>
    <w:rsid w:val="005E630A"/>
    <w:rsid w:val="005E69C3"/>
    <w:rsid w:val="005E7079"/>
    <w:rsid w:val="005E7B3B"/>
    <w:rsid w:val="005F0139"/>
    <w:rsid w:val="005F02FD"/>
    <w:rsid w:val="005F2002"/>
    <w:rsid w:val="005F3E51"/>
    <w:rsid w:val="005F40C2"/>
    <w:rsid w:val="005F45E2"/>
    <w:rsid w:val="005F557E"/>
    <w:rsid w:val="005F5A4D"/>
    <w:rsid w:val="005F5E42"/>
    <w:rsid w:val="005F6A50"/>
    <w:rsid w:val="005F7AB4"/>
    <w:rsid w:val="005F7B4B"/>
    <w:rsid w:val="0060063B"/>
    <w:rsid w:val="00601AC7"/>
    <w:rsid w:val="00611261"/>
    <w:rsid w:val="00611347"/>
    <w:rsid w:val="006115A2"/>
    <w:rsid w:val="00611754"/>
    <w:rsid w:val="006117A5"/>
    <w:rsid w:val="00613DF1"/>
    <w:rsid w:val="00614674"/>
    <w:rsid w:val="00615E94"/>
    <w:rsid w:val="00617013"/>
    <w:rsid w:val="00617E19"/>
    <w:rsid w:val="00621A97"/>
    <w:rsid w:val="00621ED8"/>
    <w:rsid w:val="00622D7B"/>
    <w:rsid w:val="00623086"/>
    <w:rsid w:val="0062381F"/>
    <w:rsid w:val="00623B99"/>
    <w:rsid w:val="0062400E"/>
    <w:rsid w:val="00624443"/>
    <w:rsid w:val="006246A0"/>
    <w:rsid w:val="00624EC7"/>
    <w:rsid w:val="00625A63"/>
    <w:rsid w:val="00625E07"/>
    <w:rsid w:val="00625F9A"/>
    <w:rsid w:val="006261D9"/>
    <w:rsid w:val="0062623E"/>
    <w:rsid w:val="00626C8C"/>
    <w:rsid w:val="006276D8"/>
    <w:rsid w:val="006307FC"/>
    <w:rsid w:val="00630D6A"/>
    <w:rsid w:val="00630F90"/>
    <w:rsid w:val="006314E8"/>
    <w:rsid w:val="00631690"/>
    <w:rsid w:val="0063173A"/>
    <w:rsid w:val="00631AE7"/>
    <w:rsid w:val="0063398D"/>
    <w:rsid w:val="00633A19"/>
    <w:rsid w:val="00635004"/>
    <w:rsid w:val="00635CEB"/>
    <w:rsid w:val="00636126"/>
    <w:rsid w:val="00636516"/>
    <w:rsid w:val="00636BFE"/>
    <w:rsid w:val="0063779E"/>
    <w:rsid w:val="00637B99"/>
    <w:rsid w:val="00637DEF"/>
    <w:rsid w:val="00637E0D"/>
    <w:rsid w:val="006400C6"/>
    <w:rsid w:val="00640529"/>
    <w:rsid w:val="00641860"/>
    <w:rsid w:val="00641ACE"/>
    <w:rsid w:val="00642463"/>
    <w:rsid w:val="00642C1A"/>
    <w:rsid w:val="0064377F"/>
    <w:rsid w:val="00643BD4"/>
    <w:rsid w:val="006447F3"/>
    <w:rsid w:val="0064574E"/>
    <w:rsid w:val="00646853"/>
    <w:rsid w:val="00646C94"/>
    <w:rsid w:val="00650B29"/>
    <w:rsid w:val="0065146E"/>
    <w:rsid w:val="00651C5D"/>
    <w:rsid w:val="00654BB7"/>
    <w:rsid w:val="00654E81"/>
    <w:rsid w:val="006556F5"/>
    <w:rsid w:val="006557F9"/>
    <w:rsid w:val="00656099"/>
    <w:rsid w:val="00656517"/>
    <w:rsid w:val="00657AB7"/>
    <w:rsid w:val="00657CB1"/>
    <w:rsid w:val="00660073"/>
    <w:rsid w:val="006608B4"/>
    <w:rsid w:val="006610FA"/>
    <w:rsid w:val="00661C29"/>
    <w:rsid w:val="006647E8"/>
    <w:rsid w:val="00666632"/>
    <w:rsid w:val="0066670D"/>
    <w:rsid w:val="00666A77"/>
    <w:rsid w:val="006703CF"/>
    <w:rsid w:val="0067092E"/>
    <w:rsid w:val="00671F17"/>
    <w:rsid w:val="0067238B"/>
    <w:rsid w:val="006728BB"/>
    <w:rsid w:val="006732A2"/>
    <w:rsid w:val="00673DB4"/>
    <w:rsid w:val="0067511A"/>
    <w:rsid w:val="00676034"/>
    <w:rsid w:val="00677107"/>
    <w:rsid w:val="00677691"/>
    <w:rsid w:val="006804D3"/>
    <w:rsid w:val="0068053D"/>
    <w:rsid w:val="0068085A"/>
    <w:rsid w:val="0068343F"/>
    <w:rsid w:val="00684010"/>
    <w:rsid w:val="00685B62"/>
    <w:rsid w:val="006874DE"/>
    <w:rsid w:val="00687813"/>
    <w:rsid w:val="006900F6"/>
    <w:rsid w:val="006907A9"/>
    <w:rsid w:val="006910B3"/>
    <w:rsid w:val="00691DDA"/>
    <w:rsid w:val="00694438"/>
    <w:rsid w:val="00695528"/>
    <w:rsid w:val="0069593B"/>
    <w:rsid w:val="006963C5"/>
    <w:rsid w:val="006A0D2E"/>
    <w:rsid w:val="006A19B1"/>
    <w:rsid w:val="006A3334"/>
    <w:rsid w:val="006A48AD"/>
    <w:rsid w:val="006A490B"/>
    <w:rsid w:val="006A5571"/>
    <w:rsid w:val="006A5C65"/>
    <w:rsid w:val="006A6352"/>
    <w:rsid w:val="006A68FE"/>
    <w:rsid w:val="006A7945"/>
    <w:rsid w:val="006B160A"/>
    <w:rsid w:val="006B2A7E"/>
    <w:rsid w:val="006B362F"/>
    <w:rsid w:val="006B419D"/>
    <w:rsid w:val="006B6663"/>
    <w:rsid w:val="006B6CEC"/>
    <w:rsid w:val="006C0164"/>
    <w:rsid w:val="006C1426"/>
    <w:rsid w:val="006C1C1D"/>
    <w:rsid w:val="006C1DF9"/>
    <w:rsid w:val="006C3451"/>
    <w:rsid w:val="006C3A46"/>
    <w:rsid w:val="006C40A8"/>
    <w:rsid w:val="006C4C00"/>
    <w:rsid w:val="006C62F2"/>
    <w:rsid w:val="006C6BD3"/>
    <w:rsid w:val="006C70FA"/>
    <w:rsid w:val="006C788D"/>
    <w:rsid w:val="006C7C59"/>
    <w:rsid w:val="006C7EA1"/>
    <w:rsid w:val="006D0960"/>
    <w:rsid w:val="006D1D85"/>
    <w:rsid w:val="006D32D2"/>
    <w:rsid w:val="006D3398"/>
    <w:rsid w:val="006D3AC8"/>
    <w:rsid w:val="006D3F66"/>
    <w:rsid w:val="006D48AD"/>
    <w:rsid w:val="006D628B"/>
    <w:rsid w:val="006D633A"/>
    <w:rsid w:val="006D6810"/>
    <w:rsid w:val="006D7216"/>
    <w:rsid w:val="006D7F2B"/>
    <w:rsid w:val="006D7FC2"/>
    <w:rsid w:val="006E0CC3"/>
    <w:rsid w:val="006E126F"/>
    <w:rsid w:val="006E1736"/>
    <w:rsid w:val="006E1CC1"/>
    <w:rsid w:val="006E336E"/>
    <w:rsid w:val="006E3B47"/>
    <w:rsid w:val="006E5CE3"/>
    <w:rsid w:val="006E6987"/>
    <w:rsid w:val="006E6C49"/>
    <w:rsid w:val="006E70F8"/>
    <w:rsid w:val="006E7E8A"/>
    <w:rsid w:val="006F07C6"/>
    <w:rsid w:val="006F0E0A"/>
    <w:rsid w:val="006F1119"/>
    <w:rsid w:val="006F1E72"/>
    <w:rsid w:val="006F215A"/>
    <w:rsid w:val="006F2BE0"/>
    <w:rsid w:val="006F2F07"/>
    <w:rsid w:val="006F30C8"/>
    <w:rsid w:val="006F34C5"/>
    <w:rsid w:val="006F3577"/>
    <w:rsid w:val="006F3ADF"/>
    <w:rsid w:val="006F3F32"/>
    <w:rsid w:val="006F48F7"/>
    <w:rsid w:val="006F539A"/>
    <w:rsid w:val="006F5639"/>
    <w:rsid w:val="006F58D6"/>
    <w:rsid w:val="006F5A4F"/>
    <w:rsid w:val="006F5EF0"/>
    <w:rsid w:val="006F6D3A"/>
    <w:rsid w:val="006F6E80"/>
    <w:rsid w:val="006F7045"/>
    <w:rsid w:val="00700804"/>
    <w:rsid w:val="00700E3D"/>
    <w:rsid w:val="007012F7"/>
    <w:rsid w:val="007016AD"/>
    <w:rsid w:val="00702154"/>
    <w:rsid w:val="00704EC7"/>
    <w:rsid w:val="0070571D"/>
    <w:rsid w:val="00705DF4"/>
    <w:rsid w:val="00707DDB"/>
    <w:rsid w:val="00707F6A"/>
    <w:rsid w:val="00711E24"/>
    <w:rsid w:val="0071212E"/>
    <w:rsid w:val="00712286"/>
    <w:rsid w:val="00712D3D"/>
    <w:rsid w:val="00714473"/>
    <w:rsid w:val="007146B6"/>
    <w:rsid w:val="007164A8"/>
    <w:rsid w:val="007172E1"/>
    <w:rsid w:val="00717A6E"/>
    <w:rsid w:val="007203A8"/>
    <w:rsid w:val="00720731"/>
    <w:rsid w:val="00720D6D"/>
    <w:rsid w:val="00721208"/>
    <w:rsid w:val="00721B28"/>
    <w:rsid w:val="007233A6"/>
    <w:rsid w:val="00723C61"/>
    <w:rsid w:val="00723CA5"/>
    <w:rsid w:val="007240CE"/>
    <w:rsid w:val="00724570"/>
    <w:rsid w:val="00724DD8"/>
    <w:rsid w:val="00725D83"/>
    <w:rsid w:val="00726B7A"/>
    <w:rsid w:val="00727ACF"/>
    <w:rsid w:val="00727ECC"/>
    <w:rsid w:val="0073000B"/>
    <w:rsid w:val="0073017F"/>
    <w:rsid w:val="007332A3"/>
    <w:rsid w:val="007340B9"/>
    <w:rsid w:val="00734E1D"/>
    <w:rsid w:val="0073665E"/>
    <w:rsid w:val="0073730C"/>
    <w:rsid w:val="00740EC9"/>
    <w:rsid w:val="00742086"/>
    <w:rsid w:val="00745660"/>
    <w:rsid w:val="00745C32"/>
    <w:rsid w:val="00746182"/>
    <w:rsid w:val="00746568"/>
    <w:rsid w:val="007465D4"/>
    <w:rsid w:val="007468D0"/>
    <w:rsid w:val="00747BDB"/>
    <w:rsid w:val="00750A9F"/>
    <w:rsid w:val="007514A1"/>
    <w:rsid w:val="00751CDD"/>
    <w:rsid w:val="007527DE"/>
    <w:rsid w:val="007531F4"/>
    <w:rsid w:val="0075322B"/>
    <w:rsid w:val="00753340"/>
    <w:rsid w:val="00753E11"/>
    <w:rsid w:val="007552CA"/>
    <w:rsid w:val="00755AFC"/>
    <w:rsid w:val="0075721B"/>
    <w:rsid w:val="00757B01"/>
    <w:rsid w:val="0076162A"/>
    <w:rsid w:val="0076194F"/>
    <w:rsid w:val="00761DF9"/>
    <w:rsid w:val="007653D4"/>
    <w:rsid w:val="00767CA0"/>
    <w:rsid w:val="00771B5E"/>
    <w:rsid w:val="0077241B"/>
    <w:rsid w:val="00772E58"/>
    <w:rsid w:val="00772EB7"/>
    <w:rsid w:val="007750E0"/>
    <w:rsid w:val="00776EFC"/>
    <w:rsid w:val="00777955"/>
    <w:rsid w:val="0078026B"/>
    <w:rsid w:val="00780440"/>
    <w:rsid w:val="0078084D"/>
    <w:rsid w:val="007816D2"/>
    <w:rsid w:val="00783FAE"/>
    <w:rsid w:val="0078453D"/>
    <w:rsid w:val="00784C35"/>
    <w:rsid w:val="00785702"/>
    <w:rsid w:val="00785E21"/>
    <w:rsid w:val="007869EC"/>
    <w:rsid w:val="00787295"/>
    <w:rsid w:val="007872BE"/>
    <w:rsid w:val="00791047"/>
    <w:rsid w:val="00791442"/>
    <w:rsid w:val="00791FBB"/>
    <w:rsid w:val="00793585"/>
    <w:rsid w:val="0079456D"/>
    <w:rsid w:val="00796A2B"/>
    <w:rsid w:val="007A24EF"/>
    <w:rsid w:val="007A2B3E"/>
    <w:rsid w:val="007A2D22"/>
    <w:rsid w:val="007A557C"/>
    <w:rsid w:val="007A7785"/>
    <w:rsid w:val="007B0627"/>
    <w:rsid w:val="007B16AD"/>
    <w:rsid w:val="007B2B3A"/>
    <w:rsid w:val="007B4BB2"/>
    <w:rsid w:val="007B5655"/>
    <w:rsid w:val="007B5682"/>
    <w:rsid w:val="007B5AF5"/>
    <w:rsid w:val="007B7AF1"/>
    <w:rsid w:val="007B7F81"/>
    <w:rsid w:val="007C048B"/>
    <w:rsid w:val="007C0659"/>
    <w:rsid w:val="007C09B3"/>
    <w:rsid w:val="007C0FFB"/>
    <w:rsid w:val="007C100B"/>
    <w:rsid w:val="007C1643"/>
    <w:rsid w:val="007C1D0D"/>
    <w:rsid w:val="007C1EF4"/>
    <w:rsid w:val="007C2D5C"/>
    <w:rsid w:val="007C2DB8"/>
    <w:rsid w:val="007C3E8A"/>
    <w:rsid w:val="007C49D1"/>
    <w:rsid w:val="007C4F07"/>
    <w:rsid w:val="007C65D1"/>
    <w:rsid w:val="007C735B"/>
    <w:rsid w:val="007C7AA4"/>
    <w:rsid w:val="007C7F21"/>
    <w:rsid w:val="007D0607"/>
    <w:rsid w:val="007D0710"/>
    <w:rsid w:val="007D0FA5"/>
    <w:rsid w:val="007D1FCC"/>
    <w:rsid w:val="007D27AF"/>
    <w:rsid w:val="007D2921"/>
    <w:rsid w:val="007D32FD"/>
    <w:rsid w:val="007D3556"/>
    <w:rsid w:val="007D3AD6"/>
    <w:rsid w:val="007D3CE1"/>
    <w:rsid w:val="007D3E09"/>
    <w:rsid w:val="007D4567"/>
    <w:rsid w:val="007D4583"/>
    <w:rsid w:val="007D45E1"/>
    <w:rsid w:val="007D4C54"/>
    <w:rsid w:val="007D540A"/>
    <w:rsid w:val="007D54D5"/>
    <w:rsid w:val="007D5949"/>
    <w:rsid w:val="007D59B0"/>
    <w:rsid w:val="007D64D9"/>
    <w:rsid w:val="007D724E"/>
    <w:rsid w:val="007D7B2C"/>
    <w:rsid w:val="007E0319"/>
    <w:rsid w:val="007E1628"/>
    <w:rsid w:val="007E21B5"/>
    <w:rsid w:val="007E48D8"/>
    <w:rsid w:val="007E52F2"/>
    <w:rsid w:val="007E5780"/>
    <w:rsid w:val="007E66C4"/>
    <w:rsid w:val="007E6DC2"/>
    <w:rsid w:val="007F042B"/>
    <w:rsid w:val="007F0E89"/>
    <w:rsid w:val="007F1876"/>
    <w:rsid w:val="007F237B"/>
    <w:rsid w:val="007F23CD"/>
    <w:rsid w:val="007F34E2"/>
    <w:rsid w:val="007F5ED2"/>
    <w:rsid w:val="007F608E"/>
    <w:rsid w:val="007F6339"/>
    <w:rsid w:val="007F7459"/>
    <w:rsid w:val="007F7E68"/>
    <w:rsid w:val="007F7E70"/>
    <w:rsid w:val="008005A9"/>
    <w:rsid w:val="008008A2"/>
    <w:rsid w:val="00803E56"/>
    <w:rsid w:val="0080473E"/>
    <w:rsid w:val="00805303"/>
    <w:rsid w:val="00805EA4"/>
    <w:rsid w:val="00806278"/>
    <w:rsid w:val="00810FFD"/>
    <w:rsid w:val="0081186B"/>
    <w:rsid w:val="00811D7F"/>
    <w:rsid w:val="00814003"/>
    <w:rsid w:val="0081450C"/>
    <w:rsid w:val="00814A98"/>
    <w:rsid w:val="00815937"/>
    <w:rsid w:val="008162FE"/>
    <w:rsid w:val="00817968"/>
    <w:rsid w:val="008209D4"/>
    <w:rsid w:val="00820FD2"/>
    <w:rsid w:val="00821F1B"/>
    <w:rsid w:val="008221C1"/>
    <w:rsid w:val="00823233"/>
    <w:rsid w:val="008239FB"/>
    <w:rsid w:val="008240D8"/>
    <w:rsid w:val="00824163"/>
    <w:rsid w:val="00824AA1"/>
    <w:rsid w:val="008253C1"/>
    <w:rsid w:val="008263E7"/>
    <w:rsid w:val="00827943"/>
    <w:rsid w:val="00827B4E"/>
    <w:rsid w:val="00830F1C"/>
    <w:rsid w:val="008330F5"/>
    <w:rsid w:val="008337BB"/>
    <w:rsid w:val="00834412"/>
    <w:rsid w:val="00834C68"/>
    <w:rsid w:val="00835721"/>
    <w:rsid w:val="00836292"/>
    <w:rsid w:val="00836B21"/>
    <w:rsid w:val="0083709F"/>
    <w:rsid w:val="0083735D"/>
    <w:rsid w:val="0084092B"/>
    <w:rsid w:val="00841D2F"/>
    <w:rsid w:val="008422DB"/>
    <w:rsid w:val="00842445"/>
    <w:rsid w:val="008440A3"/>
    <w:rsid w:val="00844683"/>
    <w:rsid w:val="00845132"/>
    <w:rsid w:val="0084568D"/>
    <w:rsid w:val="00846816"/>
    <w:rsid w:val="00847B0C"/>
    <w:rsid w:val="00847EFC"/>
    <w:rsid w:val="0085380C"/>
    <w:rsid w:val="0085426F"/>
    <w:rsid w:val="00854671"/>
    <w:rsid w:val="00854AD4"/>
    <w:rsid w:val="008555DE"/>
    <w:rsid w:val="00856484"/>
    <w:rsid w:val="0085707C"/>
    <w:rsid w:val="00857406"/>
    <w:rsid w:val="008576EF"/>
    <w:rsid w:val="00857E9F"/>
    <w:rsid w:val="00857EED"/>
    <w:rsid w:val="00861A09"/>
    <w:rsid w:val="008631BF"/>
    <w:rsid w:val="00863F37"/>
    <w:rsid w:val="00865853"/>
    <w:rsid w:val="00866540"/>
    <w:rsid w:val="0086749C"/>
    <w:rsid w:val="00870356"/>
    <w:rsid w:val="0087038A"/>
    <w:rsid w:val="00871DC9"/>
    <w:rsid w:val="00871FD8"/>
    <w:rsid w:val="00872C19"/>
    <w:rsid w:val="00872D06"/>
    <w:rsid w:val="0087436B"/>
    <w:rsid w:val="00876162"/>
    <w:rsid w:val="00877302"/>
    <w:rsid w:val="00877448"/>
    <w:rsid w:val="00877C8B"/>
    <w:rsid w:val="00880145"/>
    <w:rsid w:val="008846DF"/>
    <w:rsid w:val="008854BD"/>
    <w:rsid w:val="00885503"/>
    <w:rsid w:val="00885BE6"/>
    <w:rsid w:val="00885C4B"/>
    <w:rsid w:val="008869F4"/>
    <w:rsid w:val="008873B4"/>
    <w:rsid w:val="0089034B"/>
    <w:rsid w:val="008903C9"/>
    <w:rsid w:val="00893476"/>
    <w:rsid w:val="008938C7"/>
    <w:rsid w:val="00894C76"/>
    <w:rsid w:val="00895595"/>
    <w:rsid w:val="008960D0"/>
    <w:rsid w:val="008960DC"/>
    <w:rsid w:val="00896581"/>
    <w:rsid w:val="0089724F"/>
    <w:rsid w:val="008978B1"/>
    <w:rsid w:val="0089795A"/>
    <w:rsid w:val="008A0314"/>
    <w:rsid w:val="008A14F8"/>
    <w:rsid w:val="008A18A9"/>
    <w:rsid w:val="008A226F"/>
    <w:rsid w:val="008A317A"/>
    <w:rsid w:val="008A4578"/>
    <w:rsid w:val="008A4E57"/>
    <w:rsid w:val="008A52F5"/>
    <w:rsid w:val="008A6B84"/>
    <w:rsid w:val="008A723B"/>
    <w:rsid w:val="008A78D2"/>
    <w:rsid w:val="008A7C64"/>
    <w:rsid w:val="008B0333"/>
    <w:rsid w:val="008B166D"/>
    <w:rsid w:val="008B410F"/>
    <w:rsid w:val="008B4149"/>
    <w:rsid w:val="008B42AD"/>
    <w:rsid w:val="008B49C2"/>
    <w:rsid w:val="008B580F"/>
    <w:rsid w:val="008B60B4"/>
    <w:rsid w:val="008B6644"/>
    <w:rsid w:val="008B6DDD"/>
    <w:rsid w:val="008B7571"/>
    <w:rsid w:val="008B79B5"/>
    <w:rsid w:val="008C0D50"/>
    <w:rsid w:val="008C2ADB"/>
    <w:rsid w:val="008C3418"/>
    <w:rsid w:val="008C4039"/>
    <w:rsid w:val="008C4A6B"/>
    <w:rsid w:val="008C4AAE"/>
    <w:rsid w:val="008C4EDA"/>
    <w:rsid w:val="008C586B"/>
    <w:rsid w:val="008C6ACF"/>
    <w:rsid w:val="008C732E"/>
    <w:rsid w:val="008D0EDF"/>
    <w:rsid w:val="008D17D1"/>
    <w:rsid w:val="008D2264"/>
    <w:rsid w:val="008D2BEE"/>
    <w:rsid w:val="008D341F"/>
    <w:rsid w:val="008D3A7C"/>
    <w:rsid w:val="008D6C35"/>
    <w:rsid w:val="008D74A2"/>
    <w:rsid w:val="008D772F"/>
    <w:rsid w:val="008D77DA"/>
    <w:rsid w:val="008D7FD7"/>
    <w:rsid w:val="008E107A"/>
    <w:rsid w:val="008E165D"/>
    <w:rsid w:val="008E1701"/>
    <w:rsid w:val="008E2CEC"/>
    <w:rsid w:val="008E3E2B"/>
    <w:rsid w:val="008E452B"/>
    <w:rsid w:val="008E64A8"/>
    <w:rsid w:val="008E727D"/>
    <w:rsid w:val="008E7ABC"/>
    <w:rsid w:val="008E7C55"/>
    <w:rsid w:val="008F218E"/>
    <w:rsid w:val="008F2800"/>
    <w:rsid w:val="008F5D1A"/>
    <w:rsid w:val="008F654A"/>
    <w:rsid w:val="008F684A"/>
    <w:rsid w:val="00901CE2"/>
    <w:rsid w:val="009024AC"/>
    <w:rsid w:val="00902656"/>
    <w:rsid w:val="00902D56"/>
    <w:rsid w:val="0090317D"/>
    <w:rsid w:val="00903676"/>
    <w:rsid w:val="00904002"/>
    <w:rsid w:val="009043C1"/>
    <w:rsid w:val="009046B8"/>
    <w:rsid w:val="009046FB"/>
    <w:rsid w:val="00904CC1"/>
    <w:rsid w:val="00905C07"/>
    <w:rsid w:val="00905E03"/>
    <w:rsid w:val="009062C7"/>
    <w:rsid w:val="009075B6"/>
    <w:rsid w:val="00910266"/>
    <w:rsid w:val="009105E9"/>
    <w:rsid w:val="009108F6"/>
    <w:rsid w:val="00910A48"/>
    <w:rsid w:val="00910B96"/>
    <w:rsid w:val="00910C50"/>
    <w:rsid w:val="0091104B"/>
    <w:rsid w:val="00911062"/>
    <w:rsid w:val="0091217C"/>
    <w:rsid w:val="009133CB"/>
    <w:rsid w:val="009149BF"/>
    <w:rsid w:val="00915762"/>
    <w:rsid w:val="00916C32"/>
    <w:rsid w:val="00917F60"/>
    <w:rsid w:val="0092023F"/>
    <w:rsid w:val="00920DE5"/>
    <w:rsid w:val="0092111D"/>
    <w:rsid w:val="00921604"/>
    <w:rsid w:val="00921651"/>
    <w:rsid w:val="00922193"/>
    <w:rsid w:val="00923954"/>
    <w:rsid w:val="00927400"/>
    <w:rsid w:val="00927B28"/>
    <w:rsid w:val="0093056B"/>
    <w:rsid w:val="00930CEA"/>
    <w:rsid w:val="009313E2"/>
    <w:rsid w:val="00931F1C"/>
    <w:rsid w:val="00934331"/>
    <w:rsid w:val="00934400"/>
    <w:rsid w:val="00935B9C"/>
    <w:rsid w:val="00936BD3"/>
    <w:rsid w:val="00941FE0"/>
    <w:rsid w:val="00943A16"/>
    <w:rsid w:val="009445FD"/>
    <w:rsid w:val="0094521C"/>
    <w:rsid w:val="00945960"/>
    <w:rsid w:val="00945DAB"/>
    <w:rsid w:val="009460CD"/>
    <w:rsid w:val="0094623C"/>
    <w:rsid w:val="009462BB"/>
    <w:rsid w:val="009463C9"/>
    <w:rsid w:val="009475F6"/>
    <w:rsid w:val="00947814"/>
    <w:rsid w:val="00951C89"/>
    <w:rsid w:val="00952AC9"/>
    <w:rsid w:val="0095325C"/>
    <w:rsid w:val="0095501B"/>
    <w:rsid w:val="009567A8"/>
    <w:rsid w:val="009572DD"/>
    <w:rsid w:val="00957AAA"/>
    <w:rsid w:val="00960424"/>
    <w:rsid w:val="00962EE0"/>
    <w:rsid w:val="00963445"/>
    <w:rsid w:val="0096368B"/>
    <w:rsid w:val="0096488E"/>
    <w:rsid w:val="0096593C"/>
    <w:rsid w:val="009667E6"/>
    <w:rsid w:val="0097000D"/>
    <w:rsid w:val="009709B6"/>
    <w:rsid w:val="009718A7"/>
    <w:rsid w:val="00971B48"/>
    <w:rsid w:val="00971C03"/>
    <w:rsid w:val="00972D4C"/>
    <w:rsid w:val="00974678"/>
    <w:rsid w:val="00974A8E"/>
    <w:rsid w:val="00974C5B"/>
    <w:rsid w:val="00974D8A"/>
    <w:rsid w:val="00975590"/>
    <w:rsid w:val="00977F75"/>
    <w:rsid w:val="009802E3"/>
    <w:rsid w:val="00980D7A"/>
    <w:rsid w:val="00980DBA"/>
    <w:rsid w:val="009817B6"/>
    <w:rsid w:val="00981CF3"/>
    <w:rsid w:val="009836F0"/>
    <w:rsid w:val="00983F1F"/>
    <w:rsid w:val="009842C7"/>
    <w:rsid w:val="00984726"/>
    <w:rsid w:val="00985049"/>
    <w:rsid w:val="00985294"/>
    <w:rsid w:val="0098610C"/>
    <w:rsid w:val="00987BAE"/>
    <w:rsid w:val="00987F38"/>
    <w:rsid w:val="009904B3"/>
    <w:rsid w:val="00992BEA"/>
    <w:rsid w:val="00995C1E"/>
    <w:rsid w:val="00996699"/>
    <w:rsid w:val="00996D35"/>
    <w:rsid w:val="00996E7B"/>
    <w:rsid w:val="0099773B"/>
    <w:rsid w:val="009A0155"/>
    <w:rsid w:val="009A031F"/>
    <w:rsid w:val="009A0D3C"/>
    <w:rsid w:val="009A1559"/>
    <w:rsid w:val="009A211A"/>
    <w:rsid w:val="009A31B8"/>
    <w:rsid w:val="009A31BE"/>
    <w:rsid w:val="009A3967"/>
    <w:rsid w:val="009A52BF"/>
    <w:rsid w:val="009A53A7"/>
    <w:rsid w:val="009A5434"/>
    <w:rsid w:val="009A61D2"/>
    <w:rsid w:val="009A684A"/>
    <w:rsid w:val="009A7032"/>
    <w:rsid w:val="009B0412"/>
    <w:rsid w:val="009B0834"/>
    <w:rsid w:val="009B1C22"/>
    <w:rsid w:val="009B1C3A"/>
    <w:rsid w:val="009B2438"/>
    <w:rsid w:val="009B3834"/>
    <w:rsid w:val="009B4B0E"/>
    <w:rsid w:val="009B4F28"/>
    <w:rsid w:val="009B52FF"/>
    <w:rsid w:val="009B5489"/>
    <w:rsid w:val="009B70F9"/>
    <w:rsid w:val="009B71C2"/>
    <w:rsid w:val="009B77E6"/>
    <w:rsid w:val="009C00EE"/>
    <w:rsid w:val="009C03C4"/>
    <w:rsid w:val="009C06C0"/>
    <w:rsid w:val="009C0FB1"/>
    <w:rsid w:val="009C15F3"/>
    <w:rsid w:val="009C3102"/>
    <w:rsid w:val="009C4112"/>
    <w:rsid w:val="009C4B32"/>
    <w:rsid w:val="009C59D4"/>
    <w:rsid w:val="009C5E70"/>
    <w:rsid w:val="009C6919"/>
    <w:rsid w:val="009C7970"/>
    <w:rsid w:val="009D05B7"/>
    <w:rsid w:val="009D2B81"/>
    <w:rsid w:val="009D3DE9"/>
    <w:rsid w:val="009D4109"/>
    <w:rsid w:val="009D4232"/>
    <w:rsid w:val="009D4781"/>
    <w:rsid w:val="009D4A97"/>
    <w:rsid w:val="009D5027"/>
    <w:rsid w:val="009D7241"/>
    <w:rsid w:val="009D725D"/>
    <w:rsid w:val="009E01B3"/>
    <w:rsid w:val="009E0BCF"/>
    <w:rsid w:val="009E11AC"/>
    <w:rsid w:val="009E2301"/>
    <w:rsid w:val="009E2C3D"/>
    <w:rsid w:val="009E4F6C"/>
    <w:rsid w:val="009E50C4"/>
    <w:rsid w:val="009E5F3B"/>
    <w:rsid w:val="009E605D"/>
    <w:rsid w:val="009E7E73"/>
    <w:rsid w:val="009F0200"/>
    <w:rsid w:val="009F1203"/>
    <w:rsid w:val="009F12DF"/>
    <w:rsid w:val="009F13B5"/>
    <w:rsid w:val="009F2CC2"/>
    <w:rsid w:val="009F3ADB"/>
    <w:rsid w:val="009F4174"/>
    <w:rsid w:val="009F4D23"/>
    <w:rsid w:val="009F4D4E"/>
    <w:rsid w:val="009F4EAE"/>
    <w:rsid w:val="009F534E"/>
    <w:rsid w:val="009F558B"/>
    <w:rsid w:val="009F5D8A"/>
    <w:rsid w:val="009F6523"/>
    <w:rsid w:val="00A016A0"/>
    <w:rsid w:val="00A0192A"/>
    <w:rsid w:val="00A05126"/>
    <w:rsid w:val="00A051CD"/>
    <w:rsid w:val="00A054BB"/>
    <w:rsid w:val="00A074BB"/>
    <w:rsid w:val="00A07713"/>
    <w:rsid w:val="00A07772"/>
    <w:rsid w:val="00A100BE"/>
    <w:rsid w:val="00A10E69"/>
    <w:rsid w:val="00A127E8"/>
    <w:rsid w:val="00A146CE"/>
    <w:rsid w:val="00A14992"/>
    <w:rsid w:val="00A16280"/>
    <w:rsid w:val="00A16F0E"/>
    <w:rsid w:val="00A179A0"/>
    <w:rsid w:val="00A17D74"/>
    <w:rsid w:val="00A20739"/>
    <w:rsid w:val="00A208DA"/>
    <w:rsid w:val="00A21128"/>
    <w:rsid w:val="00A2184A"/>
    <w:rsid w:val="00A21C98"/>
    <w:rsid w:val="00A229F6"/>
    <w:rsid w:val="00A22F0F"/>
    <w:rsid w:val="00A23957"/>
    <w:rsid w:val="00A23B84"/>
    <w:rsid w:val="00A23CA9"/>
    <w:rsid w:val="00A243A8"/>
    <w:rsid w:val="00A25D2B"/>
    <w:rsid w:val="00A26CA5"/>
    <w:rsid w:val="00A272C7"/>
    <w:rsid w:val="00A304F0"/>
    <w:rsid w:val="00A30EA1"/>
    <w:rsid w:val="00A321F7"/>
    <w:rsid w:val="00A3350F"/>
    <w:rsid w:val="00A34D31"/>
    <w:rsid w:val="00A35194"/>
    <w:rsid w:val="00A35A8E"/>
    <w:rsid w:val="00A35BB5"/>
    <w:rsid w:val="00A35C2D"/>
    <w:rsid w:val="00A35E38"/>
    <w:rsid w:val="00A36154"/>
    <w:rsid w:val="00A36935"/>
    <w:rsid w:val="00A36B4F"/>
    <w:rsid w:val="00A36B7E"/>
    <w:rsid w:val="00A3711E"/>
    <w:rsid w:val="00A37358"/>
    <w:rsid w:val="00A37375"/>
    <w:rsid w:val="00A37CD5"/>
    <w:rsid w:val="00A37E19"/>
    <w:rsid w:val="00A40937"/>
    <w:rsid w:val="00A4172A"/>
    <w:rsid w:val="00A433AB"/>
    <w:rsid w:val="00A43614"/>
    <w:rsid w:val="00A44246"/>
    <w:rsid w:val="00A4433E"/>
    <w:rsid w:val="00A44F0D"/>
    <w:rsid w:val="00A44FAC"/>
    <w:rsid w:val="00A45BC6"/>
    <w:rsid w:val="00A46BB1"/>
    <w:rsid w:val="00A50247"/>
    <w:rsid w:val="00A50DF2"/>
    <w:rsid w:val="00A51C25"/>
    <w:rsid w:val="00A51D4E"/>
    <w:rsid w:val="00A51EF9"/>
    <w:rsid w:val="00A52DEC"/>
    <w:rsid w:val="00A53CA3"/>
    <w:rsid w:val="00A54FFE"/>
    <w:rsid w:val="00A55247"/>
    <w:rsid w:val="00A555D6"/>
    <w:rsid w:val="00A56881"/>
    <w:rsid w:val="00A60021"/>
    <w:rsid w:val="00A60489"/>
    <w:rsid w:val="00A60672"/>
    <w:rsid w:val="00A60768"/>
    <w:rsid w:val="00A61D9F"/>
    <w:rsid w:val="00A61EA3"/>
    <w:rsid w:val="00A62396"/>
    <w:rsid w:val="00A62849"/>
    <w:rsid w:val="00A62D29"/>
    <w:rsid w:val="00A6305B"/>
    <w:rsid w:val="00A6406E"/>
    <w:rsid w:val="00A64133"/>
    <w:rsid w:val="00A644B4"/>
    <w:rsid w:val="00A6670A"/>
    <w:rsid w:val="00A670B8"/>
    <w:rsid w:val="00A67352"/>
    <w:rsid w:val="00A67F71"/>
    <w:rsid w:val="00A70E4E"/>
    <w:rsid w:val="00A72DC3"/>
    <w:rsid w:val="00A739EC"/>
    <w:rsid w:val="00A73AE1"/>
    <w:rsid w:val="00A7585E"/>
    <w:rsid w:val="00A766EE"/>
    <w:rsid w:val="00A76E83"/>
    <w:rsid w:val="00A77309"/>
    <w:rsid w:val="00A776AB"/>
    <w:rsid w:val="00A77DE7"/>
    <w:rsid w:val="00A81031"/>
    <w:rsid w:val="00A81590"/>
    <w:rsid w:val="00A844CB"/>
    <w:rsid w:val="00A85535"/>
    <w:rsid w:val="00A8558D"/>
    <w:rsid w:val="00A8641E"/>
    <w:rsid w:val="00A86C70"/>
    <w:rsid w:val="00A9007F"/>
    <w:rsid w:val="00A90A13"/>
    <w:rsid w:val="00A9101A"/>
    <w:rsid w:val="00A913B2"/>
    <w:rsid w:val="00A9493F"/>
    <w:rsid w:val="00A97302"/>
    <w:rsid w:val="00A973CD"/>
    <w:rsid w:val="00A97DF3"/>
    <w:rsid w:val="00AA09BC"/>
    <w:rsid w:val="00AA199F"/>
    <w:rsid w:val="00AA2817"/>
    <w:rsid w:val="00AA324A"/>
    <w:rsid w:val="00AA351E"/>
    <w:rsid w:val="00AA3663"/>
    <w:rsid w:val="00AA4161"/>
    <w:rsid w:val="00AA474D"/>
    <w:rsid w:val="00AA5CA1"/>
    <w:rsid w:val="00AA63EF"/>
    <w:rsid w:val="00AA6952"/>
    <w:rsid w:val="00AA7AF1"/>
    <w:rsid w:val="00AB03EE"/>
    <w:rsid w:val="00AB1A13"/>
    <w:rsid w:val="00AB28C4"/>
    <w:rsid w:val="00AB37A7"/>
    <w:rsid w:val="00AB3FB5"/>
    <w:rsid w:val="00AB4ACE"/>
    <w:rsid w:val="00AB4DA8"/>
    <w:rsid w:val="00AB5CBC"/>
    <w:rsid w:val="00AB6640"/>
    <w:rsid w:val="00AB7684"/>
    <w:rsid w:val="00AB77A8"/>
    <w:rsid w:val="00AC1E68"/>
    <w:rsid w:val="00AC23AB"/>
    <w:rsid w:val="00AC3061"/>
    <w:rsid w:val="00AC4136"/>
    <w:rsid w:val="00AC55F2"/>
    <w:rsid w:val="00AC5A86"/>
    <w:rsid w:val="00AC75D9"/>
    <w:rsid w:val="00AD0B5A"/>
    <w:rsid w:val="00AD1865"/>
    <w:rsid w:val="00AD25E1"/>
    <w:rsid w:val="00AD26F8"/>
    <w:rsid w:val="00AD2865"/>
    <w:rsid w:val="00AD33A7"/>
    <w:rsid w:val="00AD3910"/>
    <w:rsid w:val="00AD3FA9"/>
    <w:rsid w:val="00AD4D16"/>
    <w:rsid w:val="00AD5276"/>
    <w:rsid w:val="00AD5332"/>
    <w:rsid w:val="00AD5AFD"/>
    <w:rsid w:val="00AD78F5"/>
    <w:rsid w:val="00AE0726"/>
    <w:rsid w:val="00AE0C26"/>
    <w:rsid w:val="00AE0DA8"/>
    <w:rsid w:val="00AE112D"/>
    <w:rsid w:val="00AE1D10"/>
    <w:rsid w:val="00AE226B"/>
    <w:rsid w:val="00AE25A3"/>
    <w:rsid w:val="00AE2711"/>
    <w:rsid w:val="00AE2F5C"/>
    <w:rsid w:val="00AE357D"/>
    <w:rsid w:val="00AE3991"/>
    <w:rsid w:val="00AE51A2"/>
    <w:rsid w:val="00AE55BE"/>
    <w:rsid w:val="00AE5B9F"/>
    <w:rsid w:val="00AE6804"/>
    <w:rsid w:val="00AE68CA"/>
    <w:rsid w:val="00AE693B"/>
    <w:rsid w:val="00AE725C"/>
    <w:rsid w:val="00AE72E9"/>
    <w:rsid w:val="00AF0D8B"/>
    <w:rsid w:val="00AF140F"/>
    <w:rsid w:val="00AF4552"/>
    <w:rsid w:val="00AF4B97"/>
    <w:rsid w:val="00AF6372"/>
    <w:rsid w:val="00B01A6F"/>
    <w:rsid w:val="00B02262"/>
    <w:rsid w:val="00B02F36"/>
    <w:rsid w:val="00B035F3"/>
    <w:rsid w:val="00B049F9"/>
    <w:rsid w:val="00B05808"/>
    <w:rsid w:val="00B05A6D"/>
    <w:rsid w:val="00B065F3"/>
    <w:rsid w:val="00B06A52"/>
    <w:rsid w:val="00B0765A"/>
    <w:rsid w:val="00B076EF"/>
    <w:rsid w:val="00B11DA1"/>
    <w:rsid w:val="00B126F0"/>
    <w:rsid w:val="00B14276"/>
    <w:rsid w:val="00B147ED"/>
    <w:rsid w:val="00B14DC4"/>
    <w:rsid w:val="00B154A1"/>
    <w:rsid w:val="00B15557"/>
    <w:rsid w:val="00B15868"/>
    <w:rsid w:val="00B158FD"/>
    <w:rsid w:val="00B15AF7"/>
    <w:rsid w:val="00B160F5"/>
    <w:rsid w:val="00B16A22"/>
    <w:rsid w:val="00B16DFA"/>
    <w:rsid w:val="00B16F59"/>
    <w:rsid w:val="00B170E4"/>
    <w:rsid w:val="00B17186"/>
    <w:rsid w:val="00B17190"/>
    <w:rsid w:val="00B1733B"/>
    <w:rsid w:val="00B17402"/>
    <w:rsid w:val="00B174B2"/>
    <w:rsid w:val="00B176C8"/>
    <w:rsid w:val="00B20152"/>
    <w:rsid w:val="00B20606"/>
    <w:rsid w:val="00B20B51"/>
    <w:rsid w:val="00B2137E"/>
    <w:rsid w:val="00B2145B"/>
    <w:rsid w:val="00B22D36"/>
    <w:rsid w:val="00B233ED"/>
    <w:rsid w:val="00B243A5"/>
    <w:rsid w:val="00B24512"/>
    <w:rsid w:val="00B2468E"/>
    <w:rsid w:val="00B246CC"/>
    <w:rsid w:val="00B24F5A"/>
    <w:rsid w:val="00B25EC0"/>
    <w:rsid w:val="00B26B59"/>
    <w:rsid w:val="00B30112"/>
    <w:rsid w:val="00B31D56"/>
    <w:rsid w:val="00B34D5E"/>
    <w:rsid w:val="00B34E05"/>
    <w:rsid w:val="00B34FB7"/>
    <w:rsid w:val="00B350A4"/>
    <w:rsid w:val="00B35A2B"/>
    <w:rsid w:val="00B407AA"/>
    <w:rsid w:val="00B41553"/>
    <w:rsid w:val="00B429DC"/>
    <w:rsid w:val="00B42D35"/>
    <w:rsid w:val="00B42E48"/>
    <w:rsid w:val="00B43D41"/>
    <w:rsid w:val="00B455AC"/>
    <w:rsid w:val="00B4572A"/>
    <w:rsid w:val="00B457CF"/>
    <w:rsid w:val="00B4621A"/>
    <w:rsid w:val="00B47B10"/>
    <w:rsid w:val="00B503FF"/>
    <w:rsid w:val="00B51393"/>
    <w:rsid w:val="00B514E9"/>
    <w:rsid w:val="00B5216E"/>
    <w:rsid w:val="00B5295C"/>
    <w:rsid w:val="00B53A3E"/>
    <w:rsid w:val="00B549AB"/>
    <w:rsid w:val="00B54F55"/>
    <w:rsid w:val="00B5515E"/>
    <w:rsid w:val="00B5564D"/>
    <w:rsid w:val="00B55C15"/>
    <w:rsid w:val="00B568C5"/>
    <w:rsid w:val="00B60F54"/>
    <w:rsid w:val="00B612B9"/>
    <w:rsid w:val="00B613D1"/>
    <w:rsid w:val="00B616FD"/>
    <w:rsid w:val="00B618AD"/>
    <w:rsid w:val="00B61D3B"/>
    <w:rsid w:val="00B627A9"/>
    <w:rsid w:val="00B6352B"/>
    <w:rsid w:val="00B64318"/>
    <w:rsid w:val="00B67DA8"/>
    <w:rsid w:val="00B67DC7"/>
    <w:rsid w:val="00B70E4F"/>
    <w:rsid w:val="00B73FB6"/>
    <w:rsid w:val="00B74D63"/>
    <w:rsid w:val="00B7536F"/>
    <w:rsid w:val="00B75A91"/>
    <w:rsid w:val="00B7748E"/>
    <w:rsid w:val="00B77802"/>
    <w:rsid w:val="00B806EB"/>
    <w:rsid w:val="00B80D05"/>
    <w:rsid w:val="00B80D30"/>
    <w:rsid w:val="00B82A9E"/>
    <w:rsid w:val="00B83BB3"/>
    <w:rsid w:val="00B83E18"/>
    <w:rsid w:val="00B84312"/>
    <w:rsid w:val="00B84624"/>
    <w:rsid w:val="00B853C0"/>
    <w:rsid w:val="00B855B3"/>
    <w:rsid w:val="00B85B28"/>
    <w:rsid w:val="00B86ABD"/>
    <w:rsid w:val="00B86D16"/>
    <w:rsid w:val="00B87EB5"/>
    <w:rsid w:val="00B905EB"/>
    <w:rsid w:val="00B909F5"/>
    <w:rsid w:val="00B90E36"/>
    <w:rsid w:val="00B91737"/>
    <w:rsid w:val="00B9494A"/>
    <w:rsid w:val="00B95D60"/>
    <w:rsid w:val="00B975F3"/>
    <w:rsid w:val="00B97E0B"/>
    <w:rsid w:val="00B97F73"/>
    <w:rsid w:val="00BA019D"/>
    <w:rsid w:val="00BA0C29"/>
    <w:rsid w:val="00BA1E9B"/>
    <w:rsid w:val="00BA237F"/>
    <w:rsid w:val="00BA29A6"/>
    <w:rsid w:val="00BA4A89"/>
    <w:rsid w:val="00BA5E3A"/>
    <w:rsid w:val="00BA6096"/>
    <w:rsid w:val="00BA6C8E"/>
    <w:rsid w:val="00BB00FF"/>
    <w:rsid w:val="00BB01E6"/>
    <w:rsid w:val="00BB033A"/>
    <w:rsid w:val="00BB4B34"/>
    <w:rsid w:val="00BB4CE6"/>
    <w:rsid w:val="00BB661C"/>
    <w:rsid w:val="00BB669B"/>
    <w:rsid w:val="00BB6F4C"/>
    <w:rsid w:val="00BC05A5"/>
    <w:rsid w:val="00BC0F32"/>
    <w:rsid w:val="00BC1E23"/>
    <w:rsid w:val="00BC2EE5"/>
    <w:rsid w:val="00BC2F02"/>
    <w:rsid w:val="00BC4E90"/>
    <w:rsid w:val="00BC586A"/>
    <w:rsid w:val="00BC7068"/>
    <w:rsid w:val="00BD0EB0"/>
    <w:rsid w:val="00BD2238"/>
    <w:rsid w:val="00BD393D"/>
    <w:rsid w:val="00BD3DC0"/>
    <w:rsid w:val="00BD418E"/>
    <w:rsid w:val="00BD4CEB"/>
    <w:rsid w:val="00BD59CC"/>
    <w:rsid w:val="00BD5EC9"/>
    <w:rsid w:val="00BD5F07"/>
    <w:rsid w:val="00BD60F7"/>
    <w:rsid w:val="00BD7324"/>
    <w:rsid w:val="00BD759B"/>
    <w:rsid w:val="00BE034A"/>
    <w:rsid w:val="00BE0F66"/>
    <w:rsid w:val="00BE1DF6"/>
    <w:rsid w:val="00BE2C6F"/>
    <w:rsid w:val="00BE31AC"/>
    <w:rsid w:val="00BE32BB"/>
    <w:rsid w:val="00BE4003"/>
    <w:rsid w:val="00BE4D1E"/>
    <w:rsid w:val="00BE5347"/>
    <w:rsid w:val="00BE64E4"/>
    <w:rsid w:val="00BE7A7A"/>
    <w:rsid w:val="00BE7F34"/>
    <w:rsid w:val="00BF066B"/>
    <w:rsid w:val="00BF0AF8"/>
    <w:rsid w:val="00BF12FA"/>
    <w:rsid w:val="00BF24B5"/>
    <w:rsid w:val="00BF2770"/>
    <w:rsid w:val="00BF38DF"/>
    <w:rsid w:val="00BF5303"/>
    <w:rsid w:val="00C000E7"/>
    <w:rsid w:val="00C01DFB"/>
    <w:rsid w:val="00C021CB"/>
    <w:rsid w:val="00C0249D"/>
    <w:rsid w:val="00C02A5E"/>
    <w:rsid w:val="00C038AB"/>
    <w:rsid w:val="00C04C6D"/>
    <w:rsid w:val="00C05274"/>
    <w:rsid w:val="00C05C76"/>
    <w:rsid w:val="00C05D03"/>
    <w:rsid w:val="00C05DF5"/>
    <w:rsid w:val="00C06D32"/>
    <w:rsid w:val="00C0737C"/>
    <w:rsid w:val="00C07899"/>
    <w:rsid w:val="00C103C4"/>
    <w:rsid w:val="00C1056E"/>
    <w:rsid w:val="00C10DE6"/>
    <w:rsid w:val="00C1172F"/>
    <w:rsid w:val="00C12126"/>
    <w:rsid w:val="00C12BE8"/>
    <w:rsid w:val="00C1367D"/>
    <w:rsid w:val="00C140C8"/>
    <w:rsid w:val="00C1641E"/>
    <w:rsid w:val="00C165C9"/>
    <w:rsid w:val="00C167F6"/>
    <w:rsid w:val="00C1694A"/>
    <w:rsid w:val="00C172D8"/>
    <w:rsid w:val="00C174BF"/>
    <w:rsid w:val="00C20FD8"/>
    <w:rsid w:val="00C216B7"/>
    <w:rsid w:val="00C21BCE"/>
    <w:rsid w:val="00C22B88"/>
    <w:rsid w:val="00C23676"/>
    <w:rsid w:val="00C23DD5"/>
    <w:rsid w:val="00C2467B"/>
    <w:rsid w:val="00C25018"/>
    <w:rsid w:val="00C258D8"/>
    <w:rsid w:val="00C25E40"/>
    <w:rsid w:val="00C2654E"/>
    <w:rsid w:val="00C27120"/>
    <w:rsid w:val="00C27146"/>
    <w:rsid w:val="00C27729"/>
    <w:rsid w:val="00C2781C"/>
    <w:rsid w:val="00C3068F"/>
    <w:rsid w:val="00C30B17"/>
    <w:rsid w:val="00C319D7"/>
    <w:rsid w:val="00C31EF3"/>
    <w:rsid w:val="00C32608"/>
    <w:rsid w:val="00C3371E"/>
    <w:rsid w:val="00C34004"/>
    <w:rsid w:val="00C34DBC"/>
    <w:rsid w:val="00C35096"/>
    <w:rsid w:val="00C36660"/>
    <w:rsid w:val="00C36B79"/>
    <w:rsid w:val="00C36B8A"/>
    <w:rsid w:val="00C37128"/>
    <w:rsid w:val="00C40360"/>
    <w:rsid w:val="00C41F6B"/>
    <w:rsid w:val="00C437DF"/>
    <w:rsid w:val="00C43DCE"/>
    <w:rsid w:val="00C44CE7"/>
    <w:rsid w:val="00C44E1D"/>
    <w:rsid w:val="00C4546F"/>
    <w:rsid w:val="00C45D5D"/>
    <w:rsid w:val="00C468EF"/>
    <w:rsid w:val="00C46A0C"/>
    <w:rsid w:val="00C47456"/>
    <w:rsid w:val="00C47DBF"/>
    <w:rsid w:val="00C50398"/>
    <w:rsid w:val="00C50A00"/>
    <w:rsid w:val="00C50BBC"/>
    <w:rsid w:val="00C51A9E"/>
    <w:rsid w:val="00C5318B"/>
    <w:rsid w:val="00C5434F"/>
    <w:rsid w:val="00C5718A"/>
    <w:rsid w:val="00C574B4"/>
    <w:rsid w:val="00C57993"/>
    <w:rsid w:val="00C57A4B"/>
    <w:rsid w:val="00C61FC8"/>
    <w:rsid w:val="00C626E8"/>
    <w:rsid w:val="00C63098"/>
    <w:rsid w:val="00C63832"/>
    <w:rsid w:val="00C668B2"/>
    <w:rsid w:val="00C67389"/>
    <w:rsid w:val="00C72C9A"/>
    <w:rsid w:val="00C72DE0"/>
    <w:rsid w:val="00C74DE0"/>
    <w:rsid w:val="00C7591C"/>
    <w:rsid w:val="00C76196"/>
    <w:rsid w:val="00C76F8E"/>
    <w:rsid w:val="00C773C0"/>
    <w:rsid w:val="00C777D9"/>
    <w:rsid w:val="00C802C4"/>
    <w:rsid w:val="00C8081D"/>
    <w:rsid w:val="00C80FD0"/>
    <w:rsid w:val="00C818EF"/>
    <w:rsid w:val="00C822F6"/>
    <w:rsid w:val="00C825A3"/>
    <w:rsid w:val="00C8285F"/>
    <w:rsid w:val="00C82FFE"/>
    <w:rsid w:val="00C8357D"/>
    <w:rsid w:val="00C83C35"/>
    <w:rsid w:val="00C83F71"/>
    <w:rsid w:val="00C865E4"/>
    <w:rsid w:val="00C867F8"/>
    <w:rsid w:val="00C86B2E"/>
    <w:rsid w:val="00C87CAF"/>
    <w:rsid w:val="00C87EB9"/>
    <w:rsid w:val="00C9035B"/>
    <w:rsid w:val="00C906A6"/>
    <w:rsid w:val="00C90D2A"/>
    <w:rsid w:val="00C90E91"/>
    <w:rsid w:val="00C9239E"/>
    <w:rsid w:val="00C925A2"/>
    <w:rsid w:val="00C929F0"/>
    <w:rsid w:val="00C94398"/>
    <w:rsid w:val="00C952AA"/>
    <w:rsid w:val="00C97546"/>
    <w:rsid w:val="00C97991"/>
    <w:rsid w:val="00CA04C8"/>
    <w:rsid w:val="00CA0C7C"/>
    <w:rsid w:val="00CA176A"/>
    <w:rsid w:val="00CA243C"/>
    <w:rsid w:val="00CA2B83"/>
    <w:rsid w:val="00CA375C"/>
    <w:rsid w:val="00CA53E7"/>
    <w:rsid w:val="00CA6316"/>
    <w:rsid w:val="00CA637B"/>
    <w:rsid w:val="00CA7C6F"/>
    <w:rsid w:val="00CB10DD"/>
    <w:rsid w:val="00CB1441"/>
    <w:rsid w:val="00CB33CE"/>
    <w:rsid w:val="00CB36CC"/>
    <w:rsid w:val="00CB39C2"/>
    <w:rsid w:val="00CB4030"/>
    <w:rsid w:val="00CB4A6E"/>
    <w:rsid w:val="00CB5712"/>
    <w:rsid w:val="00CB6BA0"/>
    <w:rsid w:val="00CB7B0C"/>
    <w:rsid w:val="00CC023C"/>
    <w:rsid w:val="00CC2F1C"/>
    <w:rsid w:val="00CC4AA4"/>
    <w:rsid w:val="00CC4DD2"/>
    <w:rsid w:val="00CC4E10"/>
    <w:rsid w:val="00CC5219"/>
    <w:rsid w:val="00CC708A"/>
    <w:rsid w:val="00CD0845"/>
    <w:rsid w:val="00CD1B96"/>
    <w:rsid w:val="00CD314F"/>
    <w:rsid w:val="00CD3592"/>
    <w:rsid w:val="00CD3E84"/>
    <w:rsid w:val="00CD405E"/>
    <w:rsid w:val="00CD5BF8"/>
    <w:rsid w:val="00CD617B"/>
    <w:rsid w:val="00CE0764"/>
    <w:rsid w:val="00CE0CBE"/>
    <w:rsid w:val="00CE12C3"/>
    <w:rsid w:val="00CE1730"/>
    <w:rsid w:val="00CE193F"/>
    <w:rsid w:val="00CE24EB"/>
    <w:rsid w:val="00CE34BF"/>
    <w:rsid w:val="00CE5DF8"/>
    <w:rsid w:val="00CE5E2B"/>
    <w:rsid w:val="00CE6495"/>
    <w:rsid w:val="00CE669C"/>
    <w:rsid w:val="00CE73FA"/>
    <w:rsid w:val="00CE75E6"/>
    <w:rsid w:val="00CF0AA3"/>
    <w:rsid w:val="00CF0C57"/>
    <w:rsid w:val="00CF0FA9"/>
    <w:rsid w:val="00CF122B"/>
    <w:rsid w:val="00CF1A79"/>
    <w:rsid w:val="00CF2360"/>
    <w:rsid w:val="00CF2CAA"/>
    <w:rsid w:val="00CF48E0"/>
    <w:rsid w:val="00CF4BAC"/>
    <w:rsid w:val="00CF5664"/>
    <w:rsid w:val="00CF658E"/>
    <w:rsid w:val="00CF6916"/>
    <w:rsid w:val="00CF75E1"/>
    <w:rsid w:val="00CF7AA5"/>
    <w:rsid w:val="00CF7F13"/>
    <w:rsid w:val="00D00550"/>
    <w:rsid w:val="00D00DA1"/>
    <w:rsid w:val="00D01C32"/>
    <w:rsid w:val="00D02C56"/>
    <w:rsid w:val="00D03578"/>
    <w:rsid w:val="00D03D5C"/>
    <w:rsid w:val="00D05238"/>
    <w:rsid w:val="00D05D10"/>
    <w:rsid w:val="00D064AA"/>
    <w:rsid w:val="00D067B8"/>
    <w:rsid w:val="00D06902"/>
    <w:rsid w:val="00D071FD"/>
    <w:rsid w:val="00D07EBE"/>
    <w:rsid w:val="00D11F4E"/>
    <w:rsid w:val="00D162D8"/>
    <w:rsid w:val="00D20840"/>
    <w:rsid w:val="00D21FA6"/>
    <w:rsid w:val="00D22731"/>
    <w:rsid w:val="00D22DA9"/>
    <w:rsid w:val="00D22EF9"/>
    <w:rsid w:val="00D25E53"/>
    <w:rsid w:val="00D266C3"/>
    <w:rsid w:val="00D2689B"/>
    <w:rsid w:val="00D26A0E"/>
    <w:rsid w:val="00D26DB8"/>
    <w:rsid w:val="00D26FDF"/>
    <w:rsid w:val="00D276DB"/>
    <w:rsid w:val="00D27E48"/>
    <w:rsid w:val="00D3133F"/>
    <w:rsid w:val="00D315DF"/>
    <w:rsid w:val="00D321A8"/>
    <w:rsid w:val="00D33C4F"/>
    <w:rsid w:val="00D34B46"/>
    <w:rsid w:val="00D404E2"/>
    <w:rsid w:val="00D42653"/>
    <w:rsid w:val="00D429FF"/>
    <w:rsid w:val="00D43E04"/>
    <w:rsid w:val="00D44EC3"/>
    <w:rsid w:val="00D466F6"/>
    <w:rsid w:val="00D47253"/>
    <w:rsid w:val="00D477BE"/>
    <w:rsid w:val="00D52660"/>
    <w:rsid w:val="00D54C9B"/>
    <w:rsid w:val="00D554B8"/>
    <w:rsid w:val="00D5553C"/>
    <w:rsid w:val="00D565B7"/>
    <w:rsid w:val="00D56F4A"/>
    <w:rsid w:val="00D6042B"/>
    <w:rsid w:val="00D60AE9"/>
    <w:rsid w:val="00D614F3"/>
    <w:rsid w:val="00D6360C"/>
    <w:rsid w:val="00D64300"/>
    <w:rsid w:val="00D65319"/>
    <w:rsid w:val="00D653E6"/>
    <w:rsid w:val="00D66B74"/>
    <w:rsid w:val="00D66FB1"/>
    <w:rsid w:val="00D67127"/>
    <w:rsid w:val="00D67A66"/>
    <w:rsid w:val="00D70278"/>
    <w:rsid w:val="00D708A2"/>
    <w:rsid w:val="00D711F5"/>
    <w:rsid w:val="00D71AC2"/>
    <w:rsid w:val="00D71BF9"/>
    <w:rsid w:val="00D72270"/>
    <w:rsid w:val="00D72525"/>
    <w:rsid w:val="00D73B71"/>
    <w:rsid w:val="00D73E7E"/>
    <w:rsid w:val="00D74DC1"/>
    <w:rsid w:val="00D74F1D"/>
    <w:rsid w:val="00D76015"/>
    <w:rsid w:val="00D76676"/>
    <w:rsid w:val="00D76ACE"/>
    <w:rsid w:val="00D80512"/>
    <w:rsid w:val="00D80580"/>
    <w:rsid w:val="00D80755"/>
    <w:rsid w:val="00D809F3"/>
    <w:rsid w:val="00D80B06"/>
    <w:rsid w:val="00D80D7F"/>
    <w:rsid w:val="00D812C0"/>
    <w:rsid w:val="00D81756"/>
    <w:rsid w:val="00D82CF3"/>
    <w:rsid w:val="00D8453A"/>
    <w:rsid w:val="00D851F2"/>
    <w:rsid w:val="00D85935"/>
    <w:rsid w:val="00D85C3D"/>
    <w:rsid w:val="00D85DF2"/>
    <w:rsid w:val="00D86160"/>
    <w:rsid w:val="00D86320"/>
    <w:rsid w:val="00D8715F"/>
    <w:rsid w:val="00D876A6"/>
    <w:rsid w:val="00D87F2F"/>
    <w:rsid w:val="00D90E4D"/>
    <w:rsid w:val="00D92A02"/>
    <w:rsid w:val="00D92B62"/>
    <w:rsid w:val="00D930B8"/>
    <w:rsid w:val="00D935DF"/>
    <w:rsid w:val="00D94CD9"/>
    <w:rsid w:val="00D94F02"/>
    <w:rsid w:val="00D94FF0"/>
    <w:rsid w:val="00D9523E"/>
    <w:rsid w:val="00D95863"/>
    <w:rsid w:val="00D96172"/>
    <w:rsid w:val="00D96414"/>
    <w:rsid w:val="00DA18CF"/>
    <w:rsid w:val="00DA1922"/>
    <w:rsid w:val="00DA26B6"/>
    <w:rsid w:val="00DA279B"/>
    <w:rsid w:val="00DA5DC5"/>
    <w:rsid w:val="00DA63AE"/>
    <w:rsid w:val="00DA65BC"/>
    <w:rsid w:val="00DA6760"/>
    <w:rsid w:val="00DB174D"/>
    <w:rsid w:val="00DB19ED"/>
    <w:rsid w:val="00DB3312"/>
    <w:rsid w:val="00DB36C4"/>
    <w:rsid w:val="00DB5C5A"/>
    <w:rsid w:val="00DB686B"/>
    <w:rsid w:val="00DB6C68"/>
    <w:rsid w:val="00DB6C9E"/>
    <w:rsid w:val="00DB75DD"/>
    <w:rsid w:val="00DC0021"/>
    <w:rsid w:val="00DC21FC"/>
    <w:rsid w:val="00DC2DDB"/>
    <w:rsid w:val="00DC2EEE"/>
    <w:rsid w:val="00DC3612"/>
    <w:rsid w:val="00DC57E6"/>
    <w:rsid w:val="00DC692E"/>
    <w:rsid w:val="00DC6B5F"/>
    <w:rsid w:val="00DC6D55"/>
    <w:rsid w:val="00DC6F63"/>
    <w:rsid w:val="00DC726D"/>
    <w:rsid w:val="00DC7625"/>
    <w:rsid w:val="00DC7712"/>
    <w:rsid w:val="00DC7937"/>
    <w:rsid w:val="00DD063F"/>
    <w:rsid w:val="00DD25BD"/>
    <w:rsid w:val="00DD3A3B"/>
    <w:rsid w:val="00DD5193"/>
    <w:rsid w:val="00DD5932"/>
    <w:rsid w:val="00DD69AB"/>
    <w:rsid w:val="00DD6A96"/>
    <w:rsid w:val="00DD76D7"/>
    <w:rsid w:val="00DD78DF"/>
    <w:rsid w:val="00DD7C66"/>
    <w:rsid w:val="00DE03DB"/>
    <w:rsid w:val="00DE05D1"/>
    <w:rsid w:val="00DE0647"/>
    <w:rsid w:val="00DE1070"/>
    <w:rsid w:val="00DE3634"/>
    <w:rsid w:val="00DE3E88"/>
    <w:rsid w:val="00DE451B"/>
    <w:rsid w:val="00DE47CE"/>
    <w:rsid w:val="00DE4A66"/>
    <w:rsid w:val="00DE563B"/>
    <w:rsid w:val="00DE5A87"/>
    <w:rsid w:val="00DE5ADF"/>
    <w:rsid w:val="00DE765E"/>
    <w:rsid w:val="00DE7BA6"/>
    <w:rsid w:val="00DF10B9"/>
    <w:rsid w:val="00DF13A1"/>
    <w:rsid w:val="00DF26D1"/>
    <w:rsid w:val="00DF360E"/>
    <w:rsid w:val="00DF57BE"/>
    <w:rsid w:val="00DF5E0B"/>
    <w:rsid w:val="00DF62E4"/>
    <w:rsid w:val="00DF733F"/>
    <w:rsid w:val="00E02BDE"/>
    <w:rsid w:val="00E033EB"/>
    <w:rsid w:val="00E03DAE"/>
    <w:rsid w:val="00E04D52"/>
    <w:rsid w:val="00E05499"/>
    <w:rsid w:val="00E07494"/>
    <w:rsid w:val="00E07AE4"/>
    <w:rsid w:val="00E07D8B"/>
    <w:rsid w:val="00E07DB2"/>
    <w:rsid w:val="00E103F1"/>
    <w:rsid w:val="00E10D3B"/>
    <w:rsid w:val="00E10D4A"/>
    <w:rsid w:val="00E11257"/>
    <w:rsid w:val="00E121D4"/>
    <w:rsid w:val="00E1347C"/>
    <w:rsid w:val="00E13534"/>
    <w:rsid w:val="00E13833"/>
    <w:rsid w:val="00E14072"/>
    <w:rsid w:val="00E14449"/>
    <w:rsid w:val="00E148C2"/>
    <w:rsid w:val="00E1556D"/>
    <w:rsid w:val="00E15EEB"/>
    <w:rsid w:val="00E17287"/>
    <w:rsid w:val="00E176F5"/>
    <w:rsid w:val="00E17FFC"/>
    <w:rsid w:val="00E20261"/>
    <w:rsid w:val="00E21497"/>
    <w:rsid w:val="00E22752"/>
    <w:rsid w:val="00E22994"/>
    <w:rsid w:val="00E231B3"/>
    <w:rsid w:val="00E24219"/>
    <w:rsid w:val="00E24671"/>
    <w:rsid w:val="00E26B25"/>
    <w:rsid w:val="00E2721C"/>
    <w:rsid w:val="00E27953"/>
    <w:rsid w:val="00E305D0"/>
    <w:rsid w:val="00E30E46"/>
    <w:rsid w:val="00E30F44"/>
    <w:rsid w:val="00E30F47"/>
    <w:rsid w:val="00E31764"/>
    <w:rsid w:val="00E317CF"/>
    <w:rsid w:val="00E31F0F"/>
    <w:rsid w:val="00E3218A"/>
    <w:rsid w:val="00E322DC"/>
    <w:rsid w:val="00E32C07"/>
    <w:rsid w:val="00E33DD5"/>
    <w:rsid w:val="00E34398"/>
    <w:rsid w:val="00E34EDD"/>
    <w:rsid w:val="00E35EE8"/>
    <w:rsid w:val="00E35FED"/>
    <w:rsid w:val="00E401AF"/>
    <w:rsid w:val="00E410F4"/>
    <w:rsid w:val="00E41326"/>
    <w:rsid w:val="00E426A0"/>
    <w:rsid w:val="00E42A38"/>
    <w:rsid w:val="00E44052"/>
    <w:rsid w:val="00E443D6"/>
    <w:rsid w:val="00E454DF"/>
    <w:rsid w:val="00E455D2"/>
    <w:rsid w:val="00E45D6B"/>
    <w:rsid w:val="00E463AC"/>
    <w:rsid w:val="00E464F0"/>
    <w:rsid w:val="00E46F91"/>
    <w:rsid w:val="00E470FB"/>
    <w:rsid w:val="00E479F0"/>
    <w:rsid w:val="00E47CC5"/>
    <w:rsid w:val="00E50E0D"/>
    <w:rsid w:val="00E50E6B"/>
    <w:rsid w:val="00E51BAE"/>
    <w:rsid w:val="00E51D05"/>
    <w:rsid w:val="00E537A1"/>
    <w:rsid w:val="00E5386C"/>
    <w:rsid w:val="00E549C8"/>
    <w:rsid w:val="00E55EC7"/>
    <w:rsid w:val="00E56F6A"/>
    <w:rsid w:val="00E6135D"/>
    <w:rsid w:val="00E61AE5"/>
    <w:rsid w:val="00E635A6"/>
    <w:rsid w:val="00E6365A"/>
    <w:rsid w:val="00E63B9D"/>
    <w:rsid w:val="00E64E0B"/>
    <w:rsid w:val="00E657CA"/>
    <w:rsid w:val="00E65953"/>
    <w:rsid w:val="00E672E5"/>
    <w:rsid w:val="00E673CF"/>
    <w:rsid w:val="00E70C3D"/>
    <w:rsid w:val="00E70CA3"/>
    <w:rsid w:val="00E70CE9"/>
    <w:rsid w:val="00E76EE5"/>
    <w:rsid w:val="00E7741C"/>
    <w:rsid w:val="00E77C70"/>
    <w:rsid w:val="00E803A9"/>
    <w:rsid w:val="00E80C0E"/>
    <w:rsid w:val="00E80DE4"/>
    <w:rsid w:val="00E825CF"/>
    <w:rsid w:val="00E838A4"/>
    <w:rsid w:val="00E83F02"/>
    <w:rsid w:val="00E8415D"/>
    <w:rsid w:val="00E841B9"/>
    <w:rsid w:val="00E876CD"/>
    <w:rsid w:val="00E878EF"/>
    <w:rsid w:val="00E87D98"/>
    <w:rsid w:val="00E90061"/>
    <w:rsid w:val="00E90575"/>
    <w:rsid w:val="00E91EF2"/>
    <w:rsid w:val="00E934B6"/>
    <w:rsid w:val="00E93D3D"/>
    <w:rsid w:val="00E96392"/>
    <w:rsid w:val="00E967D1"/>
    <w:rsid w:val="00E96C20"/>
    <w:rsid w:val="00E972C0"/>
    <w:rsid w:val="00E97AFA"/>
    <w:rsid w:val="00EA197D"/>
    <w:rsid w:val="00EA27C9"/>
    <w:rsid w:val="00EA39DA"/>
    <w:rsid w:val="00EA46D6"/>
    <w:rsid w:val="00EA6109"/>
    <w:rsid w:val="00EA618E"/>
    <w:rsid w:val="00EA6DF2"/>
    <w:rsid w:val="00EB106D"/>
    <w:rsid w:val="00EB10D0"/>
    <w:rsid w:val="00EB110C"/>
    <w:rsid w:val="00EB1DA7"/>
    <w:rsid w:val="00EB2961"/>
    <w:rsid w:val="00EB41D4"/>
    <w:rsid w:val="00EB4222"/>
    <w:rsid w:val="00EB580C"/>
    <w:rsid w:val="00EB61F8"/>
    <w:rsid w:val="00EB6F2F"/>
    <w:rsid w:val="00EB74FD"/>
    <w:rsid w:val="00EB7B8E"/>
    <w:rsid w:val="00EC13B5"/>
    <w:rsid w:val="00EC3EC3"/>
    <w:rsid w:val="00EC409A"/>
    <w:rsid w:val="00EC4CFB"/>
    <w:rsid w:val="00EC5998"/>
    <w:rsid w:val="00EC6C9D"/>
    <w:rsid w:val="00EC7164"/>
    <w:rsid w:val="00ED06E0"/>
    <w:rsid w:val="00ED0A89"/>
    <w:rsid w:val="00ED0C30"/>
    <w:rsid w:val="00ED10D0"/>
    <w:rsid w:val="00ED12D0"/>
    <w:rsid w:val="00ED221D"/>
    <w:rsid w:val="00ED2277"/>
    <w:rsid w:val="00ED2A5B"/>
    <w:rsid w:val="00ED4377"/>
    <w:rsid w:val="00ED454A"/>
    <w:rsid w:val="00ED470E"/>
    <w:rsid w:val="00ED4A17"/>
    <w:rsid w:val="00ED4C8B"/>
    <w:rsid w:val="00ED4F53"/>
    <w:rsid w:val="00ED68ED"/>
    <w:rsid w:val="00ED72B6"/>
    <w:rsid w:val="00ED7373"/>
    <w:rsid w:val="00ED75CD"/>
    <w:rsid w:val="00ED7612"/>
    <w:rsid w:val="00EE0473"/>
    <w:rsid w:val="00EE05DA"/>
    <w:rsid w:val="00EE1D9E"/>
    <w:rsid w:val="00EE2953"/>
    <w:rsid w:val="00EE2F10"/>
    <w:rsid w:val="00EE3CB9"/>
    <w:rsid w:val="00EE4599"/>
    <w:rsid w:val="00EE4CC3"/>
    <w:rsid w:val="00EE53E2"/>
    <w:rsid w:val="00EE551F"/>
    <w:rsid w:val="00EE5912"/>
    <w:rsid w:val="00EE6022"/>
    <w:rsid w:val="00EF0300"/>
    <w:rsid w:val="00EF0CD3"/>
    <w:rsid w:val="00EF1318"/>
    <w:rsid w:val="00EF1538"/>
    <w:rsid w:val="00EF1CD0"/>
    <w:rsid w:val="00EF4459"/>
    <w:rsid w:val="00EF5DC8"/>
    <w:rsid w:val="00EF6473"/>
    <w:rsid w:val="00EF6811"/>
    <w:rsid w:val="00EF68CB"/>
    <w:rsid w:val="00EF6ACF"/>
    <w:rsid w:val="00F01105"/>
    <w:rsid w:val="00F02101"/>
    <w:rsid w:val="00F029D9"/>
    <w:rsid w:val="00F02E39"/>
    <w:rsid w:val="00F03633"/>
    <w:rsid w:val="00F03757"/>
    <w:rsid w:val="00F04BE3"/>
    <w:rsid w:val="00F05613"/>
    <w:rsid w:val="00F058E9"/>
    <w:rsid w:val="00F06D92"/>
    <w:rsid w:val="00F072DB"/>
    <w:rsid w:val="00F0768D"/>
    <w:rsid w:val="00F10C3B"/>
    <w:rsid w:val="00F139F6"/>
    <w:rsid w:val="00F13A9D"/>
    <w:rsid w:val="00F15EF0"/>
    <w:rsid w:val="00F169D2"/>
    <w:rsid w:val="00F17C1A"/>
    <w:rsid w:val="00F217F6"/>
    <w:rsid w:val="00F22517"/>
    <w:rsid w:val="00F23B1B"/>
    <w:rsid w:val="00F2416D"/>
    <w:rsid w:val="00F24DAE"/>
    <w:rsid w:val="00F26DE7"/>
    <w:rsid w:val="00F30B1B"/>
    <w:rsid w:val="00F31C2C"/>
    <w:rsid w:val="00F32CDC"/>
    <w:rsid w:val="00F33B6F"/>
    <w:rsid w:val="00F34208"/>
    <w:rsid w:val="00F34365"/>
    <w:rsid w:val="00F34405"/>
    <w:rsid w:val="00F3468D"/>
    <w:rsid w:val="00F34B43"/>
    <w:rsid w:val="00F357B8"/>
    <w:rsid w:val="00F35B52"/>
    <w:rsid w:val="00F36111"/>
    <w:rsid w:val="00F3727A"/>
    <w:rsid w:val="00F37C0A"/>
    <w:rsid w:val="00F37EC4"/>
    <w:rsid w:val="00F401D6"/>
    <w:rsid w:val="00F4086E"/>
    <w:rsid w:val="00F426CB"/>
    <w:rsid w:val="00F42FF3"/>
    <w:rsid w:val="00F43B34"/>
    <w:rsid w:val="00F43BF0"/>
    <w:rsid w:val="00F441FD"/>
    <w:rsid w:val="00F447A0"/>
    <w:rsid w:val="00F45FC4"/>
    <w:rsid w:val="00F465F5"/>
    <w:rsid w:val="00F47AC5"/>
    <w:rsid w:val="00F51C11"/>
    <w:rsid w:val="00F528B4"/>
    <w:rsid w:val="00F52953"/>
    <w:rsid w:val="00F52D61"/>
    <w:rsid w:val="00F5308D"/>
    <w:rsid w:val="00F54DC9"/>
    <w:rsid w:val="00F563AA"/>
    <w:rsid w:val="00F567AC"/>
    <w:rsid w:val="00F56932"/>
    <w:rsid w:val="00F569CB"/>
    <w:rsid w:val="00F56A9D"/>
    <w:rsid w:val="00F56D54"/>
    <w:rsid w:val="00F62DE9"/>
    <w:rsid w:val="00F636BD"/>
    <w:rsid w:val="00F6458D"/>
    <w:rsid w:val="00F64704"/>
    <w:rsid w:val="00F64AEB"/>
    <w:rsid w:val="00F6537B"/>
    <w:rsid w:val="00F65730"/>
    <w:rsid w:val="00F6601F"/>
    <w:rsid w:val="00F664E1"/>
    <w:rsid w:val="00F66F76"/>
    <w:rsid w:val="00F70003"/>
    <w:rsid w:val="00F70373"/>
    <w:rsid w:val="00F725F4"/>
    <w:rsid w:val="00F73AB8"/>
    <w:rsid w:val="00F74976"/>
    <w:rsid w:val="00F762BC"/>
    <w:rsid w:val="00F76568"/>
    <w:rsid w:val="00F76A26"/>
    <w:rsid w:val="00F802F7"/>
    <w:rsid w:val="00F81872"/>
    <w:rsid w:val="00F82811"/>
    <w:rsid w:val="00F83001"/>
    <w:rsid w:val="00F8427E"/>
    <w:rsid w:val="00F85611"/>
    <w:rsid w:val="00F85C7F"/>
    <w:rsid w:val="00F85CDE"/>
    <w:rsid w:val="00F85E27"/>
    <w:rsid w:val="00F85ED1"/>
    <w:rsid w:val="00F86754"/>
    <w:rsid w:val="00F869E4"/>
    <w:rsid w:val="00F86C63"/>
    <w:rsid w:val="00F87CD3"/>
    <w:rsid w:val="00F90D7B"/>
    <w:rsid w:val="00F91426"/>
    <w:rsid w:val="00F918B8"/>
    <w:rsid w:val="00F91D76"/>
    <w:rsid w:val="00F926D4"/>
    <w:rsid w:val="00F92EAE"/>
    <w:rsid w:val="00F94641"/>
    <w:rsid w:val="00F94EF4"/>
    <w:rsid w:val="00F95075"/>
    <w:rsid w:val="00F97712"/>
    <w:rsid w:val="00FA1D2A"/>
    <w:rsid w:val="00FA26FA"/>
    <w:rsid w:val="00FA37C7"/>
    <w:rsid w:val="00FA3BB0"/>
    <w:rsid w:val="00FA49B1"/>
    <w:rsid w:val="00FA4DF8"/>
    <w:rsid w:val="00FA5B7D"/>
    <w:rsid w:val="00FA62E5"/>
    <w:rsid w:val="00FA7026"/>
    <w:rsid w:val="00FA7D58"/>
    <w:rsid w:val="00FB1DA1"/>
    <w:rsid w:val="00FB1E70"/>
    <w:rsid w:val="00FB1E98"/>
    <w:rsid w:val="00FB20CC"/>
    <w:rsid w:val="00FB256A"/>
    <w:rsid w:val="00FB2C98"/>
    <w:rsid w:val="00FB44C3"/>
    <w:rsid w:val="00FB5D26"/>
    <w:rsid w:val="00FB5F2C"/>
    <w:rsid w:val="00FB6CE1"/>
    <w:rsid w:val="00FC03F4"/>
    <w:rsid w:val="00FC08C1"/>
    <w:rsid w:val="00FC2011"/>
    <w:rsid w:val="00FC206E"/>
    <w:rsid w:val="00FC2480"/>
    <w:rsid w:val="00FC2C39"/>
    <w:rsid w:val="00FC2F07"/>
    <w:rsid w:val="00FC32AD"/>
    <w:rsid w:val="00FC41C6"/>
    <w:rsid w:val="00FC4222"/>
    <w:rsid w:val="00FC4992"/>
    <w:rsid w:val="00FC58B4"/>
    <w:rsid w:val="00FC739D"/>
    <w:rsid w:val="00FD1055"/>
    <w:rsid w:val="00FD10EF"/>
    <w:rsid w:val="00FD22DB"/>
    <w:rsid w:val="00FD2A99"/>
    <w:rsid w:val="00FD3BE1"/>
    <w:rsid w:val="00FD3C0F"/>
    <w:rsid w:val="00FD478B"/>
    <w:rsid w:val="00FD47EA"/>
    <w:rsid w:val="00FD4855"/>
    <w:rsid w:val="00FD4CCC"/>
    <w:rsid w:val="00FD5F00"/>
    <w:rsid w:val="00FD7155"/>
    <w:rsid w:val="00FD7C8D"/>
    <w:rsid w:val="00FD7F80"/>
    <w:rsid w:val="00FE0136"/>
    <w:rsid w:val="00FE0689"/>
    <w:rsid w:val="00FE1613"/>
    <w:rsid w:val="00FE1935"/>
    <w:rsid w:val="00FE2F8F"/>
    <w:rsid w:val="00FE33CF"/>
    <w:rsid w:val="00FE345A"/>
    <w:rsid w:val="00FE3856"/>
    <w:rsid w:val="00FE4ADB"/>
    <w:rsid w:val="00FE54E1"/>
    <w:rsid w:val="00FE5AB2"/>
    <w:rsid w:val="00FE6735"/>
    <w:rsid w:val="00FE7970"/>
    <w:rsid w:val="00FF0AAD"/>
    <w:rsid w:val="00FF10A5"/>
    <w:rsid w:val="00FF1E8B"/>
    <w:rsid w:val="00FF2CDB"/>
    <w:rsid w:val="00FF301E"/>
    <w:rsid w:val="00FF3E89"/>
    <w:rsid w:val="00FF412A"/>
    <w:rsid w:val="00FF4F6A"/>
    <w:rsid w:val="00FF521B"/>
    <w:rsid w:val="00FF55D9"/>
    <w:rsid w:val="00FF5608"/>
    <w:rsid w:val="00FF67EB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9E38D7"/>
  <w14:defaultImageDpi w14:val="300"/>
  <w15:docId w15:val="{0603AB2A-3957-4772-8CBE-6F72B092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639"/>
    <w:pPr>
      <w:spacing w:after="200" w:line="360" w:lineRule="auto"/>
    </w:pPr>
    <w:rPr>
      <w:rFonts w:ascii="Arial" w:eastAsia="Times New Roman" w:hAnsi="Arial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uiPriority w:val="9"/>
    <w:qFormat/>
    <w:rsid w:val="006F5639"/>
    <w:pPr>
      <w:keepNext/>
      <w:keepLines/>
      <w:spacing w:before="60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6F5639"/>
    <w:pPr>
      <w:keepNext/>
      <w:keepLines/>
      <w:spacing w:before="200" w:after="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52277"/>
    <w:pPr>
      <w:ind w:left="720" w:hanging="720"/>
      <w:outlineLvl w:val="2"/>
    </w:pPr>
    <w:rPr>
      <w:rFonts w:eastAsiaTheme="minorHAns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52277"/>
    <w:pPr>
      <w:keepNext/>
      <w:keepLines/>
      <w:spacing w:before="200" w:after="0"/>
      <w:ind w:left="864" w:hanging="864"/>
      <w:jc w:val="both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77"/>
    <w:pPr>
      <w:keepNext/>
      <w:keepLines/>
      <w:spacing w:before="200" w:after="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277"/>
    <w:pPr>
      <w:keepNext/>
      <w:keepLines/>
      <w:spacing w:before="200" w:after="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277"/>
    <w:pPr>
      <w:keepNext/>
      <w:keepLines/>
      <w:spacing w:before="20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277"/>
    <w:pPr>
      <w:keepNext/>
      <w:keepLines/>
      <w:spacing w:before="20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277"/>
    <w:pPr>
      <w:keepNext/>
      <w:keepLines/>
      <w:spacing w:before="20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"/>
    <w:rsid w:val="006F5639"/>
    <w:rPr>
      <w:rFonts w:ascii="Arial" w:eastAsia="Times New Roman" w:hAnsi="Arial" w:cs="Times New Roman"/>
      <w:b/>
      <w:bCs/>
      <w:sz w:val="28"/>
      <w:szCs w:val="28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"/>
    <w:rsid w:val="006F5639"/>
    <w:rPr>
      <w:rFonts w:ascii="Arial" w:eastAsia="Times New Roman" w:hAnsi="Arial" w:cs="Times New Roman"/>
      <w:b/>
      <w:bCs/>
      <w:sz w:val="22"/>
      <w:szCs w:val="26"/>
      <w:lang w:eastAsia="en-US"/>
    </w:rPr>
  </w:style>
  <w:style w:type="character" w:customStyle="1" w:styleId="Heading1Char">
    <w:name w:val="Heading 1 Char"/>
    <w:locked/>
    <w:rsid w:val="006F5639"/>
    <w:rPr>
      <w:rFonts w:ascii="Arial" w:hAnsi="Arial" w:cs="Times New Roman"/>
      <w:b/>
      <w:bCs/>
      <w:sz w:val="28"/>
      <w:szCs w:val="28"/>
    </w:rPr>
  </w:style>
  <w:style w:type="character" w:customStyle="1" w:styleId="Heading2Char">
    <w:name w:val="Heading 2 Char"/>
    <w:locked/>
    <w:rsid w:val="006F5639"/>
    <w:rPr>
      <w:rFonts w:ascii="Arial" w:hAnsi="Arial" w:cs="Times New Roman"/>
      <w:b/>
      <w:bCs/>
      <w:sz w:val="26"/>
      <w:szCs w:val="26"/>
    </w:rPr>
  </w:style>
  <w:style w:type="paragraph" w:customStyle="1" w:styleId="Default">
    <w:name w:val="Default"/>
    <w:rsid w:val="006F5639"/>
    <w:pPr>
      <w:autoSpaceDE w:val="0"/>
      <w:autoSpaceDN w:val="0"/>
      <w:adjustRightInd w:val="0"/>
    </w:pPr>
    <w:rPr>
      <w:rFonts w:ascii="CJBFDJ+TimesNewRoman" w:eastAsia="Times New Roman" w:hAnsi="CJBFDJ+TimesNewRoman" w:cs="CJBFDJ+TimesNewRoman"/>
      <w:color w:val="000000"/>
      <w:lang w:eastAsia="en-US"/>
    </w:rPr>
  </w:style>
  <w:style w:type="paragraph" w:customStyle="1" w:styleId="Listenabsatz1">
    <w:name w:val="Listenabsatz1"/>
    <w:basedOn w:val="Normal"/>
    <w:qFormat/>
    <w:rsid w:val="006F5639"/>
    <w:pPr>
      <w:ind w:left="720"/>
      <w:contextualSpacing/>
    </w:pPr>
  </w:style>
  <w:style w:type="paragraph" w:customStyle="1" w:styleId="Tabelle10">
    <w:name w:val="Tabelle 10"/>
    <w:rsid w:val="006F5639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ascii="Arial" w:eastAsia="Times New Roman" w:hAnsi="Arial" w:cs="Times New Roman"/>
      <w:bCs/>
      <w:color w:val="000000"/>
      <w:sz w:val="20"/>
      <w:szCs w:val="20"/>
      <w:lang w:val="en-US"/>
    </w:rPr>
  </w:style>
  <w:style w:type="character" w:customStyle="1" w:styleId="hps">
    <w:name w:val="hps"/>
    <w:rsid w:val="006F5639"/>
    <w:rPr>
      <w:rFonts w:cs="Times New Roman"/>
    </w:rPr>
  </w:style>
  <w:style w:type="paragraph" w:customStyle="1" w:styleId="Literatur">
    <w:name w:val="Literatur"/>
    <w:basedOn w:val="Normal"/>
    <w:rsid w:val="006F5639"/>
    <w:pPr>
      <w:spacing w:after="120" w:line="240" w:lineRule="auto"/>
    </w:pPr>
    <w:rPr>
      <w:rFonts w:cs="Tahoma"/>
      <w:bCs/>
      <w:sz w:val="24"/>
      <w:szCs w:val="24"/>
      <w:lang w:val="en-GB" w:eastAsia="de-DE"/>
    </w:rPr>
  </w:style>
  <w:style w:type="character" w:customStyle="1" w:styleId="pages">
    <w:name w:val="pages"/>
    <w:rsid w:val="006F5639"/>
    <w:rPr>
      <w:rFonts w:cs="Times New Roman"/>
    </w:rPr>
  </w:style>
  <w:style w:type="paragraph" w:styleId="Header">
    <w:name w:val="header"/>
    <w:basedOn w:val="Normal"/>
    <w:link w:val="HeaderChar1"/>
    <w:uiPriority w:val="99"/>
    <w:unhideWhenUsed/>
    <w:rsid w:val="006F5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6F5639"/>
    <w:rPr>
      <w:rFonts w:ascii="Arial" w:eastAsia="Times New Roman" w:hAnsi="Arial" w:cs="Times New Roman"/>
      <w:sz w:val="22"/>
      <w:szCs w:val="22"/>
      <w:lang w:eastAsia="en-US"/>
    </w:rPr>
  </w:style>
  <w:style w:type="character" w:customStyle="1" w:styleId="HeaderChar">
    <w:name w:val="Header Char"/>
    <w:semiHidden/>
    <w:locked/>
    <w:rsid w:val="006F5639"/>
    <w:rPr>
      <w:rFonts w:ascii="Arial" w:hAnsi="Arial" w:cs="Times New Roman"/>
    </w:rPr>
  </w:style>
  <w:style w:type="paragraph" w:styleId="Footer">
    <w:name w:val="footer"/>
    <w:basedOn w:val="Normal"/>
    <w:link w:val="FooterChar1"/>
    <w:uiPriority w:val="99"/>
    <w:unhideWhenUsed/>
    <w:rsid w:val="006F5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6F5639"/>
    <w:rPr>
      <w:rFonts w:ascii="Arial" w:eastAsia="Times New Roman" w:hAnsi="Arial" w:cs="Times New Roman"/>
      <w:sz w:val="22"/>
      <w:szCs w:val="22"/>
      <w:lang w:eastAsia="en-US"/>
    </w:rPr>
  </w:style>
  <w:style w:type="character" w:customStyle="1" w:styleId="FooterChar">
    <w:name w:val="Footer Char"/>
    <w:locked/>
    <w:rsid w:val="006F5639"/>
    <w:rPr>
      <w:rFonts w:ascii="Arial" w:hAnsi="Arial" w:cs="Times New Roman"/>
    </w:rPr>
  </w:style>
  <w:style w:type="character" w:styleId="CommentReference">
    <w:name w:val="annotation reference"/>
    <w:uiPriority w:val="99"/>
    <w:semiHidden/>
    <w:unhideWhenUsed/>
    <w:rsid w:val="006F563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nhideWhenUsed/>
    <w:qFormat/>
    <w:rsid w:val="006F5639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6F5639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CommentTextChar">
    <w:name w:val="Comment Text Char"/>
    <w:semiHidden/>
    <w:locked/>
    <w:rsid w:val="006F5639"/>
    <w:rPr>
      <w:rFonts w:ascii="Arial" w:hAnsi="Arial" w:cs="Times New Roman"/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unhideWhenUsed/>
    <w:rsid w:val="006F5639"/>
    <w:rPr>
      <w:b/>
      <w:bCs/>
    </w:rPr>
  </w:style>
  <w:style w:type="character" w:customStyle="1" w:styleId="CommentSubjectChar">
    <w:name w:val="Comment Subject Char"/>
    <w:semiHidden/>
    <w:locked/>
    <w:rsid w:val="006F5639"/>
    <w:rPr>
      <w:rFonts w:ascii="Arial" w:hAnsi="Arial" w:cs="Times New Roman"/>
      <w:b/>
      <w:bCs/>
      <w:sz w:val="20"/>
      <w:szCs w:val="20"/>
    </w:rPr>
  </w:style>
  <w:style w:type="paragraph" w:customStyle="1" w:styleId="Sprechblasentext1">
    <w:name w:val="Sprechblasentext1"/>
    <w:basedOn w:val="Normal"/>
    <w:semiHidden/>
    <w:unhideWhenUsed/>
    <w:rsid w:val="006F5639"/>
    <w:pPr>
      <w:spacing w:after="0" w:line="240" w:lineRule="auto"/>
    </w:pPr>
    <w:rPr>
      <w:rFonts w:ascii="Tahoma" w:hAnsi="Tahoma" w:cs="Courier New"/>
      <w:sz w:val="16"/>
      <w:szCs w:val="16"/>
    </w:rPr>
  </w:style>
  <w:style w:type="character" w:customStyle="1" w:styleId="BalloonTextChar">
    <w:name w:val="Balloon Text Char"/>
    <w:semiHidden/>
    <w:locked/>
    <w:rsid w:val="006F5639"/>
    <w:rPr>
      <w:rFonts w:ascii="Tahoma" w:hAnsi="Tahoma" w:cs="Courier New"/>
      <w:sz w:val="16"/>
      <w:szCs w:val="16"/>
    </w:rPr>
  </w:style>
  <w:style w:type="character" w:customStyle="1" w:styleId="citation-volume">
    <w:name w:val="citation-volume"/>
    <w:rsid w:val="006F5639"/>
    <w:rPr>
      <w:rFonts w:cs="Times New Roman"/>
    </w:rPr>
  </w:style>
  <w:style w:type="character" w:customStyle="1" w:styleId="citation-issue">
    <w:name w:val="citation-issue"/>
    <w:rsid w:val="006F5639"/>
    <w:rPr>
      <w:rFonts w:cs="Times New Roman"/>
    </w:rPr>
  </w:style>
  <w:style w:type="character" w:customStyle="1" w:styleId="citation-flpages">
    <w:name w:val="citation-flpages"/>
    <w:rsid w:val="006F5639"/>
    <w:rPr>
      <w:rFonts w:cs="Times New Roman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6F5639"/>
    <w:pPr>
      <w:spacing w:after="0" w:line="240" w:lineRule="auto"/>
    </w:pPr>
    <w:rPr>
      <w:rFonts w:ascii="Tahoma" w:hAnsi="Tahoma" w:cs="Tahoma"/>
      <w:sz w:val="24"/>
      <w:szCs w:val="16"/>
    </w:rPr>
  </w:style>
  <w:style w:type="character" w:customStyle="1" w:styleId="BalloonTextChar1">
    <w:name w:val="Balloon Text Char1"/>
    <w:basedOn w:val="DefaultParagraphFont"/>
    <w:link w:val="BalloonText"/>
    <w:semiHidden/>
    <w:rsid w:val="006F5639"/>
    <w:rPr>
      <w:rFonts w:ascii="Tahoma" w:eastAsia="Times New Roman" w:hAnsi="Tahoma" w:cs="Tahoma"/>
      <w:szCs w:val="16"/>
      <w:lang w:eastAsia="en-US"/>
    </w:rPr>
  </w:style>
  <w:style w:type="character" w:customStyle="1" w:styleId="SprechblasentextZchn">
    <w:name w:val="Sprechblasentext Zchn"/>
    <w:uiPriority w:val="99"/>
    <w:semiHidden/>
    <w:rsid w:val="006F5639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6F5639"/>
    <w:pPr>
      <w:spacing w:line="360" w:lineRule="auto"/>
    </w:pPr>
    <w:rPr>
      <w:b/>
      <w:bCs/>
    </w:rPr>
  </w:style>
  <w:style w:type="character" w:customStyle="1" w:styleId="CommentSubjectChar1">
    <w:name w:val="Comment Subject Char1"/>
    <w:basedOn w:val="CommentTextChar1"/>
    <w:link w:val="CommentSubject"/>
    <w:semiHidden/>
    <w:rsid w:val="006F5639"/>
    <w:rPr>
      <w:rFonts w:ascii="Arial" w:eastAsia="Times New Roman" w:hAnsi="Arial" w:cs="Times New Roman"/>
      <w:b/>
      <w:bCs/>
      <w:sz w:val="20"/>
      <w:szCs w:val="20"/>
      <w:lang w:eastAsia="en-US"/>
    </w:rPr>
  </w:style>
  <w:style w:type="character" w:customStyle="1" w:styleId="KommentartextZchn">
    <w:name w:val="Kommentartext Zchn"/>
    <w:uiPriority w:val="99"/>
    <w:rsid w:val="006F5639"/>
    <w:rPr>
      <w:rFonts w:ascii="Arial" w:hAnsi="Arial"/>
      <w:lang w:eastAsia="en-US"/>
    </w:rPr>
  </w:style>
  <w:style w:type="character" w:customStyle="1" w:styleId="KommentarthemaZchn">
    <w:name w:val="Kommentarthema Zchn"/>
    <w:basedOn w:val="KommentartextZchn"/>
    <w:uiPriority w:val="99"/>
    <w:rsid w:val="006F5639"/>
    <w:rPr>
      <w:rFonts w:ascii="Arial" w:hAnsi="Arial"/>
      <w:lang w:eastAsia="en-US"/>
    </w:rPr>
  </w:style>
  <w:style w:type="character" w:styleId="PageNumber">
    <w:name w:val="page number"/>
    <w:uiPriority w:val="99"/>
    <w:semiHidden/>
    <w:unhideWhenUsed/>
    <w:rsid w:val="006F5639"/>
  </w:style>
  <w:style w:type="character" w:styleId="Hyperlink">
    <w:name w:val="Hyperlink"/>
    <w:uiPriority w:val="99"/>
    <w:unhideWhenUsed/>
    <w:rsid w:val="006F5639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6F5639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6F5639"/>
    <w:pPr>
      <w:spacing w:after="0"/>
      <w:jc w:val="center"/>
    </w:pPr>
    <w:rPr>
      <w:rFonts w:cs="Arial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6F5639"/>
    <w:pPr>
      <w:spacing w:line="240" w:lineRule="auto"/>
      <w:jc w:val="both"/>
    </w:pPr>
    <w:rPr>
      <w:rFonts w:cs="Arial"/>
      <w:lang w:val="en-US"/>
    </w:rPr>
  </w:style>
  <w:style w:type="paragraph" w:styleId="Revision">
    <w:name w:val="Revision"/>
    <w:hidden/>
    <w:uiPriority w:val="99"/>
    <w:rsid w:val="006F5639"/>
    <w:rPr>
      <w:rFonts w:ascii="Arial" w:eastAsia="Times New Roman" w:hAnsi="Arial" w:cs="Times New Roman"/>
      <w:sz w:val="22"/>
      <w:szCs w:val="22"/>
      <w:lang w:eastAsia="en-US"/>
    </w:rPr>
  </w:style>
  <w:style w:type="paragraph" w:customStyle="1" w:styleId="bodytext">
    <w:name w:val="bodytext"/>
    <w:basedOn w:val="Normal"/>
    <w:rsid w:val="006F56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styleId="Strong">
    <w:name w:val="Strong"/>
    <w:basedOn w:val="DefaultParagraphFont"/>
    <w:uiPriority w:val="22"/>
    <w:qFormat/>
    <w:rsid w:val="006F563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F5639"/>
  </w:style>
  <w:style w:type="paragraph" w:styleId="NormalWeb">
    <w:name w:val="Normal (Web)"/>
    <w:basedOn w:val="Normal"/>
    <w:uiPriority w:val="99"/>
    <w:unhideWhenUsed/>
    <w:rsid w:val="00A34D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unhideWhenUsed/>
    <w:rsid w:val="002B5E96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5E96"/>
    <w:rPr>
      <w:rFonts w:ascii="Calibri" w:eastAsiaTheme="minorHAns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00623"/>
    <w:pPr>
      <w:ind w:left="720"/>
      <w:contextualSpacing/>
    </w:pPr>
  </w:style>
  <w:style w:type="character" w:customStyle="1" w:styleId="EndNoteBibliographyZchn">
    <w:name w:val="EndNote Bibliography Zchn"/>
    <w:basedOn w:val="DefaultParagraphFont"/>
    <w:link w:val="EndNoteBibliography"/>
    <w:rsid w:val="00AE3991"/>
    <w:rPr>
      <w:rFonts w:ascii="Arial" w:eastAsia="Times New Roman" w:hAnsi="Arial" w:cs="Arial"/>
      <w:sz w:val="22"/>
      <w:szCs w:val="22"/>
      <w:lang w:val="en-US" w:eastAsia="en-US"/>
    </w:rPr>
  </w:style>
  <w:style w:type="character" w:customStyle="1" w:styleId="form-groups">
    <w:name w:val="form-groups"/>
    <w:basedOn w:val="DefaultParagraphFont"/>
    <w:rsid w:val="00ED0A89"/>
  </w:style>
  <w:style w:type="table" w:styleId="TableGrid">
    <w:name w:val="Table Grid"/>
    <w:basedOn w:val="TableNormal"/>
    <w:uiPriority w:val="39"/>
    <w:rsid w:val="00ED4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52277"/>
    <w:rPr>
      <w:rFonts w:ascii="Arial" w:eastAsiaTheme="minorHAnsi" w:hAnsi="Arial" w:cs="Times New Roman"/>
      <w:b/>
      <w:bCs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52277"/>
    <w:rPr>
      <w:rFonts w:ascii="Arial" w:eastAsiaTheme="majorEastAsia" w:hAnsi="Arial" w:cstheme="majorBidi"/>
      <w:b/>
      <w:bCs/>
      <w:iCs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27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27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27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27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2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EndNoteBibliographyTitleZchn">
    <w:name w:val="EndNote Bibliography Title Zchn"/>
    <w:basedOn w:val="KommentartextZchn"/>
    <w:link w:val="EndNoteBibliographyTitle"/>
    <w:rsid w:val="00452277"/>
    <w:rPr>
      <w:rFonts w:ascii="Arial" w:eastAsia="Times New Roman" w:hAnsi="Arial" w:cs="Arial"/>
      <w:sz w:val="22"/>
      <w:szCs w:val="22"/>
      <w:lang w:val="en-US" w:eastAsia="en-US"/>
    </w:rPr>
  </w:style>
  <w:style w:type="character" w:customStyle="1" w:styleId="e24kjd">
    <w:name w:val="e24kjd"/>
    <w:basedOn w:val="DefaultParagraphFont"/>
    <w:rsid w:val="003F4BE5"/>
  </w:style>
  <w:style w:type="paragraph" w:styleId="EndnoteText">
    <w:name w:val="endnote text"/>
    <w:basedOn w:val="Normal"/>
    <w:link w:val="EndnoteTextChar"/>
    <w:uiPriority w:val="99"/>
    <w:semiHidden/>
    <w:unhideWhenUsed/>
    <w:rsid w:val="002B793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7937"/>
    <w:rPr>
      <w:rFonts w:ascii="Arial" w:eastAsia="Times New Roman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B7937"/>
    <w:rPr>
      <w:vertAlign w:val="superscript"/>
    </w:rPr>
  </w:style>
  <w:style w:type="character" w:customStyle="1" w:styleId="st">
    <w:name w:val="st"/>
    <w:basedOn w:val="DefaultParagraphFont"/>
    <w:rsid w:val="00116178"/>
  </w:style>
  <w:style w:type="character" w:styleId="Emphasis">
    <w:name w:val="Emphasis"/>
    <w:basedOn w:val="DefaultParagraphFont"/>
    <w:uiPriority w:val="20"/>
    <w:qFormat/>
    <w:rsid w:val="00116178"/>
    <w:rPr>
      <w:i/>
      <w:iCs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653E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70F0A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7B4BB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23B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528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36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4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DF5D9F3231E4CB13E557898E9C106" ma:contentTypeVersion="13" ma:contentTypeDescription="Create a new document." ma:contentTypeScope="" ma:versionID="295386bab4d9fc45bdbe7e00ca5df57d">
  <xsd:schema xmlns:xsd="http://www.w3.org/2001/XMLSchema" xmlns:xs="http://www.w3.org/2001/XMLSchema" xmlns:p="http://schemas.microsoft.com/office/2006/metadata/properties" xmlns:ns3="23a1232f-676f-43ec-bb2d-4d9997a046d0" xmlns:ns4="f10c2d94-175f-461a-a0fa-15f2b6033371" targetNamespace="http://schemas.microsoft.com/office/2006/metadata/properties" ma:root="true" ma:fieldsID="e53fb4fb2d67dd924fff30ef7740791a" ns3:_="" ns4:_="">
    <xsd:import namespace="23a1232f-676f-43ec-bb2d-4d9997a046d0"/>
    <xsd:import namespace="f10c2d94-175f-461a-a0fa-15f2b60333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1232f-676f-43ec-bb2d-4d9997a04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2d94-175f-461a-a0fa-15f2b6033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91FF-A8CD-4F26-9987-0BC5FE8C2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1232f-676f-43ec-bb2d-4d9997a046d0"/>
    <ds:schemaRef ds:uri="f10c2d94-175f-461a-a0fa-15f2b6033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1092E-4F6D-4985-9382-6FD6A60F2E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5AAD98-4EEB-4556-AEAB-BE23ACD4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BA915C-5ADE-4D1A-A37F-2E9C2780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15254</Words>
  <Characters>86953</Characters>
  <Application>Microsoft Office Word</Application>
  <DocSecurity>0</DocSecurity>
  <Lines>724</Lines>
  <Paragraphs>204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KWD</Company>
  <LinksUpToDate>false</LinksUpToDate>
  <CharactersWithSpaces>102003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Irmela Gnass</dc:creator>
  <cp:keywords/>
  <dc:description/>
  <cp:lastModifiedBy>Poonam Mutha</cp:lastModifiedBy>
  <cp:revision>21</cp:revision>
  <cp:lastPrinted>2020-10-06T11:04:00Z</cp:lastPrinted>
  <dcterms:created xsi:type="dcterms:W3CDTF">2020-10-09T09:07:00Z</dcterms:created>
  <dcterms:modified xsi:type="dcterms:W3CDTF">2020-10-19T05:17:00Z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christina.nowack@bayer.com</vt:lpwstr>
  </property>
  <property fmtid="{D5CDD505-2E9C-101B-9397-08002B2CF9AE}" pid="5" name="MSIP_Label_7f850223-87a8-40c3-9eb2-432606efca2a_SetDate">
    <vt:lpwstr>2020-09-11T10:49:21.4038772Z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0x0101005B5DF5D9F3231E4CB13E557898E9C106</vt:lpwstr>
  </property>
</Properties>
</file>