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6F296" w14:textId="772D53C4" w:rsidR="00D3130B" w:rsidRPr="00104726" w:rsidRDefault="00F96CD9" w:rsidP="00104726">
      <w:pPr>
        <w:spacing w:after="0" w:line="360" w:lineRule="auto"/>
        <w:jc w:val="both"/>
        <w:rPr>
          <w:rFonts w:ascii="Arial" w:hAnsi="Arial" w:cs="Arial"/>
          <w:b/>
          <w:bCs/>
        </w:rPr>
      </w:pPr>
      <w:r w:rsidRPr="00104726">
        <w:rPr>
          <w:rFonts w:ascii="Arial" w:hAnsi="Arial" w:cs="Arial"/>
          <w:b/>
          <w:bCs/>
        </w:rPr>
        <w:t>Summary of</w:t>
      </w:r>
      <w:r w:rsidR="00B07CEB" w:rsidRPr="00104726">
        <w:rPr>
          <w:rFonts w:ascii="Arial" w:hAnsi="Arial" w:cs="Arial"/>
          <w:b/>
          <w:bCs/>
        </w:rPr>
        <w:t xml:space="preserve"> Analytical Validation</w:t>
      </w:r>
    </w:p>
    <w:p w14:paraId="20881978" w14:textId="19AD3398" w:rsidR="00D3130B" w:rsidRPr="00657B87" w:rsidRDefault="00657B87" w:rsidP="00104726">
      <w:pPr>
        <w:spacing w:after="0" w:line="360" w:lineRule="auto"/>
        <w:contextualSpacing/>
        <w:jc w:val="both"/>
        <w:rPr>
          <w:rFonts w:ascii="Arial" w:hAnsi="Arial" w:cs="Arial"/>
        </w:rPr>
      </w:pPr>
      <w:r>
        <w:rPr>
          <w:rFonts w:ascii="Arial" w:hAnsi="Arial" w:cs="Arial"/>
        </w:rPr>
        <w:t>The analytical performance characteristics of the process was evaluated in structured studies.</w:t>
      </w:r>
    </w:p>
    <w:p w14:paraId="6107AEBC" w14:textId="45260443" w:rsidR="00657B87" w:rsidRPr="00952D91" w:rsidRDefault="00657B87" w:rsidP="00104726">
      <w:pPr>
        <w:spacing w:after="0" w:line="360" w:lineRule="auto"/>
        <w:jc w:val="both"/>
        <w:rPr>
          <w:rFonts w:ascii="Arial" w:hAnsi="Arial" w:cs="Arial"/>
        </w:rPr>
      </w:pPr>
      <w:r>
        <w:rPr>
          <w:rFonts w:ascii="Arial" w:hAnsi="Arial" w:cs="Arial"/>
          <w:b/>
          <w:bCs/>
        </w:rPr>
        <w:t xml:space="preserve">Accuracy: </w:t>
      </w:r>
      <w:r w:rsidR="00952D91">
        <w:rPr>
          <w:rFonts w:ascii="Arial" w:hAnsi="Arial" w:cs="Arial"/>
        </w:rPr>
        <w:t>Accuracy was established on contrived specimens</w:t>
      </w:r>
      <w:r w:rsidR="006308FD">
        <w:rPr>
          <w:rFonts w:ascii="Arial" w:hAnsi="Arial" w:cs="Arial"/>
        </w:rPr>
        <w:t xml:space="preserve"> generated using MCF7, breast cancer cell line that shows consistent high EpCAM positivity</w:t>
      </w:r>
      <w:r w:rsidR="00952D91" w:rsidRPr="006F3F57">
        <w:rPr>
          <w:rFonts w:ascii="Arial" w:hAnsi="Arial" w:cs="Arial"/>
        </w:rPr>
        <w:t xml:space="preserve">. Peripheral </w:t>
      </w:r>
      <w:r w:rsidR="00B37533">
        <w:rPr>
          <w:rFonts w:ascii="Arial" w:hAnsi="Arial" w:cs="Arial"/>
        </w:rPr>
        <w:t xml:space="preserve">blood </w:t>
      </w:r>
      <w:r w:rsidR="00952D91" w:rsidRPr="006F3F57">
        <w:rPr>
          <w:rFonts w:ascii="Arial" w:hAnsi="Arial" w:cs="Arial"/>
        </w:rPr>
        <w:t xml:space="preserve">collected from healthy </w:t>
      </w:r>
      <w:r w:rsidR="00952D91" w:rsidRPr="001C24C3">
        <w:rPr>
          <w:rFonts w:ascii="Arial" w:hAnsi="Arial" w:cs="Arial"/>
        </w:rPr>
        <w:t>donors (HD; n = 1</w:t>
      </w:r>
      <w:r w:rsidR="006F361D" w:rsidRPr="001C24C3">
        <w:rPr>
          <w:rFonts w:ascii="Arial" w:hAnsi="Arial" w:cs="Arial"/>
        </w:rPr>
        <w:t>5</w:t>
      </w:r>
      <w:r w:rsidR="00952D91" w:rsidRPr="001C24C3">
        <w:rPr>
          <w:rFonts w:ascii="Arial" w:hAnsi="Arial" w:cs="Arial"/>
        </w:rPr>
        <w:t xml:space="preserve">; </w:t>
      </w:r>
      <w:r w:rsidR="00B0019C" w:rsidRPr="001C24C3">
        <w:rPr>
          <w:rFonts w:ascii="Arial" w:hAnsi="Arial" w:cs="Arial"/>
        </w:rPr>
        <w:t>9</w:t>
      </w:r>
      <w:r w:rsidR="00952D91" w:rsidRPr="001C24C3">
        <w:rPr>
          <w:rFonts w:ascii="Arial" w:hAnsi="Arial" w:cs="Arial"/>
        </w:rPr>
        <w:t xml:space="preserve"> male, </w:t>
      </w:r>
      <w:r w:rsidR="00B0019C" w:rsidRPr="001C24C3">
        <w:rPr>
          <w:rFonts w:ascii="Arial" w:hAnsi="Arial" w:cs="Arial"/>
        </w:rPr>
        <w:t>6</w:t>
      </w:r>
      <w:r w:rsidR="00952D91" w:rsidRPr="001C24C3">
        <w:rPr>
          <w:rFonts w:ascii="Arial" w:hAnsi="Arial" w:cs="Arial"/>
        </w:rPr>
        <w:t xml:space="preserve"> female; </w:t>
      </w:r>
      <w:r w:rsidR="00682418" w:rsidRPr="001C24C3">
        <w:rPr>
          <w:rFonts w:ascii="Arial" w:hAnsi="Arial" w:cs="Arial"/>
        </w:rPr>
        <w:t xml:space="preserve">median age 38 years, </w:t>
      </w:r>
      <w:r w:rsidR="00952D91" w:rsidRPr="001C24C3">
        <w:rPr>
          <w:rFonts w:ascii="Arial" w:hAnsi="Arial" w:cs="Arial"/>
        </w:rPr>
        <w:t xml:space="preserve">range </w:t>
      </w:r>
      <w:r w:rsidR="00B0019C" w:rsidRPr="001C24C3">
        <w:rPr>
          <w:rFonts w:ascii="Arial" w:hAnsi="Arial" w:cs="Arial"/>
        </w:rPr>
        <w:t>24</w:t>
      </w:r>
      <w:r w:rsidR="00952D91" w:rsidRPr="001C24C3">
        <w:rPr>
          <w:rFonts w:ascii="Arial" w:hAnsi="Arial" w:cs="Arial"/>
        </w:rPr>
        <w:t>-56 years) was u</w:t>
      </w:r>
      <w:r w:rsidR="00952D91" w:rsidRPr="006F3F57">
        <w:rPr>
          <w:rFonts w:ascii="Arial" w:hAnsi="Arial" w:cs="Arial"/>
        </w:rPr>
        <w:t xml:space="preserve">sed for this study. </w:t>
      </w:r>
      <w:r w:rsidR="007B66DE">
        <w:rPr>
          <w:rFonts w:ascii="Arial" w:hAnsi="Arial" w:cs="Arial"/>
        </w:rPr>
        <w:t>Fifteen 1 mL aliquots 1 each from all 15 individuals) were unspiked,</w:t>
      </w:r>
      <w:r w:rsidR="007B66DE" w:rsidRPr="006F3F57">
        <w:rPr>
          <w:rFonts w:ascii="Arial" w:hAnsi="Arial" w:cs="Arial"/>
        </w:rPr>
        <w:t xml:space="preserve"> </w:t>
      </w:r>
      <w:r w:rsidR="007B66DE">
        <w:rPr>
          <w:rFonts w:ascii="Arial" w:hAnsi="Arial" w:cs="Arial"/>
        </w:rPr>
        <w:t>f</w:t>
      </w:r>
      <w:r w:rsidR="00952D91" w:rsidRPr="006F3F57">
        <w:rPr>
          <w:rFonts w:ascii="Arial" w:hAnsi="Arial" w:cs="Arial"/>
        </w:rPr>
        <w:t>ifteen 1 mL aliquots</w:t>
      </w:r>
      <w:r w:rsidR="00952D91">
        <w:rPr>
          <w:rFonts w:ascii="Arial" w:hAnsi="Arial" w:cs="Arial"/>
        </w:rPr>
        <w:t xml:space="preserve"> </w:t>
      </w:r>
      <w:r w:rsidR="006F361D">
        <w:rPr>
          <w:rFonts w:ascii="Arial" w:hAnsi="Arial" w:cs="Arial"/>
        </w:rPr>
        <w:t xml:space="preserve">(1 each from all 15 individuals) </w:t>
      </w:r>
      <w:r w:rsidR="00952D91">
        <w:rPr>
          <w:rFonts w:ascii="Arial" w:hAnsi="Arial" w:cs="Arial"/>
        </w:rPr>
        <w:t xml:space="preserve">were spiked with 100 MCF7 cells, </w:t>
      </w:r>
      <w:r w:rsidR="007B66DE">
        <w:rPr>
          <w:rFonts w:ascii="Arial" w:hAnsi="Arial" w:cs="Arial"/>
        </w:rPr>
        <w:t xml:space="preserve">and </w:t>
      </w:r>
      <w:r w:rsidR="00952D91">
        <w:rPr>
          <w:rFonts w:ascii="Arial" w:hAnsi="Arial" w:cs="Arial"/>
        </w:rPr>
        <w:t xml:space="preserve">five 1 mL aliquots </w:t>
      </w:r>
      <w:r w:rsidR="006F361D">
        <w:rPr>
          <w:rFonts w:ascii="Arial" w:hAnsi="Arial" w:cs="Arial"/>
        </w:rPr>
        <w:t xml:space="preserve">(1 each from 5 individuals) </w:t>
      </w:r>
      <w:r w:rsidR="00952D91">
        <w:rPr>
          <w:rFonts w:ascii="Arial" w:hAnsi="Arial" w:cs="Arial"/>
        </w:rPr>
        <w:t>were spiked with 50 MCF7 cells</w:t>
      </w:r>
      <w:r w:rsidRPr="00657B87">
        <w:rPr>
          <w:rFonts w:ascii="Arial" w:hAnsi="Arial" w:cs="Arial"/>
        </w:rPr>
        <w:t xml:space="preserve">. All samples were processed </w:t>
      </w:r>
      <w:r w:rsidR="00952D91">
        <w:rPr>
          <w:rFonts w:ascii="Arial" w:hAnsi="Arial" w:cs="Arial"/>
        </w:rPr>
        <w:t xml:space="preserve">as per the test workflow for detection of </w:t>
      </w:r>
      <w:r w:rsidR="00F47CBB">
        <w:rPr>
          <w:rFonts w:ascii="Arial" w:hAnsi="Arial" w:cs="Arial"/>
        </w:rPr>
        <w:t>EpCAM+</w:t>
      </w:r>
      <w:r w:rsidR="006308FD">
        <w:rPr>
          <w:rFonts w:ascii="Arial" w:hAnsi="Arial" w:cs="Arial"/>
        </w:rPr>
        <w:t xml:space="preserve"> </w:t>
      </w:r>
      <w:r w:rsidR="00952D91">
        <w:rPr>
          <w:rFonts w:ascii="Arial" w:hAnsi="Arial" w:cs="Arial"/>
        </w:rPr>
        <w:t>cells</w:t>
      </w:r>
      <w:r w:rsidRPr="00657B87">
        <w:rPr>
          <w:rFonts w:ascii="Arial" w:hAnsi="Arial" w:cs="Arial"/>
        </w:rPr>
        <w:t>.</w:t>
      </w:r>
      <w:r w:rsidR="006308FD">
        <w:rPr>
          <w:rFonts w:ascii="Arial" w:hAnsi="Arial" w:cs="Arial"/>
        </w:rPr>
        <w:t xml:space="preserve"> The prespecified acceptance criteria were &gt;90% positive percent agreement (PPA) and &gt;95% negative percent agreement (NPA). </w:t>
      </w:r>
      <w:r w:rsidR="00F47CBB">
        <w:rPr>
          <w:rFonts w:ascii="Arial" w:hAnsi="Arial" w:cs="Arial"/>
        </w:rPr>
        <w:t>EpCAM+</w:t>
      </w:r>
      <w:r w:rsidR="00952D91">
        <w:rPr>
          <w:rFonts w:ascii="Arial" w:hAnsi="Arial" w:cs="Arial"/>
        </w:rPr>
        <w:t xml:space="preserve"> cells were detected in all spiked specimens</w:t>
      </w:r>
      <w:r w:rsidR="006308FD">
        <w:rPr>
          <w:rFonts w:ascii="Arial" w:hAnsi="Arial" w:cs="Arial"/>
        </w:rPr>
        <w:t xml:space="preserve"> (n = 20)</w:t>
      </w:r>
      <w:r w:rsidR="00952D91">
        <w:rPr>
          <w:rFonts w:ascii="Arial" w:hAnsi="Arial" w:cs="Arial"/>
        </w:rPr>
        <w:t>, while no marker-positive cells were detected in unspiked specimens</w:t>
      </w:r>
      <w:r w:rsidR="006308FD">
        <w:rPr>
          <w:rFonts w:ascii="Arial" w:hAnsi="Arial" w:cs="Arial"/>
        </w:rPr>
        <w:t xml:space="preserve"> (n = 15)</w:t>
      </w:r>
      <w:r w:rsidR="00952D91">
        <w:rPr>
          <w:rFonts w:ascii="Arial" w:hAnsi="Arial" w:cs="Arial"/>
        </w:rPr>
        <w:t xml:space="preserve">. Based on this, the test had a PPA of 100% (95% CI: </w:t>
      </w:r>
      <w:r w:rsidR="00952D91" w:rsidRPr="00952D91">
        <w:rPr>
          <w:rFonts w:ascii="Arial" w:hAnsi="Arial" w:cs="Arial"/>
        </w:rPr>
        <w:t>83.16%</w:t>
      </w:r>
      <w:r w:rsidR="00952D91">
        <w:rPr>
          <w:rFonts w:ascii="Arial" w:hAnsi="Arial" w:cs="Arial"/>
        </w:rPr>
        <w:t>,</w:t>
      </w:r>
      <w:r w:rsidR="00952D91" w:rsidRPr="00952D91">
        <w:rPr>
          <w:rFonts w:ascii="Arial" w:hAnsi="Arial" w:cs="Arial"/>
        </w:rPr>
        <w:t xml:space="preserve"> 100.00%</w:t>
      </w:r>
      <w:r w:rsidR="00952D91">
        <w:rPr>
          <w:rFonts w:ascii="Arial" w:hAnsi="Arial" w:cs="Arial"/>
        </w:rPr>
        <w:t xml:space="preserve">), NPA of 100% (95% CI: </w:t>
      </w:r>
      <w:r w:rsidR="00952D91" w:rsidRPr="00952D91">
        <w:rPr>
          <w:rFonts w:ascii="Arial" w:hAnsi="Arial" w:cs="Arial"/>
        </w:rPr>
        <w:t>78.20%</w:t>
      </w:r>
      <w:r w:rsidR="00952D91">
        <w:rPr>
          <w:rFonts w:ascii="Arial" w:hAnsi="Arial" w:cs="Arial"/>
        </w:rPr>
        <w:t>,</w:t>
      </w:r>
      <w:r w:rsidR="00952D91" w:rsidRPr="00952D91">
        <w:rPr>
          <w:rFonts w:ascii="Arial" w:hAnsi="Arial" w:cs="Arial"/>
        </w:rPr>
        <w:t xml:space="preserve"> 100.00%</w:t>
      </w:r>
      <w:r w:rsidR="00952D91">
        <w:rPr>
          <w:rFonts w:ascii="Arial" w:hAnsi="Arial" w:cs="Arial"/>
        </w:rPr>
        <w:t>), and overall agreement of 100% (95% CI:</w:t>
      </w:r>
      <w:r w:rsidR="00952D91" w:rsidRPr="00952D91">
        <w:t xml:space="preserve"> </w:t>
      </w:r>
      <w:r w:rsidR="00952D91" w:rsidRPr="00952D91">
        <w:rPr>
          <w:rFonts w:ascii="Arial" w:hAnsi="Arial" w:cs="Arial"/>
        </w:rPr>
        <w:t>90.00%</w:t>
      </w:r>
      <w:r w:rsidR="00952D91">
        <w:rPr>
          <w:rFonts w:ascii="Arial" w:hAnsi="Arial" w:cs="Arial"/>
        </w:rPr>
        <w:t>,</w:t>
      </w:r>
      <w:r w:rsidR="00952D91" w:rsidRPr="00952D91">
        <w:rPr>
          <w:rFonts w:ascii="Arial" w:hAnsi="Arial" w:cs="Arial"/>
        </w:rPr>
        <w:t xml:space="preserve"> 100.00%</w:t>
      </w:r>
      <w:r w:rsidR="00952D91">
        <w:rPr>
          <w:rFonts w:ascii="Arial" w:hAnsi="Arial" w:cs="Arial"/>
        </w:rPr>
        <w:t>).</w:t>
      </w:r>
    </w:p>
    <w:p w14:paraId="62FE3F1D" w14:textId="0815506C" w:rsidR="00657B87" w:rsidRDefault="00B07CEB" w:rsidP="00104726">
      <w:pPr>
        <w:spacing w:after="0" w:line="360" w:lineRule="auto"/>
        <w:jc w:val="both"/>
        <w:rPr>
          <w:rFonts w:ascii="Arial" w:hAnsi="Arial" w:cs="Arial"/>
        </w:rPr>
      </w:pPr>
      <w:r>
        <w:rPr>
          <w:rFonts w:ascii="Arial" w:hAnsi="Arial" w:cs="Arial"/>
          <w:b/>
          <w:bCs/>
        </w:rPr>
        <w:t>Precision</w:t>
      </w:r>
      <w:r w:rsidR="006308FD">
        <w:rPr>
          <w:rFonts w:ascii="Arial" w:hAnsi="Arial" w:cs="Arial"/>
          <w:b/>
          <w:bCs/>
        </w:rPr>
        <w:t>:</w:t>
      </w:r>
      <w:r w:rsidR="006308FD">
        <w:rPr>
          <w:rFonts w:ascii="Arial" w:hAnsi="Arial" w:cs="Arial"/>
        </w:rPr>
        <w:t xml:space="preserve"> Precision was established using contrived specimens. generated using MCF7 </w:t>
      </w:r>
      <w:r w:rsidR="00B37533">
        <w:rPr>
          <w:rFonts w:ascii="Arial" w:hAnsi="Arial" w:cs="Arial"/>
        </w:rPr>
        <w:t>(</w:t>
      </w:r>
      <w:r w:rsidR="006308FD">
        <w:rPr>
          <w:rFonts w:ascii="Arial" w:hAnsi="Arial" w:cs="Arial"/>
        </w:rPr>
        <w:t>breast cancer</w:t>
      </w:r>
      <w:r w:rsidR="00B37533">
        <w:rPr>
          <w:rFonts w:ascii="Arial" w:hAnsi="Arial" w:cs="Arial"/>
        </w:rPr>
        <w:t>)</w:t>
      </w:r>
      <w:r w:rsidR="006308FD">
        <w:rPr>
          <w:rFonts w:ascii="Arial" w:hAnsi="Arial" w:cs="Arial"/>
        </w:rPr>
        <w:t xml:space="preserve"> cell line that shows consistent high EpCAM positivity. HD peripheral blood pool was used for this study. HD blood samples (5 mL) were spiked with MCF7 cells to generate positive samples, while unspiked HD blood aliquots (5 mL) were used as negative samples. </w:t>
      </w:r>
      <w:r w:rsidR="006308FD" w:rsidRPr="00657B87">
        <w:rPr>
          <w:rFonts w:ascii="Arial" w:hAnsi="Arial" w:cs="Arial"/>
        </w:rPr>
        <w:t xml:space="preserve">All samples were processed </w:t>
      </w:r>
      <w:r w:rsidR="006308FD">
        <w:rPr>
          <w:rFonts w:ascii="Arial" w:hAnsi="Arial" w:cs="Arial"/>
        </w:rPr>
        <w:t xml:space="preserve">as per the test workflow for detection of </w:t>
      </w:r>
      <w:r w:rsidR="00F47CBB">
        <w:rPr>
          <w:rFonts w:ascii="Arial" w:hAnsi="Arial" w:cs="Arial"/>
        </w:rPr>
        <w:t>EpCAM+</w:t>
      </w:r>
      <w:r w:rsidR="006308FD">
        <w:rPr>
          <w:rFonts w:ascii="Arial" w:hAnsi="Arial" w:cs="Arial"/>
        </w:rPr>
        <w:t xml:space="preserve"> cells</w:t>
      </w:r>
      <w:r w:rsidR="006308FD" w:rsidRPr="00657B87">
        <w:rPr>
          <w:rFonts w:ascii="Arial" w:hAnsi="Arial" w:cs="Arial"/>
        </w:rPr>
        <w:t>.</w:t>
      </w:r>
      <w:r w:rsidR="006308FD">
        <w:rPr>
          <w:rFonts w:ascii="Arial" w:hAnsi="Arial" w:cs="Arial"/>
        </w:rPr>
        <w:t xml:space="preserve"> A total of </w:t>
      </w:r>
      <w:r w:rsidR="00753B1F">
        <w:rPr>
          <w:rFonts w:ascii="Arial" w:hAnsi="Arial" w:cs="Arial"/>
        </w:rPr>
        <w:t>77</w:t>
      </w:r>
      <w:r w:rsidR="006308FD">
        <w:rPr>
          <w:rFonts w:ascii="Arial" w:hAnsi="Arial" w:cs="Arial"/>
        </w:rPr>
        <w:t xml:space="preserve"> positive samples and </w:t>
      </w:r>
      <w:r w:rsidR="00753B1F">
        <w:rPr>
          <w:rFonts w:ascii="Arial" w:hAnsi="Arial" w:cs="Arial"/>
        </w:rPr>
        <w:t>77</w:t>
      </w:r>
      <w:r w:rsidR="006308FD">
        <w:rPr>
          <w:rFonts w:ascii="Arial" w:hAnsi="Arial" w:cs="Arial"/>
        </w:rPr>
        <w:t xml:space="preserve"> negative samples were processed by 2 operators, over &gt;20 days on a single instrument. Precision was established from the PPA and NPA in positive and negative samples respectively. The prespecified acceptance criteria were &gt;95% PPA and &gt;99% NPA. </w:t>
      </w:r>
      <w:r w:rsidR="00F47CBB">
        <w:rPr>
          <w:rFonts w:ascii="Arial" w:hAnsi="Arial" w:cs="Arial"/>
        </w:rPr>
        <w:t>EpCAM+</w:t>
      </w:r>
      <w:r w:rsidR="006308FD">
        <w:rPr>
          <w:rFonts w:ascii="Arial" w:hAnsi="Arial" w:cs="Arial"/>
        </w:rPr>
        <w:t xml:space="preserve"> cells were detected in </w:t>
      </w:r>
      <w:r w:rsidR="00753B1F">
        <w:rPr>
          <w:rFonts w:ascii="Arial" w:hAnsi="Arial" w:cs="Arial"/>
        </w:rPr>
        <w:t>all 77</w:t>
      </w:r>
      <w:r w:rsidR="006308FD">
        <w:rPr>
          <w:rFonts w:ascii="Arial" w:hAnsi="Arial" w:cs="Arial"/>
        </w:rPr>
        <w:t xml:space="preserve"> positive samples yielding a PPA of </w:t>
      </w:r>
      <w:r w:rsidR="001C1E4B">
        <w:rPr>
          <w:rFonts w:ascii="Arial" w:hAnsi="Arial" w:cs="Arial"/>
        </w:rPr>
        <w:t>100</w:t>
      </w:r>
      <w:r w:rsidR="006308FD">
        <w:rPr>
          <w:rFonts w:ascii="Arial" w:hAnsi="Arial" w:cs="Arial"/>
        </w:rPr>
        <w:t xml:space="preserve">% (95% CI: </w:t>
      </w:r>
      <w:r w:rsidR="001C1E4B">
        <w:rPr>
          <w:rFonts w:ascii="Arial" w:hAnsi="Arial" w:cs="Arial"/>
        </w:rPr>
        <w:t>95.32</w:t>
      </w:r>
      <w:r w:rsidR="006308FD">
        <w:rPr>
          <w:rFonts w:ascii="Arial" w:hAnsi="Arial" w:cs="Arial"/>
        </w:rPr>
        <w:t xml:space="preserve">%, </w:t>
      </w:r>
      <w:r w:rsidR="001C1E4B">
        <w:rPr>
          <w:rFonts w:ascii="Arial" w:hAnsi="Arial" w:cs="Arial"/>
        </w:rPr>
        <w:t>100</w:t>
      </w:r>
      <w:r w:rsidR="006308FD">
        <w:rPr>
          <w:rFonts w:ascii="Arial" w:hAnsi="Arial" w:cs="Arial"/>
        </w:rPr>
        <w:t xml:space="preserve">%). </w:t>
      </w:r>
      <w:r w:rsidR="00F47CBB">
        <w:rPr>
          <w:rFonts w:ascii="Arial" w:hAnsi="Arial" w:cs="Arial"/>
        </w:rPr>
        <w:t>EpCAM+</w:t>
      </w:r>
      <w:r w:rsidR="006308FD">
        <w:rPr>
          <w:rFonts w:ascii="Arial" w:hAnsi="Arial" w:cs="Arial"/>
        </w:rPr>
        <w:t xml:space="preserve"> cells were undetectable in </w:t>
      </w:r>
      <w:r w:rsidR="00753B1F">
        <w:rPr>
          <w:rFonts w:ascii="Arial" w:hAnsi="Arial" w:cs="Arial"/>
        </w:rPr>
        <w:t xml:space="preserve">all 77 </w:t>
      </w:r>
      <w:r w:rsidR="006308FD">
        <w:rPr>
          <w:rFonts w:ascii="Arial" w:hAnsi="Arial" w:cs="Arial"/>
        </w:rPr>
        <w:t xml:space="preserve">negative samples yielding a NPA of </w:t>
      </w:r>
      <w:r w:rsidR="001C1E4B">
        <w:rPr>
          <w:rFonts w:ascii="Arial" w:hAnsi="Arial" w:cs="Arial"/>
        </w:rPr>
        <w:t>100</w:t>
      </w:r>
      <w:r w:rsidR="006308FD">
        <w:rPr>
          <w:rFonts w:ascii="Arial" w:hAnsi="Arial" w:cs="Arial"/>
        </w:rPr>
        <w:t xml:space="preserve">% (95% CI: </w:t>
      </w:r>
      <w:r w:rsidR="001C1E4B">
        <w:rPr>
          <w:rFonts w:ascii="Arial" w:hAnsi="Arial" w:cs="Arial"/>
        </w:rPr>
        <w:t>95.32%, 100%</w:t>
      </w:r>
      <w:r w:rsidR="006308FD">
        <w:rPr>
          <w:rFonts w:ascii="Arial" w:hAnsi="Arial" w:cs="Arial"/>
        </w:rPr>
        <w:t>).</w:t>
      </w:r>
    </w:p>
    <w:p w14:paraId="0CCA6671" w14:textId="01F58DB1" w:rsidR="00CE6A67" w:rsidRPr="00CE6A67" w:rsidRDefault="00CE6A67" w:rsidP="00104726">
      <w:pPr>
        <w:spacing w:after="0" w:line="360" w:lineRule="auto"/>
        <w:jc w:val="both"/>
        <w:rPr>
          <w:rFonts w:ascii="Arial" w:hAnsi="Arial" w:cs="Arial"/>
        </w:rPr>
      </w:pPr>
      <w:r>
        <w:rPr>
          <w:rFonts w:ascii="Arial" w:hAnsi="Arial" w:cs="Arial"/>
          <w:b/>
          <w:bCs/>
        </w:rPr>
        <w:t xml:space="preserve">Specificity: </w:t>
      </w:r>
      <w:r>
        <w:rPr>
          <w:rFonts w:ascii="Arial" w:hAnsi="Arial" w:cs="Arial"/>
        </w:rPr>
        <w:t xml:space="preserve">The Specificity of the test was established using contrived specimens. generated using </w:t>
      </w:r>
      <w:r w:rsidRPr="00CE6A67">
        <w:rPr>
          <w:rFonts w:ascii="Arial" w:hAnsi="Arial" w:cs="Arial"/>
        </w:rPr>
        <w:t>SJCRH30</w:t>
      </w:r>
      <w:r>
        <w:rPr>
          <w:rFonts w:ascii="Arial" w:hAnsi="Arial" w:cs="Arial"/>
        </w:rPr>
        <w:t xml:space="preserve">, </w:t>
      </w:r>
      <w:r w:rsidRPr="00CE6A67">
        <w:rPr>
          <w:rFonts w:ascii="Arial" w:hAnsi="Arial" w:cs="Arial"/>
        </w:rPr>
        <w:t>U87</w:t>
      </w:r>
      <w:r>
        <w:rPr>
          <w:rFonts w:ascii="Arial" w:hAnsi="Arial" w:cs="Arial"/>
        </w:rPr>
        <w:t xml:space="preserve">MG, and </w:t>
      </w:r>
      <w:r w:rsidRPr="00CE6A67">
        <w:rPr>
          <w:rFonts w:ascii="Arial" w:hAnsi="Arial" w:cs="Arial"/>
        </w:rPr>
        <w:t>A</w:t>
      </w:r>
      <w:r>
        <w:rPr>
          <w:rFonts w:ascii="Arial" w:hAnsi="Arial" w:cs="Arial"/>
        </w:rPr>
        <w:t xml:space="preserve">375 cells that show consistent negative status for EpCAM. HD peripheral blood pool was used for this study. HD blood samples (5 mL) were spiked with 5, 10, 50, 100, and 200 of each type of cells (multiple replicates). </w:t>
      </w:r>
      <w:r w:rsidRPr="00657B87">
        <w:rPr>
          <w:rFonts w:ascii="Arial" w:hAnsi="Arial" w:cs="Arial"/>
        </w:rPr>
        <w:t xml:space="preserve">All samples were processed </w:t>
      </w:r>
      <w:r>
        <w:rPr>
          <w:rFonts w:ascii="Arial" w:hAnsi="Arial" w:cs="Arial"/>
        </w:rPr>
        <w:t xml:space="preserve">as per the test workflow for detection of </w:t>
      </w:r>
      <w:r w:rsidR="00F47CBB">
        <w:rPr>
          <w:rFonts w:ascii="Arial" w:hAnsi="Arial" w:cs="Arial"/>
        </w:rPr>
        <w:t>EpCAM+</w:t>
      </w:r>
      <w:r>
        <w:rPr>
          <w:rFonts w:ascii="Arial" w:hAnsi="Arial" w:cs="Arial"/>
        </w:rPr>
        <w:t xml:space="preserve"> cells</w:t>
      </w:r>
      <w:r w:rsidRPr="00657B87">
        <w:rPr>
          <w:rFonts w:ascii="Arial" w:hAnsi="Arial" w:cs="Arial"/>
        </w:rPr>
        <w:t>.</w:t>
      </w:r>
      <w:r>
        <w:rPr>
          <w:rFonts w:ascii="Arial" w:hAnsi="Arial" w:cs="Arial"/>
        </w:rPr>
        <w:t xml:space="preserve"> Specificity was established from the NPA. The prespecified acceptance </w:t>
      </w:r>
      <w:r>
        <w:rPr>
          <w:rFonts w:ascii="Arial" w:hAnsi="Arial" w:cs="Arial"/>
        </w:rPr>
        <w:lastRenderedPageBreak/>
        <w:t xml:space="preserve">criteria was &gt;99% NPA. </w:t>
      </w:r>
      <w:r w:rsidR="00F47CBB">
        <w:rPr>
          <w:rFonts w:ascii="Arial" w:hAnsi="Arial" w:cs="Arial"/>
        </w:rPr>
        <w:t>EpCAM+</w:t>
      </w:r>
      <w:r>
        <w:rPr>
          <w:rFonts w:ascii="Arial" w:hAnsi="Arial" w:cs="Arial"/>
        </w:rPr>
        <w:t xml:space="preserve"> cells were undetectable in all samples yielding 100% NPA. </w:t>
      </w:r>
    </w:p>
    <w:p w14:paraId="1069DDCC" w14:textId="65D4138E" w:rsidR="006E4BE0" w:rsidRDefault="00195A94" w:rsidP="00104726">
      <w:pPr>
        <w:spacing w:after="0" w:line="360" w:lineRule="auto"/>
        <w:jc w:val="both"/>
        <w:rPr>
          <w:rFonts w:ascii="Arial" w:hAnsi="Arial" w:cs="Arial"/>
        </w:rPr>
      </w:pPr>
      <w:r w:rsidRPr="00195A94">
        <w:rPr>
          <w:rFonts w:ascii="Arial" w:hAnsi="Arial" w:cs="Arial"/>
          <w:b/>
          <w:bCs/>
        </w:rPr>
        <w:t>Limit of Blank</w:t>
      </w:r>
      <w:r w:rsidR="006E4BE0">
        <w:rPr>
          <w:rFonts w:ascii="Arial" w:hAnsi="Arial" w:cs="Arial"/>
          <w:b/>
          <w:bCs/>
        </w:rPr>
        <w:t xml:space="preserve"> (</w:t>
      </w:r>
      <w:proofErr w:type="spellStart"/>
      <w:r w:rsidR="006E4BE0">
        <w:rPr>
          <w:rFonts w:ascii="Arial" w:hAnsi="Arial" w:cs="Arial"/>
          <w:b/>
          <w:bCs/>
        </w:rPr>
        <w:t>LoB</w:t>
      </w:r>
      <w:proofErr w:type="spellEnd"/>
      <w:r w:rsidR="006E4BE0">
        <w:rPr>
          <w:rFonts w:ascii="Arial" w:hAnsi="Arial" w:cs="Arial"/>
          <w:b/>
          <w:bCs/>
        </w:rPr>
        <w:t>)</w:t>
      </w:r>
      <w:r>
        <w:rPr>
          <w:rFonts w:ascii="Arial" w:hAnsi="Arial" w:cs="Arial"/>
          <w:b/>
          <w:bCs/>
        </w:rPr>
        <w:t>:</w:t>
      </w:r>
      <w:r>
        <w:rPr>
          <w:rFonts w:ascii="Arial" w:hAnsi="Arial" w:cs="Arial"/>
        </w:rPr>
        <w:t xml:space="preserve"> The Limit of blank of the test was established using HD blood samples from </w:t>
      </w:r>
      <w:r w:rsidR="00FF7366">
        <w:rPr>
          <w:rFonts w:ascii="Arial" w:hAnsi="Arial" w:cs="Arial"/>
        </w:rPr>
        <w:t>1</w:t>
      </w:r>
      <w:r w:rsidR="00D72000">
        <w:rPr>
          <w:rFonts w:ascii="Arial" w:hAnsi="Arial" w:cs="Arial"/>
        </w:rPr>
        <w:t>0</w:t>
      </w:r>
      <w:r>
        <w:rPr>
          <w:rFonts w:ascii="Arial" w:hAnsi="Arial" w:cs="Arial"/>
        </w:rPr>
        <w:t xml:space="preserve"> volunteers (</w:t>
      </w:r>
      <w:r w:rsidR="00D72000" w:rsidRPr="00D72000">
        <w:rPr>
          <w:rFonts w:ascii="Arial" w:hAnsi="Arial" w:cs="Arial"/>
        </w:rPr>
        <w:t xml:space="preserve">5 </w:t>
      </w:r>
      <w:r w:rsidRPr="00D72000">
        <w:rPr>
          <w:rFonts w:ascii="Arial" w:hAnsi="Arial" w:cs="Arial"/>
        </w:rPr>
        <w:t xml:space="preserve">male, </w:t>
      </w:r>
      <w:r w:rsidR="00D72000" w:rsidRPr="00D72000">
        <w:rPr>
          <w:rFonts w:ascii="Arial" w:hAnsi="Arial" w:cs="Arial"/>
        </w:rPr>
        <w:t xml:space="preserve">5 </w:t>
      </w:r>
      <w:r w:rsidRPr="00D72000">
        <w:rPr>
          <w:rFonts w:ascii="Arial" w:hAnsi="Arial" w:cs="Arial"/>
        </w:rPr>
        <w:t>female;</w:t>
      </w:r>
      <w:r w:rsidR="00D72000">
        <w:rPr>
          <w:rFonts w:ascii="Arial" w:hAnsi="Arial" w:cs="Arial"/>
        </w:rPr>
        <w:t xml:space="preserve"> </w:t>
      </w:r>
      <w:r w:rsidR="00D72000" w:rsidRPr="00D72000">
        <w:rPr>
          <w:rFonts w:ascii="Arial" w:hAnsi="Arial" w:cs="Arial"/>
        </w:rPr>
        <w:t>age range 39-56 years</w:t>
      </w:r>
      <w:r w:rsidRPr="00D72000">
        <w:rPr>
          <w:rFonts w:ascii="Arial" w:hAnsi="Arial" w:cs="Arial"/>
        </w:rPr>
        <w:t>)</w:t>
      </w:r>
      <w:r>
        <w:rPr>
          <w:rFonts w:ascii="Arial" w:hAnsi="Arial" w:cs="Arial"/>
        </w:rPr>
        <w:t xml:space="preserve"> with no prior diagnosis of cancer and no current suspicion of cancer. 5 mL blood samples were collected and </w:t>
      </w:r>
      <w:r w:rsidRPr="00657B87">
        <w:rPr>
          <w:rFonts w:ascii="Arial" w:hAnsi="Arial" w:cs="Arial"/>
        </w:rPr>
        <w:t xml:space="preserve">processed </w:t>
      </w:r>
      <w:r>
        <w:rPr>
          <w:rFonts w:ascii="Arial" w:hAnsi="Arial" w:cs="Arial"/>
        </w:rPr>
        <w:t xml:space="preserve">as per the test workflow for detection of </w:t>
      </w:r>
      <w:r w:rsidR="00F47CBB">
        <w:rPr>
          <w:rFonts w:ascii="Arial" w:hAnsi="Arial" w:cs="Arial"/>
        </w:rPr>
        <w:t>EpCAM+</w:t>
      </w:r>
      <w:r>
        <w:rPr>
          <w:rFonts w:ascii="Arial" w:hAnsi="Arial" w:cs="Arial"/>
        </w:rPr>
        <w:t xml:space="preserve"> cells</w:t>
      </w:r>
      <w:r w:rsidRPr="00657B87">
        <w:rPr>
          <w:rFonts w:ascii="Arial" w:hAnsi="Arial" w:cs="Arial"/>
        </w:rPr>
        <w:t>.</w:t>
      </w:r>
      <w:r w:rsidRPr="00195A94">
        <w:rPr>
          <w:rFonts w:ascii="Arial" w:hAnsi="Arial" w:cs="Arial"/>
        </w:rPr>
        <w:t xml:space="preserve"> </w:t>
      </w:r>
      <w:r>
        <w:rPr>
          <w:rFonts w:ascii="Arial" w:hAnsi="Arial" w:cs="Arial"/>
        </w:rPr>
        <w:t xml:space="preserve">The Limit of Blank for qualitative determination was established from the NPA in the known negative samples. The prespecified acceptance criteria was &gt;99% NPA. </w:t>
      </w:r>
      <w:r w:rsidR="00F47CBB">
        <w:rPr>
          <w:rFonts w:ascii="Arial" w:hAnsi="Arial" w:cs="Arial"/>
        </w:rPr>
        <w:t>EpCAM+</w:t>
      </w:r>
      <w:r>
        <w:rPr>
          <w:rFonts w:ascii="Arial" w:hAnsi="Arial" w:cs="Arial"/>
        </w:rPr>
        <w:t xml:space="preserve"> cells were undetectable in </w:t>
      </w:r>
      <w:r w:rsidR="00FF7366">
        <w:rPr>
          <w:rFonts w:ascii="Arial" w:hAnsi="Arial" w:cs="Arial"/>
        </w:rPr>
        <w:t xml:space="preserve">all </w:t>
      </w:r>
      <w:r>
        <w:rPr>
          <w:rFonts w:ascii="Arial" w:hAnsi="Arial" w:cs="Arial"/>
        </w:rPr>
        <w:t xml:space="preserve">negative samples yielding </w:t>
      </w:r>
      <w:r w:rsidR="00FF7366">
        <w:rPr>
          <w:rFonts w:ascii="Arial" w:hAnsi="Arial" w:cs="Arial"/>
        </w:rPr>
        <w:t xml:space="preserve">NPA of </w:t>
      </w:r>
      <w:r w:rsidR="00FF7366" w:rsidRPr="002511A2">
        <w:rPr>
          <w:rFonts w:ascii="Arial" w:hAnsi="Arial" w:cs="Arial"/>
        </w:rPr>
        <w:t>100% (95% CI: 78.20%, 100.00%)</w:t>
      </w:r>
      <w:r w:rsidRPr="002511A2">
        <w:rPr>
          <w:rFonts w:ascii="Arial" w:hAnsi="Arial" w:cs="Arial"/>
        </w:rPr>
        <w:t>.</w:t>
      </w:r>
    </w:p>
    <w:p w14:paraId="4DC7EC30" w14:textId="448E6057" w:rsidR="006308FD" w:rsidRDefault="006E4BE0" w:rsidP="00104726">
      <w:pPr>
        <w:spacing w:after="0" w:line="360" w:lineRule="auto"/>
        <w:jc w:val="both"/>
        <w:rPr>
          <w:rFonts w:ascii="Arial" w:hAnsi="Arial" w:cs="Arial"/>
        </w:rPr>
      </w:pPr>
      <w:r w:rsidRPr="00195A94">
        <w:rPr>
          <w:rFonts w:ascii="Arial" w:hAnsi="Arial" w:cs="Arial"/>
          <w:b/>
          <w:bCs/>
        </w:rPr>
        <w:t xml:space="preserve">Limit of </w:t>
      </w:r>
      <w:r>
        <w:rPr>
          <w:rFonts w:ascii="Arial" w:hAnsi="Arial" w:cs="Arial"/>
          <w:b/>
          <w:bCs/>
        </w:rPr>
        <w:t>Detection (</w:t>
      </w:r>
      <w:proofErr w:type="spellStart"/>
      <w:r>
        <w:rPr>
          <w:rFonts w:ascii="Arial" w:hAnsi="Arial" w:cs="Arial"/>
          <w:b/>
          <w:bCs/>
        </w:rPr>
        <w:t>LoD</w:t>
      </w:r>
      <w:proofErr w:type="spellEnd"/>
      <w:r>
        <w:rPr>
          <w:rFonts w:ascii="Arial" w:hAnsi="Arial" w:cs="Arial"/>
          <w:b/>
          <w:bCs/>
        </w:rPr>
        <w:t>):</w:t>
      </w:r>
      <w:r>
        <w:rPr>
          <w:rFonts w:ascii="Arial" w:hAnsi="Arial" w:cs="Arial"/>
        </w:rPr>
        <w:t xml:space="preserve"> The Limit of detection of the test was established using contrived specimens. generated using </w:t>
      </w:r>
      <w:r w:rsidRPr="006E4BE0">
        <w:rPr>
          <w:rFonts w:ascii="Arial" w:hAnsi="Arial" w:cs="Arial"/>
        </w:rPr>
        <w:t>MCF7 (Breast Cancer)</w:t>
      </w:r>
      <w:r>
        <w:rPr>
          <w:rFonts w:ascii="Arial" w:hAnsi="Arial" w:cs="Arial"/>
        </w:rPr>
        <w:t xml:space="preserve">, </w:t>
      </w:r>
      <w:r w:rsidRPr="006E4BE0">
        <w:rPr>
          <w:rFonts w:ascii="Arial" w:hAnsi="Arial" w:cs="Arial"/>
        </w:rPr>
        <w:t>SW620 (Colon Cancer)</w:t>
      </w:r>
      <w:r>
        <w:rPr>
          <w:rFonts w:ascii="Arial" w:hAnsi="Arial" w:cs="Arial"/>
        </w:rPr>
        <w:t xml:space="preserve">, </w:t>
      </w:r>
      <w:r w:rsidRPr="006E4BE0">
        <w:rPr>
          <w:rFonts w:ascii="Arial" w:hAnsi="Arial" w:cs="Arial"/>
        </w:rPr>
        <w:t>PL45 (Pancreatic Cancer)</w:t>
      </w:r>
      <w:r>
        <w:rPr>
          <w:rFonts w:ascii="Arial" w:hAnsi="Arial" w:cs="Arial"/>
        </w:rPr>
        <w:t xml:space="preserve">, </w:t>
      </w:r>
      <w:r w:rsidRPr="006E4BE0">
        <w:rPr>
          <w:rFonts w:ascii="Arial" w:hAnsi="Arial" w:cs="Arial"/>
        </w:rPr>
        <w:t>OVCAR3 (Ovarian Cance</w:t>
      </w:r>
      <w:r>
        <w:rPr>
          <w:rFonts w:ascii="Arial" w:hAnsi="Arial" w:cs="Arial"/>
        </w:rPr>
        <w:t>r</w:t>
      </w:r>
      <w:r w:rsidRPr="006E4BE0">
        <w:rPr>
          <w:rFonts w:ascii="Arial" w:hAnsi="Arial" w:cs="Arial"/>
        </w:rPr>
        <w:t>)</w:t>
      </w:r>
      <w:r>
        <w:rPr>
          <w:rFonts w:ascii="Arial" w:hAnsi="Arial" w:cs="Arial"/>
        </w:rPr>
        <w:t xml:space="preserve">, </w:t>
      </w:r>
      <w:r w:rsidRPr="006E4BE0">
        <w:rPr>
          <w:rFonts w:ascii="Arial" w:hAnsi="Arial" w:cs="Arial"/>
        </w:rPr>
        <w:t>PC3 (Prostate Cancer</w:t>
      </w:r>
      <w:r>
        <w:rPr>
          <w:rFonts w:ascii="Arial" w:hAnsi="Arial" w:cs="Arial"/>
        </w:rPr>
        <w:t xml:space="preserve">) cell lines that show consistent high EpCAM positivity. HD peripheral blood pool was used for this study. HD blood samples (5 mL) were spiked with </w:t>
      </w:r>
      <w:r w:rsidR="00CE6A67">
        <w:rPr>
          <w:rFonts w:ascii="Arial" w:hAnsi="Arial" w:cs="Arial"/>
        </w:rPr>
        <w:t xml:space="preserve">each type of cell lines at 1, 2, 5, 10, 50 and 100 cells with multiple replicates per spike level. All </w:t>
      </w:r>
      <w:r>
        <w:rPr>
          <w:rFonts w:ascii="Arial" w:hAnsi="Arial" w:cs="Arial"/>
        </w:rPr>
        <w:t xml:space="preserve">samples were </w:t>
      </w:r>
      <w:r w:rsidRPr="00657B87">
        <w:rPr>
          <w:rFonts w:ascii="Arial" w:hAnsi="Arial" w:cs="Arial"/>
        </w:rPr>
        <w:t xml:space="preserve">processed </w:t>
      </w:r>
      <w:r>
        <w:rPr>
          <w:rFonts w:ascii="Arial" w:hAnsi="Arial" w:cs="Arial"/>
        </w:rPr>
        <w:t xml:space="preserve">as per the test workflow for detection of </w:t>
      </w:r>
      <w:r w:rsidR="00F47CBB">
        <w:rPr>
          <w:rFonts w:ascii="Arial" w:hAnsi="Arial" w:cs="Arial"/>
        </w:rPr>
        <w:t>EpCAM+</w:t>
      </w:r>
      <w:r>
        <w:rPr>
          <w:rFonts w:ascii="Arial" w:hAnsi="Arial" w:cs="Arial"/>
        </w:rPr>
        <w:t xml:space="preserve"> cells</w:t>
      </w:r>
      <w:r w:rsidRPr="00657B87">
        <w:rPr>
          <w:rFonts w:ascii="Arial" w:hAnsi="Arial" w:cs="Arial"/>
        </w:rPr>
        <w:t>.</w:t>
      </w:r>
      <w:r w:rsidRPr="00195A94">
        <w:rPr>
          <w:rFonts w:ascii="Arial" w:hAnsi="Arial" w:cs="Arial"/>
        </w:rPr>
        <w:t xml:space="preserve"> </w:t>
      </w:r>
      <w:r>
        <w:rPr>
          <w:rFonts w:ascii="Arial" w:hAnsi="Arial" w:cs="Arial"/>
        </w:rPr>
        <w:t xml:space="preserve">The </w:t>
      </w:r>
      <w:proofErr w:type="spellStart"/>
      <w:r w:rsidR="00CE6A67">
        <w:rPr>
          <w:rFonts w:ascii="Arial" w:hAnsi="Arial" w:cs="Arial"/>
        </w:rPr>
        <w:t>LoD</w:t>
      </w:r>
      <w:proofErr w:type="spellEnd"/>
      <w:r w:rsidR="00CE6A67">
        <w:rPr>
          <w:rFonts w:ascii="Arial" w:hAnsi="Arial" w:cs="Arial"/>
        </w:rPr>
        <w:t xml:space="preserve"> was determined as the lowest number of spiked cells that could be detected in at least 50% of the replicates. Based on these criteria, the </w:t>
      </w:r>
      <w:proofErr w:type="spellStart"/>
      <w:r w:rsidR="00CE6A67">
        <w:rPr>
          <w:rFonts w:ascii="Arial" w:hAnsi="Arial" w:cs="Arial"/>
        </w:rPr>
        <w:t>LoD</w:t>
      </w:r>
      <w:proofErr w:type="spellEnd"/>
      <w:r w:rsidR="00CE6A67">
        <w:rPr>
          <w:rFonts w:ascii="Arial" w:hAnsi="Arial" w:cs="Arial"/>
        </w:rPr>
        <w:t xml:space="preserve"> was determined to be 2 cells / mL</w:t>
      </w:r>
      <w:r>
        <w:rPr>
          <w:rFonts w:ascii="Arial" w:hAnsi="Arial" w:cs="Arial"/>
        </w:rPr>
        <w:t>.</w:t>
      </w:r>
    </w:p>
    <w:p w14:paraId="3E6C238E" w14:textId="4DAC7FAC" w:rsidR="00A54C00" w:rsidRPr="00A54C00" w:rsidRDefault="00A54C00" w:rsidP="00104726">
      <w:pPr>
        <w:spacing w:after="0" w:line="360" w:lineRule="auto"/>
        <w:jc w:val="both"/>
        <w:rPr>
          <w:rFonts w:ascii="Arial" w:hAnsi="Arial" w:cs="Arial"/>
        </w:rPr>
      </w:pPr>
      <w:r w:rsidRPr="00A54C00">
        <w:rPr>
          <w:rFonts w:ascii="Arial" w:hAnsi="Arial" w:cs="Arial"/>
        </w:rPr>
        <w:t>The complete analytical validation data</w:t>
      </w:r>
      <w:r w:rsidR="00F65375">
        <w:rPr>
          <w:rFonts w:ascii="Arial" w:hAnsi="Arial" w:cs="Arial"/>
        </w:rPr>
        <w:t>sets</w:t>
      </w:r>
      <w:r w:rsidRPr="00A54C00">
        <w:rPr>
          <w:rFonts w:ascii="Arial" w:hAnsi="Arial" w:cs="Arial"/>
        </w:rPr>
        <w:t xml:space="preserve"> may be obtained from the authors upon request.</w:t>
      </w:r>
    </w:p>
    <w:p w14:paraId="284FF653" w14:textId="77777777" w:rsidR="006308FD" w:rsidRPr="006308FD" w:rsidRDefault="006308FD" w:rsidP="006308FD">
      <w:pPr>
        <w:spacing w:after="0" w:line="360" w:lineRule="auto"/>
        <w:jc w:val="both"/>
        <w:rPr>
          <w:rFonts w:ascii="Arial" w:hAnsi="Arial" w:cs="Arial"/>
          <w:color w:val="000080"/>
        </w:rPr>
      </w:pPr>
    </w:p>
    <w:p w14:paraId="748EFE8A" w14:textId="77777777" w:rsidR="00CE6A67" w:rsidRDefault="00CE6A67" w:rsidP="00657B87">
      <w:pPr>
        <w:jc w:val="both"/>
        <w:rPr>
          <w:rFonts w:ascii="Arial" w:hAnsi="Arial" w:cs="Arial"/>
          <w:b/>
          <w:bCs/>
        </w:rPr>
      </w:pPr>
    </w:p>
    <w:p w14:paraId="570FF85F" w14:textId="77777777" w:rsidR="000E133F" w:rsidRDefault="000E133F">
      <w:pPr>
        <w:spacing w:after="0" w:line="360" w:lineRule="auto"/>
        <w:rPr>
          <w:rFonts w:ascii="Arial" w:hAnsi="Arial" w:cs="Arial"/>
          <w:b/>
          <w:bCs/>
        </w:rPr>
      </w:pPr>
      <w:r>
        <w:rPr>
          <w:rFonts w:ascii="Arial" w:hAnsi="Arial" w:cs="Arial"/>
          <w:b/>
          <w:bCs/>
        </w:rPr>
        <w:br w:type="page"/>
      </w:r>
    </w:p>
    <w:p w14:paraId="1E19CB38" w14:textId="63D44790" w:rsidR="00657B87" w:rsidRPr="00657B87" w:rsidRDefault="00657B87" w:rsidP="00657B87">
      <w:pPr>
        <w:rPr>
          <w:rFonts w:ascii="Arial" w:hAnsi="Arial" w:cs="Arial"/>
          <w:b/>
          <w:bCs/>
        </w:rPr>
      </w:pPr>
      <w:r>
        <w:rPr>
          <w:rFonts w:ascii="Arial" w:hAnsi="Arial" w:cs="Arial"/>
          <w:b/>
          <w:bCs/>
        </w:rPr>
        <w:lastRenderedPageBreak/>
        <w:t xml:space="preserve">Supplementary Table </w:t>
      </w:r>
      <w:r w:rsidR="004852D9">
        <w:rPr>
          <w:rFonts w:ascii="Arial" w:hAnsi="Arial" w:cs="Arial"/>
          <w:b/>
          <w:bCs/>
        </w:rPr>
        <w:t>1</w:t>
      </w:r>
      <w:r>
        <w:rPr>
          <w:rFonts w:ascii="Arial" w:hAnsi="Arial" w:cs="Arial"/>
          <w:b/>
          <w:bCs/>
        </w:rPr>
        <w:t xml:space="preserve">. </w:t>
      </w:r>
      <w:r w:rsidRPr="00657B87">
        <w:rPr>
          <w:rFonts w:ascii="Arial" w:hAnsi="Arial" w:cs="Arial"/>
          <w:b/>
          <w:bCs/>
        </w:rPr>
        <w:t>Reagents</w:t>
      </w:r>
      <w:r w:rsidR="001F0DB7">
        <w:rPr>
          <w:rFonts w:ascii="Arial" w:hAnsi="Arial" w:cs="Arial"/>
          <w:b/>
          <w:bCs/>
        </w:rPr>
        <w:t>, Consumables</w:t>
      </w:r>
      <w:r w:rsidRPr="00657B87">
        <w:rPr>
          <w:rFonts w:ascii="Arial" w:hAnsi="Arial" w:cs="Arial"/>
          <w:b/>
          <w:bCs/>
        </w:rPr>
        <w:t xml:space="preserve"> and </w:t>
      </w:r>
      <w:r w:rsidR="00A42284">
        <w:rPr>
          <w:rFonts w:ascii="Arial" w:hAnsi="Arial" w:cs="Arial"/>
          <w:b/>
          <w:bCs/>
        </w:rPr>
        <w:t>Standard</w:t>
      </w:r>
      <w:r w:rsidR="003371B7">
        <w:rPr>
          <w:rFonts w:ascii="Arial" w:hAnsi="Arial" w:cs="Arial"/>
          <w:b/>
          <w:bCs/>
        </w:rPr>
        <w:t xml:space="preserve"> Cell Lines</w:t>
      </w:r>
    </w:p>
    <w:tbl>
      <w:tblPr>
        <w:tblW w:w="5000" w:type="pct"/>
        <w:tblBorders>
          <w:top w:val="outset" w:sz="6" w:space="0" w:color="auto"/>
          <w:left w:val="outset" w:sz="6" w:space="0" w:color="auto"/>
          <w:bottom w:val="outset" w:sz="6" w:space="0" w:color="auto"/>
          <w:right w:val="outset" w:sz="6" w:space="0" w:color="auto"/>
        </w:tblBorders>
        <w:shd w:val="clear" w:color="auto" w:fill="FDFDFD"/>
        <w:tblCellMar>
          <w:left w:w="0" w:type="dxa"/>
          <w:right w:w="0" w:type="dxa"/>
        </w:tblCellMar>
        <w:tblLook w:val="04A0" w:firstRow="1" w:lastRow="0" w:firstColumn="1" w:lastColumn="0" w:noHBand="0" w:noVBand="1"/>
      </w:tblPr>
      <w:tblGrid>
        <w:gridCol w:w="4812"/>
        <w:gridCol w:w="2126"/>
        <w:gridCol w:w="2072"/>
      </w:tblGrid>
      <w:tr w:rsidR="00A57E43" w:rsidRPr="00A57E43" w14:paraId="245DBA0E" w14:textId="77777777" w:rsidTr="00A57E43">
        <w:trPr>
          <w:trHeight w:val="300"/>
        </w:trPr>
        <w:tc>
          <w:tcPr>
            <w:tcW w:w="2670" w:type="pct"/>
            <w:tcBorders>
              <w:top w:val="outset" w:sz="6" w:space="0" w:color="auto"/>
              <w:left w:val="outset" w:sz="6" w:space="0" w:color="auto"/>
              <w:bottom w:val="outset" w:sz="6" w:space="0" w:color="auto"/>
              <w:right w:val="outset" w:sz="6" w:space="0" w:color="auto"/>
            </w:tcBorders>
            <w:shd w:val="clear" w:color="auto" w:fill="FDFDFD"/>
            <w:hideMark/>
          </w:tcPr>
          <w:p w14:paraId="0EA79DE7" w14:textId="5CA6E75B" w:rsidR="00A57E43" w:rsidRPr="00A57E43" w:rsidRDefault="00A57E43" w:rsidP="00A57E43">
            <w:pPr>
              <w:spacing w:after="0" w:line="240" w:lineRule="auto"/>
              <w:rPr>
                <w:rFonts w:ascii="Arial" w:eastAsia="Times New Roman" w:hAnsi="Arial" w:cs="Arial"/>
                <w:kern w:val="0"/>
                <w:lang w:val="en-IN" w:eastAsia="en-IN"/>
                <w14:ligatures w14:val="none"/>
              </w:rPr>
            </w:pPr>
            <w:r>
              <w:rPr>
                <w:rFonts w:ascii="Arial" w:eastAsia="Times New Roman" w:hAnsi="Arial" w:cs="Arial"/>
                <w:kern w:val="0"/>
                <w:lang w:val="en-IN" w:eastAsia="en-IN"/>
                <w14:ligatures w14:val="none"/>
              </w:rPr>
              <w:t>Name</w:t>
            </w:r>
          </w:p>
        </w:tc>
        <w:tc>
          <w:tcPr>
            <w:tcW w:w="1180" w:type="pct"/>
            <w:tcBorders>
              <w:top w:val="outset" w:sz="6" w:space="0" w:color="auto"/>
              <w:left w:val="nil"/>
              <w:bottom w:val="outset" w:sz="6" w:space="0" w:color="auto"/>
              <w:right w:val="outset" w:sz="6" w:space="0" w:color="auto"/>
            </w:tcBorders>
            <w:shd w:val="clear" w:color="auto" w:fill="FDFDFD"/>
            <w:hideMark/>
          </w:tcPr>
          <w:p w14:paraId="4F616362" w14:textId="188C3B2D" w:rsidR="00A57E43" w:rsidRPr="00A57E43" w:rsidRDefault="00A57E43" w:rsidP="00A57E43">
            <w:pPr>
              <w:spacing w:after="0" w:line="240" w:lineRule="auto"/>
              <w:rPr>
                <w:rFonts w:ascii="Arial" w:eastAsia="Times New Roman" w:hAnsi="Arial" w:cs="Arial"/>
                <w:kern w:val="0"/>
                <w:lang w:val="en-IN" w:eastAsia="en-IN"/>
                <w14:ligatures w14:val="none"/>
              </w:rPr>
            </w:pPr>
            <w:r>
              <w:rPr>
                <w:rFonts w:ascii="Arial" w:eastAsia="Times New Roman" w:hAnsi="Arial" w:cs="Arial"/>
                <w:b/>
                <w:bCs/>
                <w:kern w:val="0"/>
                <w:lang w:val="en-IN" w:eastAsia="en-IN"/>
                <w14:ligatures w14:val="none"/>
              </w:rPr>
              <w:t>Manufacturer</w:t>
            </w:r>
          </w:p>
        </w:tc>
        <w:tc>
          <w:tcPr>
            <w:tcW w:w="1150" w:type="pct"/>
            <w:tcBorders>
              <w:top w:val="outset" w:sz="6" w:space="0" w:color="auto"/>
              <w:left w:val="nil"/>
              <w:bottom w:val="outset" w:sz="6" w:space="0" w:color="auto"/>
              <w:right w:val="outset" w:sz="6" w:space="0" w:color="auto"/>
            </w:tcBorders>
            <w:shd w:val="clear" w:color="auto" w:fill="FDFDFD"/>
            <w:hideMark/>
          </w:tcPr>
          <w:p w14:paraId="662E96D8" w14:textId="5B9FC411" w:rsidR="00A57E43" w:rsidRPr="00A57E43" w:rsidRDefault="00A57E43" w:rsidP="00A57E43">
            <w:pPr>
              <w:spacing w:after="0" w:line="240" w:lineRule="auto"/>
              <w:rPr>
                <w:rFonts w:ascii="Arial" w:eastAsia="Times New Roman" w:hAnsi="Arial" w:cs="Arial"/>
                <w:kern w:val="0"/>
                <w:lang w:val="en-IN" w:eastAsia="en-IN"/>
                <w14:ligatures w14:val="none"/>
              </w:rPr>
            </w:pPr>
            <w:proofErr w:type="spellStart"/>
            <w:r>
              <w:rPr>
                <w:rFonts w:ascii="Arial" w:eastAsia="Times New Roman" w:hAnsi="Arial" w:cs="Arial"/>
                <w:b/>
                <w:bCs/>
                <w:kern w:val="0"/>
                <w:lang w:val="en-IN" w:eastAsia="en-IN"/>
                <w14:ligatures w14:val="none"/>
              </w:rPr>
              <w:t>Catalog</w:t>
            </w:r>
            <w:proofErr w:type="spellEnd"/>
            <w:r>
              <w:rPr>
                <w:rFonts w:ascii="Arial" w:eastAsia="Times New Roman" w:hAnsi="Arial" w:cs="Arial"/>
                <w:b/>
                <w:bCs/>
                <w:kern w:val="0"/>
                <w:lang w:val="en-IN" w:eastAsia="en-IN"/>
                <w14:ligatures w14:val="none"/>
              </w:rPr>
              <w:t xml:space="preserve"> Number</w:t>
            </w:r>
          </w:p>
        </w:tc>
      </w:tr>
      <w:tr w:rsidR="001F0DB7" w:rsidRPr="00A57E43" w14:paraId="0CDCBA26" w14:textId="77777777" w:rsidTr="00A57E43">
        <w:trPr>
          <w:trHeight w:val="300"/>
        </w:trPr>
        <w:tc>
          <w:tcPr>
            <w:tcW w:w="2670" w:type="pct"/>
            <w:tcBorders>
              <w:top w:val="outset" w:sz="6" w:space="0" w:color="auto"/>
              <w:left w:val="outset" w:sz="6" w:space="0" w:color="auto"/>
              <w:bottom w:val="outset" w:sz="6" w:space="0" w:color="auto"/>
              <w:right w:val="outset" w:sz="6" w:space="0" w:color="auto"/>
            </w:tcBorders>
            <w:shd w:val="clear" w:color="auto" w:fill="FDFDFD"/>
          </w:tcPr>
          <w:p w14:paraId="028C9E5D" w14:textId="0025E8AD" w:rsidR="001F0DB7" w:rsidRDefault="001F0DB7" w:rsidP="00A57E43">
            <w:pPr>
              <w:spacing w:after="0" w:line="240" w:lineRule="auto"/>
              <w:rPr>
                <w:rFonts w:ascii="Arial" w:eastAsia="Times New Roman" w:hAnsi="Arial" w:cs="Arial"/>
                <w:kern w:val="0"/>
                <w:lang w:val="en-IN" w:eastAsia="en-IN"/>
                <w14:ligatures w14:val="none"/>
              </w:rPr>
            </w:pPr>
            <w:r w:rsidRPr="00D514F8">
              <w:rPr>
                <w:rFonts w:ascii="Arial" w:hAnsi="Arial" w:cs="Arial"/>
              </w:rPr>
              <w:t>BD Pharm Lyse™</w:t>
            </w:r>
            <w:r>
              <w:rPr>
                <w:rFonts w:ascii="Arial" w:hAnsi="Arial" w:cs="Arial"/>
              </w:rPr>
              <w:t xml:space="preserve"> Lysing Buffer</w:t>
            </w:r>
          </w:p>
        </w:tc>
        <w:tc>
          <w:tcPr>
            <w:tcW w:w="1180" w:type="pct"/>
            <w:tcBorders>
              <w:top w:val="outset" w:sz="6" w:space="0" w:color="auto"/>
              <w:left w:val="nil"/>
              <w:bottom w:val="outset" w:sz="6" w:space="0" w:color="auto"/>
              <w:right w:val="outset" w:sz="6" w:space="0" w:color="auto"/>
            </w:tcBorders>
            <w:shd w:val="clear" w:color="auto" w:fill="FDFDFD"/>
          </w:tcPr>
          <w:p w14:paraId="67A3F64D" w14:textId="2918856D" w:rsidR="001F0DB7" w:rsidRDefault="001F0DB7" w:rsidP="00A57E43">
            <w:pPr>
              <w:spacing w:after="0" w:line="240" w:lineRule="auto"/>
              <w:rPr>
                <w:rFonts w:ascii="Arial" w:eastAsia="Times New Roman" w:hAnsi="Arial" w:cs="Arial"/>
                <w:b/>
                <w:bCs/>
                <w:kern w:val="0"/>
                <w:lang w:val="en-IN" w:eastAsia="en-IN"/>
                <w14:ligatures w14:val="none"/>
              </w:rPr>
            </w:pPr>
            <w:r w:rsidRPr="00D514F8">
              <w:rPr>
                <w:rFonts w:ascii="Arial" w:hAnsi="Arial" w:cs="Arial"/>
              </w:rPr>
              <w:t>BD Biosciences</w:t>
            </w:r>
          </w:p>
        </w:tc>
        <w:tc>
          <w:tcPr>
            <w:tcW w:w="1150" w:type="pct"/>
            <w:tcBorders>
              <w:top w:val="outset" w:sz="6" w:space="0" w:color="auto"/>
              <w:left w:val="nil"/>
              <w:bottom w:val="outset" w:sz="6" w:space="0" w:color="auto"/>
              <w:right w:val="outset" w:sz="6" w:space="0" w:color="auto"/>
            </w:tcBorders>
            <w:shd w:val="clear" w:color="auto" w:fill="FDFDFD"/>
          </w:tcPr>
          <w:p w14:paraId="182CE1BC" w14:textId="0CE25C81" w:rsidR="001F0DB7" w:rsidRPr="001F0DB7" w:rsidRDefault="001F0DB7" w:rsidP="00A57E43">
            <w:pPr>
              <w:spacing w:after="0" w:line="240" w:lineRule="auto"/>
              <w:rPr>
                <w:rFonts w:ascii="Arial" w:eastAsia="Times New Roman" w:hAnsi="Arial" w:cs="Arial"/>
                <w:kern w:val="0"/>
                <w:lang w:val="en-IN" w:eastAsia="en-IN"/>
                <w14:ligatures w14:val="none"/>
              </w:rPr>
            </w:pPr>
            <w:r w:rsidRPr="001F0DB7">
              <w:rPr>
                <w:rFonts w:ascii="Arial" w:eastAsia="Times New Roman" w:hAnsi="Arial" w:cs="Arial"/>
                <w:kern w:val="0"/>
                <w:lang w:val="en-IN" w:eastAsia="en-IN"/>
                <w14:ligatures w14:val="none"/>
              </w:rPr>
              <w:t>555899</w:t>
            </w:r>
          </w:p>
        </w:tc>
      </w:tr>
      <w:tr w:rsidR="00A57E43" w:rsidRPr="00A57E43" w14:paraId="29F9FEA5"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3AB77FE8"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Recombinant human Anti-CD326 (REA764)-PE-Vio-615</w:t>
            </w:r>
          </w:p>
        </w:tc>
        <w:tc>
          <w:tcPr>
            <w:tcW w:w="1180" w:type="pct"/>
            <w:tcBorders>
              <w:top w:val="nil"/>
              <w:left w:val="nil"/>
              <w:bottom w:val="outset" w:sz="6" w:space="0" w:color="auto"/>
              <w:right w:val="outset" w:sz="6" w:space="0" w:color="auto"/>
            </w:tcBorders>
            <w:shd w:val="clear" w:color="auto" w:fill="FDFDFD"/>
            <w:hideMark/>
          </w:tcPr>
          <w:p w14:paraId="2CB2B270"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proofErr w:type="spellStart"/>
            <w:r w:rsidRPr="00A57E43">
              <w:rPr>
                <w:rFonts w:ascii="Arial" w:eastAsia="Times New Roman" w:hAnsi="Arial" w:cs="Arial"/>
                <w:kern w:val="0"/>
                <w:lang w:eastAsia="en-IN"/>
                <w14:ligatures w14:val="none"/>
              </w:rPr>
              <w:t>Miltenyi</w:t>
            </w:r>
            <w:proofErr w:type="spellEnd"/>
            <w:r w:rsidRPr="00A57E43">
              <w:rPr>
                <w:rFonts w:ascii="Arial" w:eastAsia="Times New Roman" w:hAnsi="Arial" w:cs="Arial"/>
                <w:kern w:val="0"/>
                <w:lang w:eastAsia="en-IN"/>
                <w14:ligatures w14:val="none"/>
              </w:rPr>
              <w:t xml:space="preserve"> </w:t>
            </w:r>
            <w:proofErr w:type="spellStart"/>
            <w:r w:rsidRPr="00A57E43">
              <w:rPr>
                <w:rFonts w:ascii="Arial" w:eastAsia="Times New Roman" w:hAnsi="Arial" w:cs="Arial"/>
                <w:kern w:val="0"/>
                <w:lang w:eastAsia="en-IN"/>
                <w14:ligatures w14:val="none"/>
              </w:rPr>
              <w:t>Biotec</w:t>
            </w:r>
            <w:proofErr w:type="spellEnd"/>
          </w:p>
        </w:tc>
        <w:tc>
          <w:tcPr>
            <w:tcW w:w="1150" w:type="pct"/>
            <w:tcBorders>
              <w:top w:val="nil"/>
              <w:left w:val="nil"/>
              <w:bottom w:val="outset" w:sz="6" w:space="0" w:color="auto"/>
              <w:right w:val="outset" w:sz="6" w:space="0" w:color="auto"/>
            </w:tcBorders>
            <w:shd w:val="clear" w:color="auto" w:fill="FDFDFD"/>
            <w:hideMark/>
          </w:tcPr>
          <w:p w14:paraId="5E742D48"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130-111-006</w:t>
            </w:r>
          </w:p>
        </w:tc>
      </w:tr>
      <w:tr w:rsidR="00A57E43" w:rsidRPr="00A57E43" w14:paraId="136BD5DF"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76AAD176"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Hoechst 33342 (nuclear stain)</w:t>
            </w:r>
          </w:p>
        </w:tc>
        <w:tc>
          <w:tcPr>
            <w:tcW w:w="1180" w:type="pct"/>
            <w:tcBorders>
              <w:top w:val="nil"/>
              <w:left w:val="nil"/>
              <w:bottom w:val="outset" w:sz="6" w:space="0" w:color="auto"/>
              <w:right w:val="outset" w:sz="6" w:space="0" w:color="auto"/>
            </w:tcBorders>
            <w:shd w:val="clear" w:color="auto" w:fill="FDFDFD"/>
            <w:hideMark/>
          </w:tcPr>
          <w:p w14:paraId="12328DB0"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Thermo Fisher</w:t>
            </w:r>
          </w:p>
        </w:tc>
        <w:tc>
          <w:tcPr>
            <w:tcW w:w="1150" w:type="pct"/>
            <w:tcBorders>
              <w:top w:val="nil"/>
              <w:left w:val="nil"/>
              <w:bottom w:val="outset" w:sz="6" w:space="0" w:color="auto"/>
              <w:right w:val="outset" w:sz="6" w:space="0" w:color="auto"/>
            </w:tcBorders>
            <w:shd w:val="clear" w:color="auto" w:fill="FDFDFD"/>
            <w:hideMark/>
          </w:tcPr>
          <w:p w14:paraId="3872491E"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62249</w:t>
            </w:r>
          </w:p>
        </w:tc>
      </w:tr>
      <w:tr w:rsidR="00A57E43" w:rsidRPr="00A57E43" w14:paraId="77C30B40"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2AF89AEA"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proofErr w:type="spellStart"/>
            <w:r w:rsidRPr="00A57E43">
              <w:rPr>
                <w:rFonts w:ascii="Arial" w:eastAsia="Times New Roman" w:hAnsi="Arial" w:cs="Arial"/>
                <w:kern w:val="0"/>
                <w:lang w:eastAsia="en-IN"/>
                <w14:ligatures w14:val="none"/>
              </w:rPr>
              <w:t>ProLong</w:t>
            </w:r>
            <w:proofErr w:type="spellEnd"/>
            <w:r w:rsidRPr="00A57E43">
              <w:rPr>
                <w:rFonts w:ascii="Arial" w:eastAsia="Times New Roman" w:hAnsi="Arial" w:cs="Arial"/>
                <w:kern w:val="0"/>
                <w:lang w:eastAsia="en-IN"/>
                <w14:ligatures w14:val="none"/>
              </w:rPr>
              <w:t xml:space="preserve"> Gold Mounting Medium</w:t>
            </w:r>
          </w:p>
        </w:tc>
        <w:tc>
          <w:tcPr>
            <w:tcW w:w="1180" w:type="pct"/>
            <w:tcBorders>
              <w:top w:val="nil"/>
              <w:left w:val="nil"/>
              <w:bottom w:val="outset" w:sz="6" w:space="0" w:color="auto"/>
              <w:right w:val="outset" w:sz="6" w:space="0" w:color="auto"/>
            </w:tcBorders>
            <w:shd w:val="clear" w:color="auto" w:fill="FDFDFD"/>
            <w:hideMark/>
          </w:tcPr>
          <w:p w14:paraId="1E5BC0C0"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Invitrogen</w:t>
            </w:r>
          </w:p>
        </w:tc>
        <w:tc>
          <w:tcPr>
            <w:tcW w:w="1150" w:type="pct"/>
            <w:tcBorders>
              <w:top w:val="nil"/>
              <w:left w:val="nil"/>
              <w:bottom w:val="outset" w:sz="6" w:space="0" w:color="auto"/>
              <w:right w:val="outset" w:sz="6" w:space="0" w:color="auto"/>
            </w:tcBorders>
            <w:shd w:val="clear" w:color="auto" w:fill="FDFDFD"/>
            <w:hideMark/>
          </w:tcPr>
          <w:p w14:paraId="40FE5300"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P36930</w:t>
            </w:r>
          </w:p>
        </w:tc>
      </w:tr>
      <w:tr w:rsidR="001F0DB7" w:rsidRPr="00A57E43" w14:paraId="0D8D3F1D"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tcPr>
          <w:p w14:paraId="2FFA541B" w14:textId="24461DD9" w:rsidR="001F0DB7" w:rsidRPr="00A57E43" w:rsidRDefault="001F0DB7" w:rsidP="00A57E43">
            <w:pPr>
              <w:spacing w:after="0" w:line="240" w:lineRule="auto"/>
              <w:rPr>
                <w:rFonts w:ascii="Arial" w:eastAsia="Times New Roman" w:hAnsi="Arial" w:cs="Arial"/>
                <w:kern w:val="0"/>
                <w:lang w:eastAsia="en-IN"/>
                <w14:ligatures w14:val="none"/>
              </w:rPr>
            </w:pPr>
            <w:proofErr w:type="spellStart"/>
            <w:r>
              <w:rPr>
                <w:rFonts w:ascii="Arial" w:eastAsia="Times New Roman" w:hAnsi="Arial" w:cs="Arial"/>
                <w:kern w:val="0"/>
                <w:lang w:eastAsia="en-IN"/>
                <w14:ligatures w14:val="none"/>
              </w:rPr>
              <w:t>Superfrost</w:t>
            </w:r>
            <w:proofErr w:type="spellEnd"/>
            <w:r>
              <w:rPr>
                <w:rFonts w:ascii="Arial" w:eastAsia="Times New Roman" w:hAnsi="Arial" w:cs="Arial"/>
                <w:kern w:val="0"/>
                <w:lang w:eastAsia="en-IN"/>
                <w14:ligatures w14:val="none"/>
              </w:rPr>
              <w:t xml:space="preserve"> Plus Microscopic slide</w:t>
            </w:r>
          </w:p>
        </w:tc>
        <w:tc>
          <w:tcPr>
            <w:tcW w:w="1180" w:type="pct"/>
            <w:tcBorders>
              <w:top w:val="nil"/>
              <w:left w:val="nil"/>
              <w:bottom w:val="outset" w:sz="6" w:space="0" w:color="auto"/>
              <w:right w:val="outset" w:sz="6" w:space="0" w:color="auto"/>
            </w:tcBorders>
            <w:shd w:val="clear" w:color="auto" w:fill="FDFDFD"/>
          </w:tcPr>
          <w:p w14:paraId="317960CF" w14:textId="65140190" w:rsidR="001F0DB7" w:rsidRPr="00A57E43" w:rsidRDefault="001F0DB7" w:rsidP="00A57E43">
            <w:pPr>
              <w:spacing w:after="0" w:line="240" w:lineRule="auto"/>
              <w:rPr>
                <w:rFonts w:ascii="Arial" w:eastAsia="Times New Roman" w:hAnsi="Arial" w:cs="Arial"/>
                <w:kern w:val="0"/>
                <w:lang w:eastAsia="en-IN"/>
                <w14:ligatures w14:val="none"/>
              </w:rPr>
            </w:pPr>
            <w:r>
              <w:rPr>
                <w:rFonts w:ascii="Arial" w:eastAsia="Times New Roman" w:hAnsi="Arial" w:cs="Arial"/>
                <w:kern w:val="0"/>
                <w:lang w:eastAsia="en-IN"/>
                <w14:ligatures w14:val="none"/>
              </w:rPr>
              <w:t>Thermo Fisher</w:t>
            </w:r>
          </w:p>
        </w:tc>
        <w:tc>
          <w:tcPr>
            <w:tcW w:w="1150" w:type="pct"/>
            <w:tcBorders>
              <w:top w:val="nil"/>
              <w:left w:val="nil"/>
              <w:bottom w:val="outset" w:sz="6" w:space="0" w:color="auto"/>
              <w:right w:val="outset" w:sz="6" w:space="0" w:color="auto"/>
            </w:tcBorders>
            <w:shd w:val="clear" w:color="auto" w:fill="FDFDFD"/>
          </w:tcPr>
          <w:p w14:paraId="1883A63D" w14:textId="3F775D8F" w:rsidR="001F0DB7" w:rsidRPr="00A57E43" w:rsidRDefault="001F0DB7" w:rsidP="00A57E43">
            <w:pPr>
              <w:spacing w:after="0" w:line="240" w:lineRule="auto"/>
              <w:rPr>
                <w:rFonts w:ascii="Arial" w:eastAsia="Times New Roman" w:hAnsi="Arial" w:cs="Arial"/>
                <w:kern w:val="0"/>
                <w:lang w:eastAsia="en-IN"/>
                <w14:ligatures w14:val="none"/>
              </w:rPr>
            </w:pPr>
            <w:r w:rsidRPr="001F0DB7">
              <w:rPr>
                <w:rFonts w:ascii="Arial" w:eastAsia="Times New Roman" w:hAnsi="Arial" w:cs="Arial"/>
                <w:kern w:val="0"/>
                <w:lang w:eastAsia="en-IN"/>
                <w14:ligatures w14:val="none"/>
              </w:rPr>
              <w:t>22037246</w:t>
            </w:r>
          </w:p>
        </w:tc>
      </w:tr>
      <w:tr w:rsidR="00A57E43" w:rsidRPr="00A57E43" w14:paraId="11D9D969"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109397CE"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SKBR3 (Breast Cancer Cell Line)</w:t>
            </w:r>
          </w:p>
        </w:tc>
        <w:tc>
          <w:tcPr>
            <w:tcW w:w="1180" w:type="pct"/>
            <w:tcBorders>
              <w:top w:val="nil"/>
              <w:left w:val="nil"/>
              <w:bottom w:val="outset" w:sz="6" w:space="0" w:color="auto"/>
              <w:right w:val="outset" w:sz="6" w:space="0" w:color="auto"/>
            </w:tcBorders>
            <w:shd w:val="clear" w:color="auto" w:fill="FDFDFD"/>
            <w:hideMark/>
          </w:tcPr>
          <w:p w14:paraId="09336F90"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154BA3DC" w14:textId="4BD0CBFC"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HTB-30</w:t>
            </w:r>
          </w:p>
        </w:tc>
      </w:tr>
      <w:tr w:rsidR="00A57E43" w:rsidRPr="00A57E43" w14:paraId="51AB19A3"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6D76443E"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MCF7 (Breast Cancer Cell line)</w:t>
            </w:r>
          </w:p>
        </w:tc>
        <w:tc>
          <w:tcPr>
            <w:tcW w:w="1180" w:type="pct"/>
            <w:tcBorders>
              <w:top w:val="nil"/>
              <w:left w:val="nil"/>
              <w:bottom w:val="outset" w:sz="6" w:space="0" w:color="auto"/>
              <w:right w:val="outset" w:sz="6" w:space="0" w:color="auto"/>
            </w:tcBorders>
            <w:shd w:val="clear" w:color="auto" w:fill="FDFDFD"/>
            <w:hideMark/>
          </w:tcPr>
          <w:p w14:paraId="6D24FA14"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3E9ABF56"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val="en-IN" w:eastAsia="en-IN"/>
                <w14:ligatures w14:val="none"/>
              </w:rPr>
              <w:t>HTB-22™</w:t>
            </w:r>
          </w:p>
        </w:tc>
      </w:tr>
      <w:tr w:rsidR="00A57E43" w:rsidRPr="00A57E43" w14:paraId="7209991B"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2C03626D"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SW620 (Colon Cancer Cell Line)</w:t>
            </w:r>
          </w:p>
        </w:tc>
        <w:tc>
          <w:tcPr>
            <w:tcW w:w="1180" w:type="pct"/>
            <w:tcBorders>
              <w:top w:val="nil"/>
              <w:left w:val="nil"/>
              <w:bottom w:val="outset" w:sz="6" w:space="0" w:color="auto"/>
              <w:right w:val="outset" w:sz="6" w:space="0" w:color="auto"/>
            </w:tcBorders>
            <w:shd w:val="clear" w:color="auto" w:fill="FDFDFD"/>
            <w:hideMark/>
          </w:tcPr>
          <w:p w14:paraId="18E3ABC5"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71415292"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val="en-IN" w:eastAsia="en-IN"/>
                <w14:ligatures w14:val="none"/>
              </w:rPr>
              <w:t>CCL-227™</w:t>
            </w:r>
          </w:p>
        </w:tc>
      </w:tr>
      <w:tr w:rsidR="00A57E43" w:rsidRPr="00A57E43" w14:paraId="226910FC"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75439A90"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A549 (Lung Cancer Cell Line)</w:t>
            </w:r>
          </w:p>
        </w:tc>
        <w:tc>
          <w:tcPr>
            <w:tcW w:w="1180" w:type="pct"/>
            <w:tcBorders>
              <w:top w:val="nil"/>
              <w:left w:val="nil"/>
              <w:bottom w:val="outset" w:sz="6" w:space="0" w:color="auto"/>
              <w:right w:val="outset" w:sz="6" w:space="0" w:color="auto"/>
            </w:tcBorders>
            <w:shd w:val="clear" w:color="auto" w:fill="FDFDFD"/>
            <w:hideMark/>
          </w:tcPr>
          <w:p w14:paraId="3D8D8CF6"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7A657C93"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val="en-IN" w:eastAsia="en-IN"/>
                <w14:ligatures w14:val="none"/>
              </w:rPr>
              <w:t>CCL-185™</w:t>
            </w:r>
          </w:p>
        </w:tc>
      </w:tr>
      <w:tr w:rsidR="00A57E43" w:rsidRPr="00A57E43" w14:paraId="5FE33B54"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33BD5782"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PL45 (Pancreatic Cancer Cell line)</w:t>
            </w:r>
          </w:p>
        </w:tc>
        <w:tc>
          <w:tcPr>
            <w:tcW w:w="1180" w:type="pct"/>
            <w:tcBorders>
              <w:top w:val="nil"/>
              <w:left w:val="nil"/>
              <w:bottom w:val="outset" w:sz="6" w:space="0" w:color="auto"/>
              <w:right w:val="outset" w:sz="6" w:space="0" w:color="auto"/>
            </w:tcBorders>
            <w:shd w:val="clear" w:color="auto" w:fill="FDFDFD"/>
            <w:hideMark/>
          </w:tcPr>
          <w:p w14:paraId="01D2E667"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12DDBE89"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val="en-IN" w:eastAsia="en-IN"/>
                <w14:ligatures w14:val="none"/>
              </w:rPr>
              <w:t>CRL-2558™</w:t>
            </w:r>
          </w:p>
        </w:tc>
      </w:tr>
      <w:tr w:rsidR="00A57E43" w:rsidRPr="00A57E43" w14:paraId="705EA43A"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2B67E0C8"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OVCAR3 (Ovarian Cancer Cell line)</w:t>
            </w:r>
          </w:p>
        </w:tc>
        <w:tc>
          <w:tcPr>
            <w:tcW w:w="1180" w:type="pct"/>
            <w:tcBorders>
              <w:top w:val="nil"/>
              <w:left w:val="nil"/>
              <w:bottom w:val="outset" w:sz="6" w:space="0" w:color="auto"/>
              <w:right w:val="outset" w:sz="6" w:space="0" w:color="auto"/>
            </w:tcBorders>
            <w:shd w:val="clear" w:color="auto" w:fill="FDFDFD"/>
            <w:hideMark/>
          </w:tcPr>
          <w:p w14:paraId="4B271546"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3567F63F"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val="en-IN" w:eastAsia="en-IN"/>
                <w14:ligatures w14:val="none"/>
              </w:rPr>
              <w:t>HTB-161™</w:t>
            </w:r>
          </w:p>
        </w:tc>
      </w:tr>
      <w:tr w:rsidR="00A57E43" w:rsidRPr="00A57E43" w14:paraId="269C1E10"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79CF4100"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PC3 (Prostate Cancer Cell line)</w:t>
            </w:r>
          </w:p>
        </w:tc>
        <w:tc>
          <w:tcPr>
            <w:tcW w:w="1180" w:type="pct"/>
            <w:tcBorders>
              <w:top w:val="nil"/>
              <w:left w:val="nil"/>
              <w:bottom w:val="outset" w:sz="6" w:space="0" w:color="auto"/>
              <w:right w:val="outset" w:sz="6" w:space="0" w:color="auto"/>
            </w:tcBorders>
            <w:shd w:val="clear" w:color="auto" w:fill="FDFDFD"/>
            <w:hideMark/>
          </w:tcPr>
          <w:p w14:paraId="1EFD87A0"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7F48CAE1" w14:textId="77777777" w:rsidR="00A57E43" w:rsidRPr="000323DE" w:rsidRDefault="00A57E43" w:rsidP="00A57E43">
            <w:pPr>
              <w:spacing w:after="0" w:line="240" w:lineRule="auto"/>
              <w:rPr>
                <w:rFonts w:ascii="Arial" w:eastAsia="Times New Roman" w:hAnsi="Arial" w:cs="Arial"/>
                <w:kern w:val="0"/>
                <w:lang w:val="en-IN" w:eastAsia="en-IN"/>
                <w14:ligatures w14:val="none"/>
              </w:rPr>
            </w:pPr>
            <w:r w:rsidRPr="000323DE">
              <w:rPr>
                <w:rFonts w:ascii="Arial" w:eastAsia="Times New Roman" w:hAnsi="Arial" w:cs="Arial"/>
                <w:kern w:val="0"/>
                <w:lang w:val="en-IN" w:eastAsia="en-IN"/>
                <w14:ligatures w14:val="none"/>
              </w:rPr>
              <w:t>CRL-1435™</w:t>
            </w:r>
          </w:p>
        </w:tc>
      </w:tr>
      <w:tr w:rsidR="00A57E43" w:rsidRPr="00A57E43" w14:paraId="35FC5927"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4E3A1D42"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SJCRH30 (Sarcoma Cell line)</w:t>
            </w:r>
          </w:p>
        </w:tc>
        <w:tc>
          <w:tcPr>
            <w:tcW w:w="1180" w:type="pct"/>
            <w:tcBorders>
              <w:top w:val="nil"/>
              <w:left w:val="nil"/>
              <w:bottom w:val="outset" w:sz="6" w:space="0" w:color="auto"/>
              <w:right w:val="outset" w:sz="6" w:space="0" w:color="auto"/>
            </w:tcBorders>
            <w:shd w:val="clear" w:color="auto" w:fill="FDFDFD"/>
            <w:hideMark/>
          </w:tcPr>
          <w:p w14:paraId="268157D4"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4B13143E"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val="en-IN" w:eastAsia="en-IN"/>
                <w14:ligatures w14:val="none"/>
              </w:rPr>
              <w:t>CRL-2061™</w:t>
            </w:r>
          </w:p>
        </w:tc>
      </w:tr>
      <w:tr w:rsidR="00A57E43" w:rsidRPr="00A57E43" w14:paraId="71F825B7"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2CF503B6"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U87MG (Glioblastoma Cell line)</w:t>
            </w:r>
          </w:p>
        </w:tc>
        <w:tc>
          <w:tcPr>
            <w:tcW w:w="1180" w:type="pct"/>
            <w:tcBorders>
              <w:top w:val="nil"/>
              <w:left w:val="nil"/>
              <w:bottom w:val="outset" w:sz="6" w:space="0" w:color="auto"/>
              <w:right w:val="outset" w:sz="6" w:space="0" w:color="auto"/>
            </w:tcBorders>
            <w:shd w:val="clear" w:color="auto" w:fill="FDFDFD"/>
            <w:hideMark/>
          </w:tcPr>
          <w:p w14:paraId="4E9C2F17"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58C75441"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val="en-IN" w:eastAsia="en-IN"/>
                <w14:ligatures w14:val="none"/>
              </w:rPr>
              <w:t>HTB-14™</w:t>
            </w:r>
          </w:p>
        </w:tc>
      </w:tr>
      <w:tr w:rsidR="00A57E43" w:rsidRPr="00A57E43" w14:paraId="01C80FD9" w14:textId="77777777" w:rsidTr="00A57E43">
        <w:trPr>
          <w:trHeight w:val="300"/>
        </w:trPr>
        <w:tc>
          <w:tcPr>
            <w:tcW w:w="2670" w:type="pct"/>
            <w:tcBorders>
              <w:top w:val="nil"/>
              <w:left w:val="outset" w:sz="6" w:space="0" w:color="auto"/>
              <w:bottom w:val="outset" w:sz="6" w:space="0" w:color="auto"/>
              <w:right w:val="outset" w:sz="6" w:space="0" w:color="auto"/>
            </w:tcBorders>
            <w:shd w:val="clear" w:color="auto" w:fill="FDFDFD"/>
            <w:hideMark/>
          </w:tcPr>
          <w:p w14:paraId="57CBD118"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A375 (Melanoma Cell line)</w:t>
            </w:r>
          </w:p>
        </w:tc>
        <w:tc>
          <w:tcPr>
            <w:tcW w:w="1180" w:type="pct"/>
            <w:tcBorders>
              <w:top w:val="nil"/>
              <w:left w:val="nil"/>
              <w:bottom w:val="outset" w:sz="6" w:space="0" w:color="auto"/>
              <w:right w:val="outset" w:sz="6" w:space="0" w:color="auto"/>
            </w:tcBorders>
            <w:shd w:val="clear" w:color="auto" w:fill="FDFDFD"/>
            <w:hideMark/>
          </w:tcPr>
          <w:p w14:paraId="41216A0C"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eastAsia="en-IN"/>
                <w14:ligatures w14:val="none"/>
              </w:rPr>
              <w:t>ATCC</w:t>
            </w:r>
          </w:p>
        </w:tc>
        <w:tc>
          <w:tcPr>
            <w:tcW w:w="1150" w:type="pct"/>
            <w:tcBorders>
              <w:top w:val="nil"/>
              <w:left w:val="nil"/>
              <w:bottom w:val="outset" w:sz="6" w:space="0" w:color="auto"/>
              <w:right w:val="outset" w:sz="6" w:space="0" w:color="auto"/>
            </w:tcBorders>
            <w:shd w:val="clear" w:color="auto" w:fill="FDFDFD"/>
            <w:hideMark/>
          </w:tcPr>
          <w:p w14:paraId="39EE3084" w14:textId="77777777" w:rsidR="00A57E43" w:rsidRPr="00A57E43" w:rsidRDefault="00A57E43" w:rsidP="00A57E43">
            <w:pPr>
              <w:spacing w:after="0" w:line="240" w:lineRule="auto"/>
              <w:rPr>
                <w:rFonts w:ascii="Arial" w:eastAsia="Times New Roman" w:hAnsi="Arial" w:cs="Arial"/>
                <w:kern w:val="0"/>
                <w:lang w:val="en-IN" w:eastAsia="en-IN"/>
                <w14:ligatures w14:val="none"/>
              </w:rPr>
            </w:pPr>
            <w:r w:rsidRPr="00A57E43">
              <w:rPr>
                <w:rFonts w:ascii="Arial" w:eastAsia="Times New Roman" w:hAnsi="Arial" w:cs="Arial"/>
                <w:kern w:val="0"/>
                <w:lang w:val="en-IN" w:eastAsia="en-IN"/>
                <w14:ligatures w14:val="none"/>
              </w:rPr>
              <w:t>CRL-1619™</w:t>
            </w:r>
          </w:p>
        </w:tc>
      </w:tr>
    </w:tbl>
    <w:p w14:paraId="4DC5A963" w14:textId="77777777" w:rsidR="0086707D" w:rsidRDefault="0086707D"/>
    <w:sectPr w:rsidR="0086707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1CC1F" w14:textId="77777777" w:rsidR="00274BE4" w:rsidRDefault="00274BE4" w:rsidP="00D3130B">
      <w:pPr>
        <w:spacing w:after="0" w:line="240" w:lineRule="auto"/>
      </w:pPr>
      <w:r>
        <w:separator/>
      </w:r>
    </w:p>
  </w:endnote>
  <w:endnote w:type="continuationSeparator" w:id="0">
    <w:p w14:paraId="41B2D87B" w14:textId="77777777" w:rsidR="00274BE4" w:rsidRDefault="00274BE4" w:rsidP="00D3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6D87" w14:textId="20F67530" w:rsidR="00D3130B" w:rsidRPr="00D3130B" w:rsidRDefault="00D3130B" w:rsidP="00D3130B">
    <w:pPr>
      <w:pStyle w:val="Footer"/>
      <w:pBdr>
        <w:top w:val="single" w:sz="4" w:space="1" w:color="auto"/>
      </w:pBdr>
      <w:rPr>
        <w:rFonts w:ascii="Arial" w:hAnsi="Arial" w:cs="Arial"/>
        <w:sz w:val="20"/>
        <w:szCs w:val="20"/>
      </w:rPr>
    </w:pPr>
    <w:r w:rsidRPr="00D3130B">
      <w:rPr>
        <w:rFonts w:ascii="Arial" w:hAnsi="Arial" w:cs="Arial"/>
        <w:sz w:val="20"/>
        <w:szCs w:val="20"/>
      </w:rPr>
      <w:t xml:space="preserve">Page </w:t>
    </w:r>
    <w:r w:rsidRPr="00D3130B">
      <w:rPr>
        <w:rFonts w:ascii="Arial" w:hAnsi="Arial" w:cs="Arial"/>
        <w:b/>
        <w:bCs/>
        <w:sz w:val="20"/>
        <w:szCs w:val="20"/>
      </w:rPr>
      <w:fldChar w:fldCharType="begin"/>
    </w:r>
    <w:r w:rsidRPr="00D3130B">
      <w:rPr>
        <w:rFonts w:ascii="Arial" w:hAnsi="Arial" w:cs="Arial"/>
        <w:b/>
        <w:bCs/>
        <w:sz w:val="20"/>
        <w:szCs w:val="20"/>
      </w:rPr>
      <w:instrText xml:space="preserve"> PAGE  \* Arabic  \* MERGEFORMAT </w:instrText>
    </w:r>
    <w:r w:rsidRPr="00D3130B">
      <w:rPr>
        <w:rFonts w:ascii="Arial" w:hAnsi="Arial" w:cs="Arial"/>
        <w:b/>
        <w:bCs/>
        <w:sz w:val="20"/>
        <w:szCs w:val="20"/>
      </w:rPr>
      <w:fldChar w:fldCharType="separate"/>
    </w:r>
    <w:r w:rsidRPr="00D3130B">
      <w:rPr>
        <w:rFonts w:ascii="Arial" w:hAnsi="Arial" w:cs="Arial"/>
        <w:b/>
        <w:bCs/>
        <w:noProof/>
        <w:sz w:val="20"/>
        <w:szCs w:val="20"/>
      </w:rPr>
      <w:t>1</w:t>
    </w:r>
    <w:r w:rsidRPr="00D3130B">
      <w:rPr>
        <w:rFonts w:ascii="Arial" w:hAnsi="Arial" w:cs="Arial"/>
        <w:b/>
        <w:bCs/>
        <w:sz w:val="20"/>
        <w:szCs w:val="20"/>
      </w:rPr>
      <w:fldChar w:fldCharType="end"/>
    </w:r>
    <w:r w:rsidRPr="00D3130B">
      <w:rPr>
        <w:rFonts w:ascii="Arial" w:hAnsi="Arial" w:cs="Arial"/>
        <w:sz w:val="20"/>
        <w:szCs w:val="20"/>
      </w:rPr>
      <w:t xml:space="preserve"> of </w:t>
    </w:r>
    <w:r w:rsidRPr="00D3130B">
      <w:rPr>
        <w:rFonts w:ascii="Arial" w:hAnsi="Arial" w:cs="Arial"/>
        <w:b/>
        <w:bCs/>
        <w:sz w:val="20"/>
        <w:szCs w:val="20"/>
      </w:rPr>
      <w:fldChar w:fldCharType="begin"/>
    </w:r>
    <w:r w:rsidRPr="00D3130B">
      <w:rPr>
        <w:rFonts w:ascii="Arial" w:hAnsi="Arial" w:cs="Arial"/>
        <w:b/>
        <w:bCs/>
        <w:sz w:val="20"/>
        <w:szCs w:val="20"/>
      </w:rPr>
      <w:instrText xml:space="preserve"> NUMPAGES  \* Arabic  \* MERGEFORMAT </w:instrText>
    </w:r>
    <w:r w:rsidRPr="00D3130B">
      <w:rPr>
        <w:rFonts w:ascii="Arial" w:hAnsi="Arial" w:cs="Arial"/>
        <w:b/>
        <w:bCs/>
        <w:sz w:val="20"/>
        <w:szCs w:val="20"/>
      </w:rPr>
      <w:fldChar w:fldCharType="separate"/>
    </w:r>
    <w:r w:rsidRPr="00D3130B">
      <w:rPr>
        <w:rFonts w:ascii="Arial" w:hAnsi="Arial" w:cs="Arial"/>
        <w:b/>
        <w:bCs/>
        <w:noProof/>
        <w:sz w:val="20"/>
        <w:szCs w:val="20"/>
      </w:rPr>
      <w:t>2</w:t>
    </w:r>
    <w:r w:rsidRPr="00D3130B">
      <w:rPr>
        <w:rFonts w:ascii="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F5272" w14:textId="77777777" w:rsidR="00274BE4" w:rsidRDefault="00274BE4" w:rsidP="00D3130B">
      <w:pPr>
        <w:spacing w:after="0" w:line="240" w:lineRule="auto"/>
      </w:pPr>
      <w:r>
        <w:separator/>
      </w:r>
    </w:p>
  </w:footnote>
  <w:footnote w:type="continuationSeparator" w:id="0">
    <w:p w14:paraId="6D97A962" w14:textId="77777777" w:rsidR="00274BE4" w:rsidRDefault="00274BE4" w:rsidP="00D3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2B2D" w14:textId="6462DB82" w:rsidR="00D3130B" w:rsidRPr="00D3130B" w:rsidRDefault="00D3130B" w:rsidP="0041003C">
    <w:pPr>
      <w:pStyle w:val="Header"/>
      <w:pBdr>
        <w:bottom w:val="single" w:sz="4" w:space="1" w:color="auto"/>
      </w:pBdr>
      <w:tabs>
        <w:tab w:val="clear" w:pos="4513"/>
      </w:tabs>
      <w:jc w:val="center"/>
      <w:rPr>
        <w:rFonts w:ascii="Arial" w:hAnsi="Arial" w:cs="Arial"/>
        <w:sz w:val="20"/>
        <w:szCs w:val="20"/>
      </w:rPr>
    </w:pPr>
    <w:r w:rsidRPr="00D3130B">
      <w:rPr>
        <w:rFonts w:ascii="Arial" w:hAnsi="Arial" w:cs="Arial"/>
        <w:sz w:val="20"/>
        <w:szCs w:val="20"/>
      </w:rPr>
      <w:t>Supplementary Materials</w:t>
    </w:r>
    <w:r w:rsidRPr="00D3130B">
      <w:rPr>
        <w:rFonts w:ascii="Arial" w:hAnsi="Arial" w:cs="Arial"/>
        <w:sz w:val="20"/>
        <w:szCs w:val="20"/>
      </w:rPr>
      <w:tab/>
    </w:r>
    <w:r w:rsidR="00822B19">
      <w:rPr>
        <w:rFonts w:ascii="Arial" w:hAnsi="Arial" w:cs="Arial"/>
        <w:sz w:val="20"/>
        <w:szCs w:val="20"/>
      </w:rPr>
      <w:t>3</w:t>
    </w:r>
    <w:r w:rsidR="00487844">
      <w:rPr>
        <w:rFonts w:ascii="Arial" w:hAnsi="Arial" w:cs="Arial"/>
        <w:sz w:val="20"/>
        <w:szCs w:val="20"/>
      </w:rPr>
      <w:t>0</w:t>
    </w:r>
    <w:r w:rsidRPr="00D3130B">
      <w:rPr>
        <w:rFonts w:ascii="Arial" w:hAnsi="Arial" w:cs="Arial"/>
        <w:sz w:val="20"/>
        <w:szCs w:val="20"/>
      </w:rPr>
      <w:t>-</w:t>
    </w:r>
    <w:r w:rsidR="00DE726C">
      <w:rPr>
        <w:rFonts w:ascii="Arial" w:hAnsi="Arial" w:cs="Arial"/>
        <w:sz w:val="20"/>
        <w:szCs w:val="20"/>
      </w:rPr>
      <w:t>Mar</w:t>
    </w:r>
    <w:r w:rsidRPr="00D3130B">
      <w:rPr>
        <w:rFonts w:ascii="Arial" w:hAnsi="Arial" w:cs="Arial"/>
        <w:sz w:val="20"/>
        <w:szCs w:val="20"/>
      </w:rPr>
      <w:t>-202</w:t>
    </w:r>
    <w:r w:rsidR="00F63B50">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920E7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5853274"/>
    <w:multiLevelType w:val="hybridMultilevel"/>
    <w:tmpl w:val="070256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36569221">
    <w:abstractNumId w:val="1"/>
  </w:num>
  <w:num w:numId="2" w16cid:durableId="124788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55"/>
    <w:rsid w:val="00000EDA"/>
    <w:rsid w:val="00007B68"/>
    <w:rsid w:val="00013A30"/>
    <w:rsid w:val="00014AA4"/>
    <w:rsid w:val="00031547"/>
    <w:rsid w:val="000323DE"/>
    <w:rsid w:val="00035E38"/>
    <w:rsid w:val="00051077"/>
    <w:rsid w:val="00053496"/>
    <w:rsid w:val="00075991"/>
    <w:rsid w:val="000805FF"/>
    <w:rsid w:val="0009783A"/>
    <w:rsid w:val="000C01E5"/>
    <w:rsid w:val="000C54A0"/>
    <w:rsid w:val="000D4832"/>
    <w:rsid w:val="000E133F"/>
    <w:rsid w:val="000E3AC0"/>
    <w:rsid w:val="000F6DEE"/>
    <w:rsid w:val="00104726"/>
    <w:rsid w:val="00112E69"/>
    <w:rsid w:val="001260ED"/>
    <w:rsid w:val="0013252C"/>
    <w:rsid w:val="00154678"/>
    <w:rsid w:val="001744EC"/>
    <w:rsid w:val="001766AD"/>
    <w:rsid w:val="0019311F"/>
    <w:rsid w:val="00195A94"/>
    <w:rsid w:val="001C1E4B"/>
    <w:rsid w:val="001C24C3"/>
    <w:rsid w:val="001E3338"/>
    <w:rsid w:val="001F0DB7"/>
    <w:rsid w:val="0021104F"/>
    <w:rsid w:val="00245484"/>
    <w:rsid w:val="00247069"/>
    <w:rsid w:val="002511A2"/>
    <w:rsid w:val="00263B8F"/>
    <w:rsid w:val="00274BE4"/>
    <w:rsid w:val="00281C1B"/>
    <w:rsid w:val="00287B04"/>
    <w:rsid w:val="002C11DD"/>
    <w:rsid w:val="002C1E08"/>
    <w:rsid w:val="002C4C76"/>
    <w:rsid w:val="002D0C66"/>
    <w:rsid w:val="002D306F"/>
    <w:rsid w:val="002D3F63"/>
    <w:rsid w:val="002D6A81"/>
    <w:rsid w:val="002E6068"/>
    <w:rsid w:val="002F072C"/>
    <w:rsid w:val="002F11F7"/>
    <w:rsid w:val="0030459A"/>
    <w:rsid w:val="00321249"/>
    <w:rsid w:val="00330DEB"/>
    <w:rsid w:val="00336428"/>
    <w:rsid w:val="003371B7"/>
    <w:rsid w:val="00352AF6"/>
    <w:rsid w:val="00372E3F"/>
    <w:rsid w:val="003A5EFC"/>
    <w:rsid w:val="003C2853"/>
    <w:rsid w:val="003E47BD"/>
    <w:rsid w:val="00401B21"/>
    <w:rsid w:val="00407462"/>
    <w:rsid w:val="0041003C"/>
    <w:rsid w:val="00411142"/>
    <w:rsid w:val="00415C5B"/>
    <w:rsid w:val="00430A8D"/>
    <w:rsid w:val="00440408"/>
    <w:rsid w:val="004470D3"/>
    <w:rsid w:val="004522AD"/>
    <w:rsid w:val="004618C4"/>
    <w:rsid w:val="004852D9"/>
    <w:rsid w:val="004872A2"/>
    <w:rsid w:val="00487844"/>
    <w:rsid w:val="004A1F52"/>
    <w:rsid w:val="004C7372"/>
    <w:rsid w:val="004C75ED"/>
    <w:rsid w:val="004E1302"/>
    <w:rsid w:val="004F7828"/>
    <w:rsid w:val="005023B8"/>
    <w:rsid w:val="00502485"/>
    <w:rsid w:val="0051043D"/>
    <w:rsid w:val="0053445A"/>
    <w:rsid w:val="005450A2"/>
    <w:rsid w:val="00573ED2"/>
    <w:rsid w:val="00576723"/>
    <w:rsid w:val="005B36C3"/>
    <w:rsid w:val="005B5173"/>
    <w:rsid w:val="00621278"/>
    <w:rsid w:val="006308FD"/>
    <w:rsid w:val="006538EB"/>
    <w:rsid w:val="00657B87"/>
    <w:rsid w:val="00682418"/>
    <w:rsid w:val="00682F9F"/>
    <w:rsid w:val="006C69CB"/>
    <w:rsid w:val="006D7A87"/>
    <w:rsid w:val="006E4BE0"/>
    <w:rsid w:val="006F3522"/>
    <w:rsid w:val="006F361D"/>
    <w:rsid w:val="006F3F57"/>
    <w:rsid w:val="00700A9C"/>
    <w:rsid w:val="0070318D"/>
    <w:rsid w:val="00704429"/>
    <w:rsid w:val="00710ABC"/>
    <w:rsid w:val="007310E5"/>
    <w:rsid w:val="00744F9B"/>
    <w:rsid w:val="00751A62"/>
    <w:rsid w:val="00753B1F"/>
    <w:rsid w:val="00775E3E"/>
    <w:rsid w:val="00781219"/>
    <w:rsid w:val="0079650E"/>
    <w:rsid w:val="007B430F"/>
    <w:rsid w:val="007B66DE"/>
    <w:rsid w:val="007C35B0"/>
    <w:rsid w:val="007D770C"/>
    <w:rsid w:val="00822B19"/>
    <w:rsid w:val="0082588C"/>
    <w:rsid w:val="00827CDE"/>
    <w:rsid w:val="008470C8"/>
    <w:rsid w:val="00862D49"/>
    <w:rsid w:val="0086707D"/>
    <w:rsid w:val="0086727D"/>
    <w:rsid w:val="00877312"/>
    <w:rsid w:val="008A12E3"/>
    <w:rsid w:val="008B3CE0"/>
    <w:rsid w:val="008C6245"/>
    <w:rsid w:val="008D1524"/>
    <w:rsid w:val="00952D91"/>
    <w:rsid w:val="00992E55"/>
    <w:rsid w:val="009933AB"/>
    <w:rsid w:val="009D6CD5"/>
    <w:rsid w:val="00A0192B"/>
    <w:rsid w:val="00A20A7F"/>
    <w:rsid w:val="00A230D7"/>
    <w:rsid w:val="00A244B4"/>
    <w:rsid w:val="00A30379"/>
    <w:rsid w:val="00A42284"/>
    <w:rsid w:val="00A434BA"/>
    <w:rsid w:val="00A536DE"/>
    <w:rsid w:val="00A54C00"/>
    <w:rsid w:val="00A57E43"/>
    <w:rsid w:val="00A7638E"/>
    <w:rsid w:val="00AC76AE"/>
    <w:rsid w:val="00AE0A5A"/>
    <w:rsid w:val="00B0019C"/>
    <w:rsid w:val="00B07CEB"/>
    <w:rsid w:val="00B36F47"/>
    <w:rsid w:val="00B37533"/>
    <w:rsid w:val="00B52F88"/>
    <w:rsid w:val="00BC58F9"/>
    <w:rsid w:val="00BF162C"/>
    <w:rsid w:val="00BF260D"/>
    <w:rsid w:val="00C13F41"/>
    <w:rsid w:val="00C209E2"/>
    <w:rsid w:val="00C232A3"/>
    <w:rsid w:val="00C31B53"/>
    <w:rsid w:val="00C504A5"/>
    <w:rsid w:val="00C54019"/>
    <w:rsid w:val="00C70956"/>
    <w:rsid w:val="00CB4A86"/>
    <w:rsid w:val="00CE348D"/>
    <w:rsid w:val="00CE5F5F"/>
    <w:rsid w:val="00CE6A67"/>
    <w:rsid w:val="00CF1832"/>
    <w:rsid w:val="00D02D0C"/>
    <w:rsid w:val="00D139EE"/>
    <w:rsid w:val="00D27976"/>
    <w:rsid w:val="00D3130B"/>
    <w:rsid w:val="00D5072D"/>
    <w:rsid w:val="00D679CF"/>
    <w:rsid w:val="00D72000"/>
    <w:rsid w:val="00DC26DE"/>
    <w:rsid w:val="00DD17A0"/>
    <w:rsid w:val="00DE1CA4"/>
    <w:rsid w:val="00DE3523"/>
    <w:rsid w:val="00DE726C"/>
    <w:rsid w:val="00DF4533"/>
    <w:rsid w:val="00E45E6B"/>
    <w:rsid w:val="00E46890"/>
    <w:rsid w:val="00E603C3"/>
    <w:rsid w:val="00E85A17"/>
    <w:rsid w:val="00E873D0"/>
    <w:rsid w:val="00ED6B8B"/>
    <w:rsid w:val="00EF187C"/>
    <w:rsid w:val="00F126D7"/>
    <w:rsid w:val="00F34C28"/>
    <w:rsid w:val="00F47CBB"/>
    <w:rsid w:val="00F63B50"/>
    <w:rsid w:val="00F65375"/>
    <w:rsid w:val="00F660F6"/>
    <w:rsid w:val="00F758CA"/>
    <w:rsid w:val="00F9063F"/>
    <w:rsid w:val="00F938AB"/>
    <w:rsid w:val="00F942B5"/>
    <w:rsid w:val="00F9539C"/>
    <w:rsid w:val="00F96CD9"/>
    <w:rsid w:val="00F971A1"/>
    <w:rsid w:val="00FA183C"/>
    <w:rsid w:val="00FC168F"/>
    <w:rsid w:val="00FC228A"/>
    <w:rsid w:val="00FE3855"/>
    <w:rsid w:val="00FF643F"/>
    <w:rsid w:val="00FF73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CB88"/>
  <w15:chartTrackingRefBased/>
  <w15:docId w15:val="{B4792945-084F-4B6E-B85D-559B3E2A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30B"/>
    <w:pPr>
      <w:spacing w:after="160" w:line="278" w:lineRule="auto"/>
    </w:pPr>
    <w:rPr>
      <w:lang w:val="en-US"/>
    </w:rPr>
  </w:style>
  <w:style w:type="paragraph" w:styleId="Heading1">
    <w:name w:val="heading 1"/>
    <w:basedOn w:val="Normal"/>
    <w:next w:val="Normal"/>
    <w:link w:val="Heading1Char"/>
    <w:uiPriority w:val="9"/>
    <w:qFormat/>
    <w:rsid w:val="00FE38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877312"/>
    <w:pPr>
      <w:pBdr>
        <w:top w:val="single" w:sz="24" w:space="0" w:color="B1D2FB"/>
        <w:left w:val="single" w:sz="24" w:space="0" w:color="B1D2FB"/>
        <w:bottom w:val="single" w:sz="24" w:space="0" w:color="B1D2FB"/>
        <w:right w:val="single" w:sz="24" w:space="0" w:color="B1D2FB"/>
      </w:pBdr>
      <w:shd w:val="clear" w:color="auto" w:fill="B1D2FB"/>
      <w:spacing w:before="100" w:line="276" w:lineRule="auto"/>
      <w:outlineLvl w:val="1"/>
    </w:pPr>
    <w:rPr>
      <w:rFonts w:ascii="Century Gothic" w:eastAsia="Times New Roman" w:hAnsi="Century Gothic" w:cs="Times New Roman"/>
      <w:caps/>
      <w:spacing w:val="15"/>
      <w:kern w:val="0"/>
      <w:sz w:val="20"/>
      <w:szCs w:val="20"/>
      <w14:ligatures w14:val="none"/>
    </w:rPr>
  </w:style>
  <w:style w:type="paragraph" w:styleId="Heading3">
    <w:name w:val="heading 3"/>
    <w:basedOn w:val="Normal"/>
    <w:next w:val="Normal"/>
    <w:link w:val="Heading3Char"/>
    <w:uiPriority w:val="9"/>
    <w:semiHidden/>
    <w:unhideWhenUsed/>
    <w:qFormat/>
    <w:rsid w:val="00FE38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38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38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38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8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8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8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281C1B"/>
    <w:pPr>
      <w:spacing w:line="300" w:lineRule="auto"/>
    </w:pPr>
    <w:rPr>
      <w:rFonts w:ascii="Times New Roman" w:hAnsi="Times New Roman"/>
    </w:rPr>
  </w:style>
  <w:style w:type="character" w:customStyle="1" w:styleId="Heading2Char">
    <w:name w:val="Heading 2 Char"/>
    <w:basedOn w:val="DefaultParagraphFont"/>
    <w:link w:val="Heading2"/>
    <w:uiPriority w:val="9"/>
    <w:rsid w:val="00877312"/>
    <w:rPr>
      <w:rFonts w:ascii="Century Gothic" w:eastAsia="Times New Roman" w:hAnsi="Century Gothic" w:cs="Times New Roman"/>
      <w:caps/>
      <w:spacing w:val="15"/>
      <w:kern w:val="0"/>
      <w:sz w:val="20"/>
      <w:szCs w:val="20"/>
      <w:shd w:val="clear" w:color="auto" w:fill="B1D2FB"/>
      <w:lang w:val="en-US"/>
      <w14:ligatures w14:val="none"/>
    </w:rPr>
  </w:style>
  <w:style w:type="character" w:customStyle="1" w:styleId="Heading1Char">
    <w:name w:val="Heading 1 Char"/>
    <w:basedOn w:val="DefaultParagraphFont"/>
    <w:link w:val="Heading1"/>
    <w:uiPriority w:val="9"/>
    <w:rsid w:val="00FE3855"/>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FE38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38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38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3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3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3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3855"/>
    <w:rPr>
      <w:rFonts w:eastAsiaTheme="majorEastAsia" w:cstheme="majorBidi"/>
      <w:color w:val="272727" w:themeColor="text1" w:themeTint="D8"/>
    </w:rPr>
  </w:style>
  <w:style w:type="paragraph" w:styleId="Title">
    <w:name w:val="Title"/>
    <w:basedOn w:val="Normal"/>
    <w:next w:val="Normal"/>
    <w:link w:val="TitleChar"/>
    <w:uiPriority w:val="10"/>
    <w:qFormat/>
    <w:rsid w:val="00FE3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855"/>
    <w:pPr>
      <w:spacing w:before="160"/>
      <w:jc w:val="center"/>
    </w:pPr>
    <w:rPr>
      <w:i/>
      <w:iCs/>
      <w:color w:val="404040" w:themeColor="text1" w:themeTint="BF"/>
    </w:rPr>
  </w:style>
  <w:style w:type="character" w:customStyle="1" w:styleId="QuoteChar">
    <w:name w:val="Quote Char"/>
    <w:basedOn w:val="DefaultParagraphFont"/>
    <w:link w:val="Quote"/>
    <w:uiPriority w:val="29"/>
    <w:rsid w:val="00FE3855"/>
    <w:rPr>
      <w:i/>
      <w:iCs/>
      <w:color w:val="404040" w:themeColor="text1" w:themeTint="BF"/>
    </w:rPr>
  </w:style>
  <w:style w:type="paragraph" w:styleId="ListParagraph">
    <w:name w:val="List Paragraph"/>
    <w:basedOn w:val="Normal"/>
    <w:uiPriority w:val="34"/>
    <w:qFormat/>
    <w:rsid w:val="00FE3855"/>
    <w:pPr>
      <w:ind w:left="720"/>
      <w:contextualSpacing/>
    </w:pPr>
  </w:style>
  <w:style w:type="character" w:styleId="IntenseEmphasis">
    <w:name w:val="Intense Emphasis"/>
    <w:basedOn w:val="DefaultParagraphFont"/>
    <w:uiPriority w:val="21"/>
    <w:qFormat/>
    <w:rsid w:val="00FE3855"/>
    <w:rPr>
      <w:i/>
      <w:iCs/>
      <w:color w:val="2F5496" w:themeColor="accent1" w:themeShade="BF"/>
    </w:rPr>
  </w:style>
  <w:style w:type="paragraph" w:styleId="IntenseQuote">
    <w:name w:val="Intense Quote"/>
    <w:basedOn w:val="Normal"/>
    <w:next w:val="Normal"/>
    <w:link w:val="IntenseQuoteChar"/>
    <w:uiPriority w:val="30"/>
    <w:qFormat/>
    <w:rsid w:val="00FE3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3855"/>
    <w:rPr>
      <w:i/>
      <w:iCs/>
      <w:color w:val="2F5496" w:themeColor="accent1" w:themeShade="BF"/>
    </w:rPr>
  </w:style>
  <w:style w:type="character" w:styleId="IntenseReference">
    <w:name w:val="Intense Reference"/>
    <w:basedOn w:val="DefaultParagraphFont"/>
    <w:uiPriority w:val="32"/>
    <w:qFormat/>
    <w:rsid w:val="00FE3855"/>
    <w:rPr>
      <w:b/>
      <w:bCs/>
      <w:smallCaps/>
      <w:color w:val="2F5496" w:themeColor="accent1" w:themeShade="BF"/>
      <w:spacing w:val="5"/>
    </w:rPr>
  </w:style>
  <w:style w:type="paragraph" w:styleId="Header">
    <w:name w:val="header"/>
    <w:basedOn w:val="Normal"/>
    <w:link w:val="HeaderChar"/>
    <w:uiPriority w:val="99"/>
    <w:unhideWhenUsed/>
    <w:rsid w:val="00D3130B"/>
    <w:pPr>
      <w:tabs>
        <w:tab w:val="center" w:pos="4513"/>
        <w:tab w:val="right" w:pos="9026"/>
      </w:tabs>
      <w:spacing w:line="240" w:lineRule="auto"/>
    </w:pPr>
  </w:style>
  <w:style w:type="character" w:customStyle="1" w:styleId="HeaderChar">
    <w:name w:val="Header Char"/>
    <w:basedOn w:val="DefaultParagraphFont"/>
    <w:link w:val="Header"/>
    <w:uiPriority w:val="99"/>
    <w:rsid w:val="00D3130B"/>
  </w:style>
  <w:style w:type="paragraph" w:styleId="Footer">
    <w:name w:val="footer"/>
    <w:basedOn w:val="Normal"/>
    <w:link w:val="FooterChar"/>
    <w:uiPriority w:val="99"/>
    <w:unhideWhenUsed/>
    <w:rsid w:val="00D3130B"/>
    <w:pPr>
      <w:tabs>
        <w:tab w:val="center" w:pos="4513"/>
        <w:tab w:val="right" w:pos="9026"/>
      </w:tabs>
      <w:spacing w:line="240" w:lineRule="auto"/>
    </w:pPr>
  </w:style>
  <w:style w:type="character" w:customStyle="1" w:styleId="FooterChar">
    <w:name w:val="Footer Char"/>
    <w:basedOn w:val="DefaultParagraphFont"/>
    <w:link w:val="Footer"/>
    <w:uiPriority w:val="99"/>
    <w:rsid w:val="00D3130B"/>
  </w:style>
  <w:style w:type="paragraph" w:styleId="ListBullet">
    <w:name w:val="List Bullet"/>
    <w:basedOn w:val="Normal"/>
    <w:uiPriority w:val="99"/>
    <w:unhideWhenUsed/>
    <w:rsid w:val="00657B87"/>
    <w:pPr>
      <w:numPr>
        <w:numId w:val="2"/>
      </w:numPr>
      <w:tabs>
        <w:tab w:val="clear" w:pos="360"/>
      </w:tabs>
      <w:spacing w:after="200" w:line="276" w:lineRule="auto"/>
      <w:ind w:left="0" w:firstLine="0"/>
      <w:contextualSpacing/>
    </w:pPr>
    <w:rPr>
      <w:rFonts w:eastAsiaTheme="minorEastAsia"/>
      <w:kern w:val="0"/>
      <w:sz w:val="22"/>
      <w:szCs w:val="22"/>
      <w14:ligatures w14:val="none"/>
    </w:rPr>
  </w:style>
  <w:style w:type="table" w:styleId="TableGrid">
    <w:name w:val="Table Grid"/>
    <w:basedOn w:val="TableNormal"/>
    <w:uiPriority w:val="59"/>
    <w:rsid w:val="00657B87"/>
    <w:pPr>
      <w:spacing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57B8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A57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 Srinivasan</dc:creator>
  <cp:keywords/>
  <dc:description/>
  <cp:lastModifiedBy>Nehanjali Dwivedi</cp:lastModifiedBy>
  <cp:revision>14</cp:revision>
  <cp:lastPrinted>2026-01-04T06:09:00Z</cp:lastPrinted>
  <dcterms:created xsi:type="dcterms:W3CDTF">2026-03-23T11:02:00Z</dcterms:created>
  <dcterms:modified xsi:type="dcterms:W3CDTF">2026-03-30T16:48:00Z</dcterms:modified>
</cp:coreProperties>
</file>