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4CF9" w14:textId="31313139" w:rsidR="00E92C25" w:rsidRPr="00A41133" w:rsidRDefault="00E92C25" w:rsidP="34C32C13">
      <w:pPr>
        <w:pStyle w:val="Titolo1"/>
        <w:rPr>
          <w:rFonts w:ascii="Times New Roman" w:hAnsi="Times New Roman" w:cs="Times New Roman"/>
          <w:b/>
          <w:bCs/>
          <w:color w:val="auto"/>
          <w:sz w:val="24"/>
          <w:szCs w:val="24"/>
        </w:rPr>
      </w:pPr>
      <w:r w:rsidRPr="34C32C13">
        <w:rPr>
          <w:rFonts w:ascii="Times New Roman" w:hAnsi="Times New Roman" w:cs="Times New Roman"/>
          <w:b/>
          <w:bCs/>
          <w:color w:val="auto"/>
          <w:sz w:val="24"/>
          <w:szCs w:val="24"/>
        </w:rPr>
        <w:t xml:space="preserve">Supplementary Table </w:t>
      </w:r>
      <w:r w:rsidR="00982591" w:rsidRPr="34C32C13">
        <w:rPr>
          <w:rFonts w:ascii="Times New Roman" w:hAnsi="Times New Roman" w:cs="Times New Roman"/>
          <w:b/>
          <w:bCs/>
          <w:color w:val="auto"/>
          <w:sz w:val="24"/>
          <w:szCs w:val="24"/>
        </w:rPr>
        <w:t>4</w:t>
      </w:r>
      <w:r w:rsidR="68AD788A" w:rsidRPr="34C32C13">
        <w:rPr>
          <w:rFonts w:ascii="Times New Roman" w:hAnsi="Times New Roman" w:cs="Times New Roman"/>
          <w:b/>
          <w:bCs/>
          <w:color w:val="auto"/>
          <w:sz w:val="24"/>
          <w:szCs w:val="24"/>
        </w:rPr>
        <w:t>.</w:t>
      </w:r>
      <w:r w:rsidRPr="34C32C13">
        <w:rPr>
          <w:rFonts w:ascii="Times New Roman" w:hAnsi="Times New Roman" w:cs="Times New Roman"/>
          <w:b/>
          <w:bCs/>
          <w:color w:val="auto"/>
          <w:sz w:val="24"/>
          <w:szCs w:val="24"/>
        </w:rPr>
        <w:t xml:space="preserve"> </w:t>
      </w:r>
      <w:r w:rsidRPr="34C32C13">
        <w:rPr>
          <w:rFonts w:ascii="Times New Roman" w:hAnsi="Times New Roman" w:cs="Times New Roman"/>
          <w:color w:val="auto"/>
          <w:sz w:val="24"/>
          <w:szCs w:val="24"/>
        </w:rPr>
        <w:t xml:space="preserve">Round 2 </w:t>
      </w:r>
      <w:r w:rsidR="008F336F" w:rsidRPr="34C32C13">
        <w:rPr>
          <w:rFonts w:ascii="Times New Roman" w:hAnsi="Times New Roman" w:cs="Times New Roman"/>
          <w:color w:val="auto"/>
          <w:sz w:val="24"/>
          <w:szCs w:val="24"/>
        </w:rPr>
        <w:t>results</w:t>
      </w:r>
      <w:r w:rsidR="007C0121" w:rsidRPr="34C32C13">
        <w:rPr>
          <w:rFonts w:ascii="Times New Roman" w:hAnsi="Times New Roman" w:cs="Times New Roman"/>
          <w:color w:val="auto"/>
          <w:sz w:val="24"/>
          <w:szCs w:val="24"/>
        </w:rPr>
        <w:t>.</w:t>
      </w:r>
    </w:p>
    <w:p w14:paraId="15628CEF" w14:textId="77777777" w:rsidR="003878AE" w:rsidRPr="003878AE" w:rsidRDefault="003878AE" w:rsidP="003878AE"/>
    <w:tbl>
      <w:tblPr>
        <w:tblStyle w:val="Grigliatabella"/>
        <w:tblW w:w="14278" w:type="dxa"/>
        <w:tblLook w:val="04A0" w:firstRow="1" w:lastRow="0" w:firstColumn="1" w:lastColumn="0" w:noHBand="0" w:noVBand="1"/>
      </w:tblPr>
      <w:tblGrid>
        <w:gridCol w:w="4740"/>
        <w:gridCol w:w="974"/>
        <w:gridCol w:w="974"/>
        <w:gridCol w:w="974"/>
        <w:gridCol w:w="974"/>
        <w:gridCol w:w="974"/>
        <w:gridCol w:w="2040"/>
        <w:gridCol w:w="2628"/>
      </w:tblGrid>
      <w:tr w:rsidR="00180BF1" w:rsidRPr="00266E6D" w14:paraId="02B4C02B" w14:textId="063A0E84" w:rsidTr="2E5E7E52">
        <w:tc>
          <w:tcPr>
            <w:tcW w:w="4740" w:type="dxa"/>
          </w:tcPr>
          <w:p w14:paraId="7E93C980" w14:textId="31999DC3" w:rsidR="00180BF1" w:rsidRPr="00266E6D" w:rsidRDefault="00266E6D" w:rsidP="0026248A">
            <w:pPr>
              <w:jc w:val="center"/>
              <w:rPr>
                <w:rFonts w:ascii="Times New Roman" w:hAnsi="Times New Roman" w:cs="Times New Roman"/>
                <w:b/>
                <w:bCs/>
              </w:rPr>
            </w:pPr>
            <w:r>
              <w:rPr>
                <w:rFonts w:ascii="Times New Roman" w:hAnsi="Times New Roman" w:cs="Times New Roman"/>
                <w:b/>
                <w:bCs/>
              </w:rPr>
              <w:t>Statement</w:t>
            </w:r>
          </w:p>
        </w:tc>
        <w:tc>
          <w:tcPr>
            <w:tcW w:w="4870" w:type="dxa"/>
            <w:gridSpan w:val="5"/>
          </w:tcPr>
          <w:p w14:paraId="321A268E"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Level of aggregation</w:t>
            </w:r>
          </w:p>
        </w:tc>
        <w:tc>
          <w:tcPr>
            <w:tcW w:w="2040" w:type="dxa"/>
          </w:tcPr>
          <w:p w14:paraId="3045D979"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Result</w:t>
            </w:r>
          </w:p>
        </w:tc>
        <w:tc>
          <w:tcPr>
            <w:tcW w:w="2628" w:type="dxa"/>
          </w:tcPr>
          <w:p w14:paraId="7C4B9A91" w14:textId="0A119D09" w:rsidR="00180BF1" w:rsidRPr="00266E6D" w:rsidRDefault="00DD55F8" w:rsidP="001374E8">
            <w:pPr>
              <w:jc w:val="center"/>
              <w:rPr>
                <w:rFonts w:ascii="Times New Roman" w:hAnsi="Times New Roman" w:cs="Times New Roman"/>
                <w:b/>
                <w:bCs/>
              </w:rPr>
            </w:pPr>
            <w:r>
              <w:rPr>
                <w:rFonts w:ascii="Times New Roman" w:hAnsi="Times New Roman" w:cs="Times New Roman"/>
                <w:b/>
                <w:bCs/>
              </w:rPr>
              <w:t>Notes</w:t>
            </w:r>
          </w:p>
        </w:tc>
      </w:tr>
      <w:tr w:rsidR="00180BF1" w:rsidRPr="00266E6D" w14:paraId="5EB8D65D" w14:textId="7B75AADA" w:rsidTr="2E5E7E52">
        <w:tc>
          <w:tcPr>
            <w:tcW w:w="4740" w:type="dxa"/>
          </w:tcPr>
          <w:p w14:paraId="6B3CD07D" w14:textId="77777777" w:rsidR="00180BF1" w:rsidRPr="00266E6D" w:rsidRDefault="00180BF1" w:rsidP="00A41133">
            <w:pPr>
              <w:rPr>
                <w:rFonts w:ascii="Times New Roman" w:hAnsi="Times New Roman" w:cs="Times New Roman"/>
              </w:rPr>
            </w:pPr>
            <w:r w:rsidRPr="00266E6D">
              <w:rPr>
                <w:rFonts w:ascii="Times New Roman" w:hAnsi="Times New Roman" w:cs="Times New Roman"/>
                <w:b/>
                <w:bCs/>
              </w:rPr>
              <w:t>Area 1 - Treatment of potential triggers of AFib in septic shock patient</w:t>
            </w:r>
          </w:p>
        </w:tc>
        <w:tc>
          <w:tcPr>
            <w:tcW w:w="974" w:type="dxa"/>
          </w:tcPr>
          <w:p w14:paraId="72CB3992"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 7 - 9</w:t>
            </w:r>
          </w:p>
        </w:tc>
        <w:tc>
          <w:tcPr>
            <w:tcW w:w="974" w:type="dxa"/>
          </w:tcPr>
          <w:p w14:paraId="796C8D9F"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 4 - 6</w:t>
            </w:r>
          </w:p>
        </w:tc>
        <w:tc>
          <w:tcPr>
            <w:tcW w:w="974" w:type="dxa"/>
          </w:tcPr>
          <w:p w14:paraId="54820911"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 1 - 3</w:t>
            </w:r>
          </w:p>
        </w:tc>
        <w:tc>
          <w:tcPr>
            <w:tcW w:w="974" w:type="dxa"/>
          </w:tcPr>
          <w:p w14:paraId="1BA2B834"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 4 - 9</w:t>
            </w:r>
          </w:p>
        </w:tc>
        <w:tc>
          <w:tcPr>
            <w:tcW w:w="974" w:type="dxa"/>
          </w:tcPr>
          <w:p w14:paraId="4C81735D" w14:textId="77777777" w:rsidR="00180BF1" w:rsidRPr="00266E6D" w:rsidRDefault="00180BF1" w:rsidP="0026248A">
            <w:pPr>
              <w:jc w:val="center"/>
              <w:rPr>
                <w:rFonts w:ascii="Times New Roman" w:hAnsi="Times New Roman" w:cs="Times New Roman"/>
                <w:b/>
                <w:bCs/>
              </w:rPr>
            </w:pPr>
            <w:r w:rsidRPr="00266E6D">
              <w:rPr>
                <w:rFonts w:ascii="Times New Roman" w:hAnsi="Times New Roman" w:cs="Times New Roman"/>
                <w:b/>
                <w:bCs/>
              </w:rPr>
              <w:t>% 1 - 6</w:t>
            </w:r>
          </w:p>
        </w:tc>
        <w:tc>
          <w:tcPr>
            <w:tcW w:w="2040" w:type="dxa"/>
          </w:tcPr>
          <w:p w14:paraId="1D3393C6" w14:textId="7F5C5C63" w:rsidR="00180BF1" w:rsidRPr="00266E6D" w:rsidRDefault="00180BF1" w:rsidP="0026248A">
            <w:pPr>
              <w:jc w:val="center"/>
              <w:rPr>
                <w:rFonts w:ascii="Times New Roman" w:hAnsi="Times New Roman" w:cs="Times New Roman"/>
                <w:b/>
                <w:bCs/>
              </w:rPr>
            </w:pPr>
          </w:p>
        </w:tc>
        <w:tc>
          <w:tcPr>
            <w:tcW w:w="2628" w:type="dxa"/>
          </w:tcPr>
          <w:p w14:paraId="6C2868E6" w14:textId="77777777" w:rsidR="00180BF1" w:rsidRPr="00266E6D" w:rsidRDefault="00180BF1" w:rsidP="001374E8">
            <w:pPr>
              <w:jc w:val="both"/>
              <w:rPr>
                <w:rFonts w:ascii="Times New Roman" w:hAnsi="Times New Roman" w:cs="Times New Roman"/>
                <w:b/>
                <w:bCs/>
              </w:rPr>
            </w:pPr>
          </w:p>
        </w:tc>
      </w:tr>
      <w:tr w:rsidR="00180BF1" w:rsidRPr="00266E6D" w14:paraId="1325CF5A" w14:textId="654D3B8F" w:rsidTr="2E5E7E52">
        <w:tc>
          <w:tcPr>
            <w:tcW w:w="4740" w:type="dxa"/>
          </w:tcPr>
          <w:p w14:paraId="5D064DA4" w14:textId="2B196ACF" w:rsidR="00180BF1" w:rsidRPr="00266E6D" w:rsidRDefault="00180BF1" w:rsidP="00A41133">
            <w:pPr>
              <w:rPr>
                <w:rFonts w:ascii="Times New Roman" w:hAnsi="Times New Roman" w:cs="Times New Roman"/>
              </w:rPr>
            </w:pPr>
            <w:r w:rsidRPr="00266E6D">
              <w:rPr>
                <w:rFonts w:ascii="Times New Roman" w:hAnsi="Times New Roman" w:cs="Times New Roman"/>
              </w:rPr>
              <w:t>4.  At first presentation of septic shock patient with AFib, pain or anxiety (e.g. postoperative) should be detected before starting controlling HR [1,2,</w:t>
            </w:r>
            <w:r w:rsidR="00F2453A">
              <w:rPr>
                <w:rFonts w:ascii="Times New Roman" w:hAnsi="Times New Roman" w:cs="Times New Roman"/>
              </w:rPr>
              <w:t>3</w:t>
            </w:r>
            <w:r w:rsidRPr="00266E6D">
              <w:rPr>
                <w:rFonts w:ascii="Times New Roman" w:hAnsi="Times New Roman" w:cs="Times New Roman"/>
              </w:rPr>
              <w:t>,</w:t>
            </w:r>
            <w:r w:rsidR="00F2453A">
              <w:rPr>
                <w:rFonts w:ascii="Times New Roman" w:hAnsi="Times New Roman" w:cs="Times New Roman"/>
              </w:rPr>
              <w:t>4</w:t>
            </w:r>
            <w:r w:rsidRPr="00266E6D">
              <w:rPr>
                <w:rFonts w:ascii="Times New Roman" w:hAnsi="Times New Roman" w:cs="Times New Roman"/>
              </w:rPr>
              <w:t>,</w:t>
            </w:r>
            <w:r w:rsidR="00F2453A">
              <w:rPr>
                <w:rFonts w:ascii="Times New Roman" w:hAnsi="Times New Roman" w:cs="Times New Roman"/>
              </w:rPr>
              <w:t>5</w:t>
            </w:r>
            <w:r w:rsidRPr="00266E6D">
              <w:rPr>
                <w:rFonts w:ascii="Times New Roman" w:hAnsi="Times New Roman" w:cs="Times New Roman"/>
              </w:rPr>
              <w:t>,</w:t>
            </w:r>
            <w:r w:rsidR="00F2453A">
              <w:rPr>
                <w:rFonts w:ascii="Times New Roman" w:hAnsi="Times New Roman" w:cs="Times New Roman"/>
              </w:rPr>
              <w:t>6</w:t>
            </w:r>
            <w:r w:rsidRPr="00266E6D">
              <w:rPr>
                <w:rFonts w:ascii="Times New Roman" w:hAnsi="Times New Roman" w:cs="Times New Roman"/>
              </w:rPr>
              <w:t>,</w:t>
            </w:r>
            <w:r w:rsidR="00510C2E">
              <w:rPr>
                <w:rFonts w:ascii="Times New Roman" w:hAnsi="Times New Roman" w:cs="Times New Roman"/>
              </w:rPr>
              <w:t>7</w:t>
            </w:r>
            <w:r w:rsidRPr="00266E6D">
              <w:rPr>
                <w:rFonts w:ascii="Times New Roman" w:hAnsi="Times New Roman" w:cs="Times New Roman"/>
              </w:rPr>
              <w:t>,</w:t>
            </w:r>
            <w:r w:rsidR="00510C2E">
              <w:rPr>
                <w:rFonts w:ascii="Times New Roman" w:hAnsi="Times New Roman" w:cs="Times New Roman"/>
              </w:rPr>
              <w:t>8</w:t>
            </w:r>
            <w:r w:rsidRPr="00266E6D">
              <w:rPr>
                <w:rFonts w:ascii="Times New Roman" w:hAnsi="Times New Roman" w:cs="Times New Roman"/>
              </w:rPr>
              <w:t>,</w:t>
            </w:r>
            <w:r w:rsidR="003572A3">
              <w:rPr>
                <w:rFonts w:ascii="Times New Roman" w:hAnsi="Times New Roman" w:cs="Times New Roman"/>
              </w:rPr>
              <w:t>44</w:t>
            </w:r>
            <w:r w:rsidRPr="00266E6D">
              <w:rPr>
                <w:rFonts w:ascii="Times New Roman" w:hAnsi="Times New Roman" w:cs="Times New Roman"/>
              </w:rPr>
              <w:t>]</w:t>
            </w:r>
            <w:r w:rsidR="00887F3A">
              <w:rPr>
                <w:rFonts w:ascii="Times New Roman" w:hAnsi="Times New Roman" w:cs="Times New Roman"/>
              </w:rPr>
              <w:t>.</w:t>
            </w:r>
            <w:r w:rsidRPr="00266E6D">
              <w:rPr>
                <w:rFonts w:ascii="Times New Roman" w:hAnsi="Times New Roman" w:cs="Times New Roman"/>
              </w:rPr>
              <w:t xml:space="preserve"> </w:t>
            </w:r>
          </w:p>
        </w:tc>
        <w:tc>
          <w:tcPr>
            <w:tcW w:w="974" w:type="dxa"/>
          </w:tcPr>
          <w:p w14:paraId="2E9FAFA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Pr>
          <w:p w14:paraId="3F21F5C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14DEACE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Pr>
          <w:p w14:paraId="3D9C236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Pr>
          <w:p w14:paraId="2A0758E6"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76EA3CA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5EF2CE77" w14:textId="77777777" w:rsidR="00180BF1" w:rsidRPr="00266E6D" w:rsidRDefault="00180BF1" w:rsidP="001374E8">
            <w:pPr>
              <w:jc w:val="both"/>
              <w:rPr>
                <w:rFonts w:ascii="Times New Roman" w:hAnsi="Times New Roman" w:cs="Times New Roman"/>
              </w:rPr>
            </w:pPr>
          </w:p>
        </w:tc>
      </w:tr>
      <w:tr w:rsidR="00180BF1" w:rsidRPr="00266E6D" w14:paraId="17FC04AC" w14:textId="23E78C31" w:rsidTr="2E5E7E52">
        <w:tc>
          <w:tcPr>
            <w:tcW w:w="4740" w:type="dxa"/>
          </w:tcPr>
          <w:p w14:paraId="6C7BA908" w14:textId="07F1F81E" w:rsidR="00180BF1" w:rsidRPr="00266E6D" w:rsidRDefault="00180BF1" w:rsidP="00A41133">
            <w:pPr>
              <w:rPr>
                <w:rFonts w:ascii="Times New Roman" w:hAnsi="Times New Roman" w:cs="Times New Roman"/>
              </w:rPr>
            </w:pPr>
            <w:r w:rsidRPr="00266E6D">
              <w:rPr>
                <w:rFonts w:ascii="Times New Roman" w:hAnsi="Times New Roman" w:cs="Times New Roman"/>
              </w:rPr>
              <w:t>6.  At first presentation of septic shock patient with AFib, suspected hypomagnesemia may be identified and corrected before starting controlling HR with landiolol, but without delaying in case of hemodynamic instability [1,2,</w:t>
            </w:r>
            <w:r w:rsidR="00510C2E">
              <w:rPr>
                <w:rFonts w:ascii="Times New Roman" w:hAnsi="Times New Roman" w:cs="Times New Roman"/>
              </w:rPr>
              <w:t>3</w:t>
            </w:r>
            <w:r w:rsidRPr="00266E6D">
              <w:rPr>
                <w:rFonts w:ascii="Times New Roman" w:hAnsi="Times New Roman" w:cs="Times New Roman"/>
              </w:rPr>
              <w:t>,</w:t>
            </w:r>
            <w:r w:rsidR="006727F6">
              <w:rPr>
                <w:rFonts w:ascii="Times New Roman" w:hAnsi="Times New Roman" w:cs="Times New Roman"/>
              </w:rPr>
              <w:t>4</w:t>
            </w:r>
            <w:r w:rsidRPr="00266E6D">
              <w:rPr>
                <w:rFonts w:ascii="Times New Roman" w:hAnsi="Times New Roman" w:cs="Times New Roman"/>
              </w:rPr>
              <w:t>,</w:t>
            </w:r>
            <w:r w:rsidR="006727F6">
              <w:rPr>
                <w:rFonts w:ascii="Times New Roman" w:hAnsi="Times New Roman" w:cs="Times New Roman"/>
              </w:rPr>
              <w:t>5</w:t>
            </w:r>
            <w:r w:rsidRPr="00266E6D">
              <w:rPr>
                <w:rFonts w:ascii="Times New Roman" w:hAnsi="Times New Roman" w:cs="Times New Roman"/>
              </w:rPr>
              <w:t>,</w:t>
            </w:r>
            <w:r w:rsidR="006727F6">
              <w:rPr>
                <w:rFonts w:ascii="Times New Roman" w:hAnsi="Times New Roman" w:cs="Times New Roman"/>
              </w:rPr>
              <w:t>6</w:t>
            </w:r>
            <w:r w:rsidRPr="00266E6D">
              <w:rPr>
                <w:rFonts w:ascii="Times New Roman" w:hAnsi="Times New Roman" w:cs="Times New Roman"/>
              </w:rPr>
              <w:t>,</w:t>
            </w:r>
            <w:r w:rsidR="006727F6">
              <w:rPr>
                <w:rFonts w:ascii="Times New Roman" w:hAnsi="Times New Roman" w:cs="Times New Roman"/>
              </w:rPr>
              <w:t>7</w:t>
            </w:r>
            <w:r w:rsidRPr="00266E6D">
              <w:rPr>
                <w:rFonts w:ascii="Times New Roman" w:hAnsi="Times New Roman" w:cs="Times New Roman"/>
              </w:rPr>
              <w:t>,</w:t>
            </w:r>
            <w:r w:rsidR="00887F3A">
              <w:rPr>
                <w:rFonts w:ascii="Times New Roman" w:hAnsi="Times New Roman" w:cs="Times New Roman"/>
              </w:rPr>
              <w:t>8,</w:t>
            </w:r>
            <w:r w:rsidR="006727F6">
              <w:rPr>
                <w:rFonts w:ascii="Times New Roman" w:hAnsi="Times New Roman" w:cs="Times New Roman"/>
              </w:rPr>
              <w:t>9</w:t>
            </w:r>
            <w:r w:rsidRPr="00266E6D">
              <w:rPr>
                <w:rFonts w:ascii="Times New Roman" w:hAnsi="Times New Roman" w:cs="Times New Roman"/>
              </w:rPr>
              <w:t>]</w:t>
            </w:r>
            <w:r w:rsidR="00887F3A">
              <w:rPr>
                <w:rFonts w:ascii="Times New Roman" w:hAnsi="Times New Roman" w:cs="Times New Roman"/>
              </w:rPr>
              <w:t>.</w:t>
            </w:r>
          </w:p>
        </w:tc>
        <w:tc>
          <w:tcPr>
            <w:tcW w:w="974" w:type="dxa"/>
          </w:tcPr>
          <w:p w14:paraId="1886147E"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Pr>
          <w:p w14:paraId="6ACCEF8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530CF783"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Pr>
          <w:p w14:paraId="338039BA"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Pr>
          <w:p w14:paraId="593365F1"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23DAB26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04F9E8EE" w14:textId="77777777" w:rsidR="00180BF1" w:rsidRPr="00266E6D" w:rsidRDefault="00180BF1" w:rsidP="001374E8">
            <w:pPr>
              <w:jc w:val="both"/>
              <w:rPr>
                <w:rFonts w:ascii="Times New Roman" w:hAnsi="Times New Roman" w:cs="Times New Roman"/>
              </w:rPr>
            </w:pPr>
          </w:p>
        </w:tc>
      </w:tr>
      <w:tr w:rsidR="00180BF1" w:rsidRPr="00266E6D" w14:paraId="77F6B274" w14:textId="02699DA0" w:rsidTr="2E5E7E52">
        <w:tc>
          <w:tcPr>
            <w:tcW w:w="4740" w:type="dxa"/>
          </w:tcPr>
          <w:p w14:paraId="3A4C04BD" w14:textId="335E3425" w:rsidR="00180BF1" w:rsidRPr="00266E6D" w:rsidRDefault="00180BF1" w:rsidP="00A41133">
            <w:pPr>
              <w:rPr>
                <w:rFonts w:ascii="Times New Roman" w:hAnsi="Times New Roman" w:cs="Times New Roman"/>
              </w:rPr>
            </w:pPr>
            <w:r w:rsidRPr="00266E6D">
              <w:rPr>
                <w:rFonts w:ascii="Times New Roman" w:hAnsi="Times New Roman" w:cs="Times New Roman"/>
              </w:rPr>
              <w:t>7.  In case of AFib in stabili</w:t>
            </w:r>
            <w:r w:rsidR="000D5947">
              <w:rPr>
                <w:rFonts w:ascii="Times New Roman" w:hAnsi="Times New Roman" w:cs="Times New Roman"/>
              </w:rPr>
              <w:t>s</w:t>
            </w:r>
            <w:r w:rsidRPr="00266E6D">
              <w:rPr>
                <w:rFonts w:ascii="Times New Roman" w:hAnsi="Times New Roman" w:cs="Times New Roman"/>
              </w:rPr>
              <w:t>ed septic shock patient, doses of catecholamine (vasopressors, inotrope) should be revaluated and non-catecholamine vasopressors (e.g. vasopressin) may be considered as it allows to decrease catecholamine doses and HR along with contemplating starting controlling HR [1,2,</w:t>
            </w:r>
            <w:r w:rsidR="006727F6">
              <w:rPr>
                <w:rFonts w:ascii="Times New Roman" w:hAnsi="Times New Roman" w:cs="Times New Roman"/>
              </w:rPr>
              <w:t>3</w:t>
            </w:r>
            <w:r w:rsidRPr="00266E6D">
              <w:rPr>
                <w:rFonts w:ascii="Times New Roman" w:hAnsi="Times New Roman" w:cs="Times New Roman"/>
              </w:rPr>
              <w:t>,</w:t>
            </w:r>
            <w:r w:rsidR="006727F6">
              <w:rPr>
                <w:rFonts w:ascii="Times New Roman" w:hAnsi="Times New Roman" w:cs="Times New Roman"/>
              </w:rPr>
              <w:t>4</w:t>
            </w:r>
            <w:r w:rsidRPr="00266E6D">
              <w:rPr>
                <w:rFonts w:ascii="Times New Roman" w:hAnsi="Times New Roman" w:cs="Times New Roman"/>
              </w:rPr>
              <w:t>,</w:t>
            </w:r>
            <w:r w:rsidR="006727F6">
              <w:rPr>
                <w:rFonts w:ascii="Times New Roman" w:hAnsi="Times New Roman" w:cs="Times New Roman"/>
              </w:rPr>
              <w:t>5</w:t>
            </w:r>
            <w:r w:rsidRPr="00266E6D">
              <w:rPr>
                <w:rFonts w:ascii="Times New Roman" w:hAnsi="Times New Roman" w:cs="Times New Roman"/>
              </w:rPr>
              <w:t>,</w:t>
            </w:r>
            <w:r w:rsidR="006727F6">
              <w:rPr>
                <w:rFonts w:ascii="Times New Roman" w:hAnsi="Times New Roman" w:cs="Times New Roman"/>
              </w:rPr>
              <w:t>6</w:t>
            </w:r>
            <w:r w:rsidRPr="00266E6D">
              <w:rPr>
                <w:rFonts w:ascii="Times New Roman" w:hAnsi="Times New Roman" w:cs="Times New Roman"/>
              </w:rPr>
              <w:t>,</w:t>
            </w:r>
            <w:r w:rsidR="006727F6">
              <w:rPr>
                <w:rFonts w:ascii="Times New Roman" w:hAnsi="Times New Roman" w:cs="Times New Roman"/>
              </w:rPr>
              <w:t>7</w:t>
            </w:r>
            <w:r w:rsidRPr="00266E6D">
              <w:rPr>
                <w:rFonts w:ascii="Times New Roman" w:hAnsi="Times New Roman" w:cs="Times New Roman"/>
              </w:rPr>
              <w:t>,</w:t>
            </w:r>
            <w:r w:rsidR="006727F6">
              <w:rPr>
                <w:rFonts w:ascii="Times New Roman" w:hAnsi="Times New Roman" w:cs="Times New Roman"/>
              </w:rPr>
              <w:t>8</w:t>
            </w:r>
            <w:r w:rsidRPr="00266E6D">
              <w:rPr>
                <w:rFonts w:ascii="Times New Roman" w:hAnsi="Times New Roman" w:cs="Times New Roman"/>
              </w:rPr>
              <w:t>]</w:t>
            </w:r>
            <w:r w:rsidR="00887F3A">
              <w:rPr>
                <w:rFonts w:ascii="Times New Roman" w:hAnsi="Times New Roman" w:cs="Times New Roman"/>
              </w:rPr>
              <w:t>.</w:t>
            </w:r>
          </w:p>
        </w:tc>
        <w:tc>
          <w:tcPr>
            <w:tcW w:w="974" w:type="dxa"/>
          </w:tcPr>
          <w:p w14:paraId="7648BFC8"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5FF24F0B"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6DCF4EB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450B5D4E"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6007545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2040" w:type="dxa"/>
          </w:tcPr>
          <w:p w14:paraId="143CB4F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28D0A837" w14:textId="77777777" w:rsidR="00180BF1" w:rsidRPr="00266E6D" w:rsidRDefault="00180BF1" w:rsidP="001374E8">
            <w:pPr>
              <w:jc w:val="both"/>
              <w:rPr>
                <w:rFonts w:ascii="Times New Roman" w:hAnsi="Times New Roman" w:cs="Times New Roman"/>
              </w:rPr>
            </w:pPr>
          </w:p>
        </w:tc>
      </w:tr>
      <w:tr w:rsidR="00180BF1" w:rsidRPr="00266E6D" w14:paraId="2906A6D7" w14:textId="67D21C73" w:rsidTr="2E5E7E52">
        <w:tc>
          <w:tcPr>
            <w:tcW w:w="4740" w:type="dxa"/>
          </w:tcPr>
          <w:p w14:paraId="2133302C" w14:textId="359C52C7" w:rsidR="00180BF1" w:rsidRPr="00266E6D" w:rsidRDefault="00180BF1" w:rsidP="00A41133">
            <w:pPr>
              <w:rPr>
                <w:rFonts w:ascii="Times New Roman" w:hAnsi="Times New Roman" w:cs="Times New Roman"/>
              </w:rPr>
            </w:pPr>
            <w:r w:rsidRPr="00266E6D">
              <w:rPr>
                <w:rFonts w:ascii="Times New Roman" w:hAnsi="Times New Roman" w:cs="Times New Roman"/>
              </w:rPr>
              <w:t>8.  At first presentation of septic shock patient with AFib, high fever should be detected and could be treated before starting controlling HR but without delaying in case of hemodynamic instability [1,2,</w:t>
            </w:r>
            <w:r w:rsidR="006727F6">
              <w:rPr>
                <w:rFonts w:ascii="Times New Roman" w:hAnsi="Times New Roman" w:cs="Times New Roman"/>
              </w:rPr>
              <w:t>3</w:t>
            </w:r>
            <w:r w:rsidRPr="00266E6D">
              <w:rPr>
                <w:rFonts w:ascii="Times New Roman" w:hAnsi="Times New Roman" w:cs="Times New Roman"/>
              </w:rPr>
              <w:t>,</w:t>
            </w:r>
            <w:r w:rsidR="006727F6">
              <w:rPr>
                <w:rFonts w:ascii="Times New Roman" w:hAnsi="Times New Roman" w:cs="Times New Roman"/>
              </w:rPr>
              <w:t>4</w:t>
            </w:r>
            <w:r w:rsidRPr="00266E6D">
              <w:rPr>
                <w:rFonts w:ascii="Times New Roman" w:hAnsi="Times New Roman" w:cs="Times New Roman"/>
              </w:rPr>
              <w:t>,</w:t>
            </w:r>
            <w:r w:rsidR="006727F6">
              <w:rPr>
                <w:rFonts w:ascii="Times New Roman" w:hAnsi="Times New Roman" w:cs="Times New Roman"/>
              </w:rPr>
              <w:t>5</w:t>
            </w:r>
            <w:r w:rsidRPr="00266E6D">
              <w:rPr>
                <w:rFonts w:ascii="Times New Roman" w:hAnsi="Times New Roman" w:cs="Times New Roman"/>
              </w:rPr>
              <w:t>,</w:t>
            </w:r>
            <w:r w:rsidR="006727F6">
              <w:rPr>
                <w:rFonts w:ascii="Times New Roman" w:hAnsi="Times New Roman" w:cs="Times New Roman"/>
              </w:rPr>
              <w:t>6</w:t>
            </w:r>
            <w:r w:rsidRPr="00266E6D">
              <w:rPr>
                <w:rFonts w:ascii="Times New Roman" w:hAnsi="Times New Roman" w:cs="Times New Roman"/>
              </w:rPr>
              <w:t>,</w:t>
            </w:r>
            <w:r w:rsidR="006727F6">
              <w:rPr>
                <w:rFonts w:ascii="Times New Roman" w:hAnsi="Times New Roman" w:cs="Times New Roman"/>
              </w:rPr>
              <w:t>7</w:t>
            </w:r>
            <w:r w:rsidRPr="00266E6D">
              <w:rPr>
                <w:rFonts w:ascii="Times New Roman" w:hAnsi="Times New Roman" w:cs="Times New Roman"/>
              </w:rPr>
              <w:t>,</w:t>
            </w:r>
            <w:r w:rsidR="00482533">
              <w:rPr>
                <w:rFonts w:ascii="Times New Roman" w:hAnsi="Times New Roman" w:cs="Times New Roman"/>
              </w:rPr>
              <w:t>8</w:t>
            </w:r>
            <w:r w:rsidRPr="00266E6D">
              <w:rPr>
                <w:rFonts w:ascii="Times New Roman" w:hAnsi="Times New Roman" w:cs="Times New Roman"/>
              </w:rPr>
              <w:t>,</w:t>
            </w:r>
            <w:r w:rsidR="00482533">
              <w:rPr>
                <w:rFonts w:ascii="Times New Roman" w:hAnsi="Times New Roman" w:cs="Times New Roman"/>
              </w:rPr>
              <w:t>45</w:t>
            </w:r>
            <w:r w:rsidRPr="00266E6D">
              <w:rPr>
                <w:rFonts w:ascii="Times New Roman" w:hAnsi="Times New Roman" w:cs="Times New Roman"/>
              </w:rPr>
              <w:t>]</w:t>
            </w:r>
            <w:r w:rsidR="00887F3A">
              <w:rPr>
                <w:rFonts w:ascii="Times New Roman" w:hAnsi="Times New Roman" w:cs="Times New Roman"/>
              </w:rPr>
              <w:t>.</w:t>
            </w:r>
          </w:p>
        </w:tc>
        <w:tc>
          <w:tcPr>
            <w:tcW w:w="974" w:type="dxa"/>
          </w:tcPr>
          <w:p w14:paraId="79AFB1D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Pr>
          <w:p w14:paraId="6447687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Pr>
          <w:p w14:paraId="2280715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34888F43"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75ECDED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1B2D043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029A49CA" w14:textId="77777777" w:rsidR="00180BF1" w:rsidRPr="00266E6D" w:rsidRDefault="00180BF1" w:rsidP="001374E8">
            <w:pPr>
              <w:jc w:val="both"/>
              <w:rPr>
                <w:rFonts w:ascii="Times New Roman" w:hAnsi="Times New Roman" w:cs="Times New Roman"/>
              </w:rPr>
            </w:pPr>
          </w:p>
        </w:tc>
      </w:tr>
      <w:tr w:rsidR="00180BF1" w:rsidRPr="00266E6D" w14:paraId="3E941D84" w14:textId="740D6DF9" w:rsidTr="2E5E7E52">
        <w:tc>
          <w:tcPr>
            <w:tcW w:w="4740" w:type="dxa"/>
          </w:tcPr>
          <w:p w14:paraId="7F3B542D" w14:textId="24D0CD94" w:rsidR="00180BF1" w:rsidRPr="00266E6D" w:rsidRDefault="00180BF1" w:rsidP="00A41133">
            <w:pPr>
              <w:rPr>
                <w:rFonts w:ascii="Times New Roman" w:hAnsi="Times New Roman" w:cs="Times New Roman"/>
              </w:rPr>
            </w:pPr>
            <w:r w:rsidRPr="00266E6D">
              <w:rPr>
                <w:rFonts w:ascii="Times New Roman" w:hAnsi="Times New Roman" w:cs="Times New Roman"/>
              </w:rPr>
              <w:t>10. At first presentation of septic shock patient with AFib, severe an</w:t>
            </w:r>
            <w:r w:rsidR="00A41133">
              <w:rPr>
                <w:rFonts w:ascii="Times New Roman" w:hAnsi="Times New Roman" w:cs="Times New Roman"/>
              </w:rPr>
              <w:t>a</w:t>
            </w:r>
            <w:r w:rsidRPr="00266E6D">
              <w:rPr>
                <w:rFonts w:ascii="Times New Roman" w:hAnsi="Times New Roman" w:cs="Times New Roman"/>
              </w:rPr>
              <w:t>emia and in absence of hypovolemia should be identified, and its management should be initiated along with starting controlling HR, and without delay in case of hemodynamic instability [1,2,</w:t>
            </w:r>
            <w:r w:rsidR="00482533">
              <w:rPr>
                <w:rFonts w:ascii="Times New Roman" w:hAnsi="Times New Roman" w:cs="Times New Roman"/>
              </w:rPr>
              <w:t>3</w:t>
            </w:r>
            <w:r w:rsidRPr="00266E6D">
              <w:rPr>
                <w:rFonts w:ascii="Times New Roman" w:hAnsi="Times New Roman" w:cs="Times New Roman"/>
              </w:rPr>
              <w:t>,</w:t>
            </w:r>
            <w:r w:rsidR="00482533">
              <w:rPr>
                <w:rFonts w:ascii="Times New Roman" w:hAnsi="Times New Roman" w:cs="Times New Roman"/>
              </w:rPr>
              <w:t>4</w:t>
            </w:r>
            <w:r w:rsidRPr="00266E6D">
              <w:rPr>
                <w:rFonts w:ascii="Times New Roman" w:hAnsi="Times New Roman" w:cs="Times New Roman"/>
              </w:rPr>
              <w:t>,</w:t>
            </w:r>
            <w:r w:rsidR="00482533">
              <w:rPr>
                <w:rFonts w:ascii="Times New Roman" w:hAnsi="Times New Roman" w:cs="Times New Roman"/>
              </w:rPr>
              <w:t>5</w:t>
            </w:r>
            <w:r w:rsidRPr="00266E6D">
              <w:rPr>
                <w:rFonts w:ascii="Times New Roman" w:hAnsi="Times New Roman" w:cs="Times New Roman"/>
              </w:rPr>
              <w:t>,</w:t>
            </w:r>
            <w:r w:rsidR="00482533">
              <w:rPr>
                <w:rFonts w:ascii="Times New Roman" w:hAnsi="Times New Roman" w:cs="Times New Roman"/>
              </w:rPr>
              <w:t>6</w:t>
            </w:r>
            <w:r w:rsidRPr="00266E6D">
              <w:rPr>
                <w:rFonts w:ascii="Times New Roman" w:hAnsi="Times New Roman" w:cs="Times New Roman"/>
              </w:rPr>
              <w:t>,</w:t>
            </w:r>
            <w:r w:rsidR="00482533">
              <w:rPr>
                <w:rFonts w:ascii="Times New Roman" w:hAnsi="Times New Roman" w:cs="Times New Roman"/>
              </w:rPr>
              <w:t>7</w:t>
            </w:r>
            <w:r w:rsidRPr="00266E6D">
              <w:rPr>
                <w:rFonts w:ascii="Times New Roman" w:hAnsi="Times New Roman" w:cs="Times New Roman"/>
              </w:rPr>
              <w:t>,</w:t>
            </w:r>
            <w:r w:rsidR="00482533">
              <w:rPr>
                <w:rFonts w:ascii="Times New Roman" w:hAnsi="Times New Roman" w:cs="Times New Roman"/>
              </w:rPr>
              <w:t>8</w:t>
            </w:r>
            <w:r w:rsidRPr="00266E6D">
              <w:rPr>
                <w:rFonts w:ascii="Times New Roman" w:hAnsi="Times New Roman" w:cs="Times New Roman"/>
              </w:rPr>
              <w:t>]</w:t>
            </w:r>
            <w:r w:rsidR="00887F3A">
              <w:rPr>
                <w:rFonts w:ascii="Times New Roman" w:hAnsi="Times New Roman" w:cs="Times New Roman"/>
              </w:rPr>
              <w:t>.</w:t>
            </w:r>
          </w:p>
        </w:tc>
        <w:tc>
          <w:tcPr>
            <w:tcW w:w="974" w:type="dxa"/>
          </w:tcPr>
          <w:p w14:paraId="3FA79B1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1BF6DB5E"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684A563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06DAC7F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1235060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2040" w:type="dxa"/>
          </w:tcPr>
          <w:p w14:paraId="1733F03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4240CE03" w14:textId="77777777" w:rsidR="00180BF1" w:rsidRPr="00266E6D" w:rsidRDefault="00180BF1" w:rsidP="001374E8">
            <w:pPr>
              <w:jc w:val="both"/>
              <w:rPr>
                <w:rFonts w:ascii="Times New Roman" w:hAnsi="Times New Roman" w:cs="Times New Roman"/>
              </w:rPr>
            </w:pPr>
          </w:p>
        </w:tc>
      </w:tr>
      <w:tr w:rsidR="00180BF1" w:rsidRPr="00266E6D" w14:paraId="60E51215" w14:textId="4B2C30DD" w:rsidTr="2E5E7E52">
        <w:tc>
          <w:tcPr>
            <w:tcW w:w="4740" w:type="dxa"/>
          </w:tcPr>
          <w:p w14:paraId="533D241F" w14:textId="67455397" w:rsidR="00180BF1" w:rsidRPr="00266E6D" w:rsidRDefault="00180BF1" w:rsidP="00A41133">
            <w:pPr>
              <w:rPr>
                <w:rFonts w:ascii="Times New Roman" w:hAnsi="Times New Roman" w:cs="Times New Roman"/>
              </w:rPr>
            </w:pPr>
            <w:r w:rsidRPr="00266E6D">
              <w:rPr>
                <w:rFonts w:ascii="Times New Roman" w:hAnsi="Times New Roman" w:cs="Times New Roman"/>
              </w:rPr>
              <w:t xml:space="preserve">11. At first presentation of septic shock patient with AFib, myocardial ischemia should be detected </w:t>
            </w:r>
            <w:r w:rsidRPr="00266E6D">
              <w:rPr>
                <w:rFonts w:ascii="Times New Roman" w:hAnsi="Times New Roman" w:cs="Times New Roman"/>
              </w:rPr>
              <w:lastRenderedPageBreak/>
              <w:t>and treated, but HR control should not be delayed as tachycardia contributes to increase DO2/VO2 imbalance and induce further critical ischemia [1,2,</w:t>
            </w:r>
            <w:r w:rsidR="00482533">
              <w:rPr>
                <w:rFonts w:ascii="Times New Roman" w:hAnsi="Times New Roman" w:cs="Times New Roman"/>
              </w:rPr>
              <w:t>3</w:t>
            </w:r>
            <w:r w:rsidRPr="00266E6D">
              <w:rPr>
                <w:rFonts w:ascii="Times New Roman" w:hAnsi="Times New Roman" w:cs="Times New Roman"/>
              </w:rPr>
              <w:t>,</w:t>
            </w:r>
            <w:r w:rsidR="00482533">
              <w:rPr>
                <w:rFonts w:ascii="Times New Roman" w:hAnsi="Times New Roman" w:cs="Times New Roman"/>
              </w:rPr>
              <w:t>4</w:t>
            </w:r>
            <w:r w:rsidRPr="00266E6D">
              <w:rPr>
                <w:rFonts w:ascii="Times New Roman" w:hAnsi="Times New Roman" w:cs="Times New Roman"/>
              </w:rPr>
              <w:t>,</w:t>
            </w:r>
            <w:r w:rsidR="00482533">
              <w:rPr>
                <w:rFonts w:ascii="Times New Roman" w:hAnsi="Times New Roman" w:cs="Times New Roman"/>
              </w:rPr>
              <w:t>5</w:t>
            </w:r>
            <w:r w:rsidRPr="00266E6D">
              <w:rPr>
                <w:rFonts w:ascii="Times New Roman" w:hAnsi="Times New Roman" w:cs="Times New Roman"/>
              </w:rPr>
              <w:t>,</w:t>
            </w:r>
            <w:r w:rsidR="00482533">
              <w:rPr>
                <w:rFonts w:ascii="Times New Roman" w:hAnsi="Times New Roman" w:cs="Times New Roman"/>
              </w:rPr>
              <w:t>6</w:t>
            </w:r>
            <w:r w:rsidRPr="00266E6D">
              <w:rPr>
                <w:rFonts w:ascii="Times New Roman" w:hAnsi="Times New Roman" w:cs="Times New Roman"/>
              </w:rPr>
              <w:t>,</w:t>
            </w:r>
            <w:r w:rsidR="00482533">
              <w:rPr>
                <w:rFonts w:ascii="Times New Roman" w:hAnsi="Times New Roman" w:cs="Times New Roman"/>
              </w:rPr>
              <w:t>7</w:t>
            </w:r>
            <w:r w:rsidRPr="00266E6D">
              <w:rPr>
                <w:rFonts w:ascii="Times New Roman" w:hAnsi="Times New Roman" w:cs="Times New Roman"/>
              </w:rPr>
              <w:t>,</w:t>
            </w:r>
            <w:r w:rsidR="00482533">
              <w:rPr>
                <w:rFonts w:ascii="Times New Roman" w:hAnsi="Times New Roman" w:cs="Times New Roman"/>
              </w:rPr>
              <w:t>8</w:t>
            </w:r>
            <w:r w:rsidRPr="00266E6D">
              <w:rPr>
                <w:rFonts w:ascii="Times New Roman" w:hAnsi="Times New Roman" w:cs="Times New Roman"/>
              </w:rPr>
              <w:t>]</w:t>
            </w:r>
            <w:r w:rsidR="00887F3A">
              <w:rPr>
                <w:rFonts w:ascii="Times New Roman" w:hAnsi="Times New Roman" w:cs="Times New Roman"/>
              </w:rPr>
              <w:t>.</w:t>
            </w:r>
          </w:p>
        </w:tc>
        <w:tc>
          <w:tcPr>
            <w:tcW w:w="974" w:type="dxa"/>
          </w:tcPr>
          <w:p w14:paraId="676D34F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lastRenderedPageBreak/>
              <w:t>87.5%</w:t>
            </w:r>
          </w:p>
        </w:tc>
        <w:tc>
          <w:tcPr>
            <w:tcW w:w="974" w:type="dxa"/>
          </w:tcPr>
          <w:p w14:paraId="6396C78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Pr>
          <w:p w14:paraId="2A710B9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4DD6644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34D15853"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5E3636E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795B7E13" w14:textId="77777777" w:rsidR="00180BF1" w:rsidRPr="00266E6D" w:rsidRDefault="00180BF1" w:rsidP="001374E8">
            <w:pPr>
              <w:jc w:val="both"/>
              <w:rPr>
                <w:rFonts w:ascii="Times New Roman" w:hAnsi="Times New Roman" w:cs="Times New Roman"/>
              </w:rPr>
            </w:pPr>
          </w:p>
        </w:tc>
      </w:tr>
      <w:tr w:rsidR="00180BF1" w:rsidRPr="00266E6D" w14:paraId="55EE4E4F" w14:textId="46009F68" w:rsidTr="2E5E7E52">
        <w:tc>
          <w:tcPr>
            <w:tcW w:w="4740" w:type="dxa"/>
          </w:tcPr>
          <w:p w14:paraId="4EF3AB7C" w14:textId="5C0F82EF" w:rsidR="00180BF1" w:rsidRPr="00266E6D" w:rsidRDefault="00180BF1" w:rsidP="00A41133">
            <w:pPr>
              <w:rPr>
                <w:rFonts w:ascii="Times New Roman" w:hAnsi="Times New Roman" w:cs="Times New Roman"/>
              </w:rPr>
            </w:pPr>
            <w:r w:rsidRPr="00266E6D">
              <w:rPr>
                <w:rFonts w:ascii="Times New Roman" w:hAnsi="Times New Roman" w:cs="Times New Roman"/>
                <w:lang w:val="en-US"/>
              </w:rPr>
              <w:t>12. Endocrine disorders (pheochromocytoma or elevated thyroid hormones) should be investigated in the context of HR control as a potential trigger to further adjust patient management [1,2,</w:t>
            </w:r>
            <w:r w:rsidR="00482533">
              <w:rPr>
                <w:rFonts w:ascii="Times New Roman" w:hAnsi="Times New Roman" w:cs="Times New Roman"/>
                <w:lang w:val="en-US"/>
              </w:rPr>
              <w:t>3</w:t>
            </w:r>
            <w:r w:rsidRPr="00266E6D">
              <w:rPr>
                <w:rFonts w:ascii="Times New Roman" w:hAnsi="Times New Roman" w:cs="Times New Roman"/>
                <w:lang w:val="en-US"/>
              </w:rPr>
              <w:t>,</w:t>
            </w:r>
            <w:r w:rsidR="00482533">
              <w:rPr>
                <w:rFonts w:ascii="Times New Roman" w:hAnsi="Times New Roman" w:cs="Times New Roman"/>
                <w:lang w:val="en-US"/>
              </w:rPr>
              <w:t>4</w:t>
            </w:r>
            <w:r w:rsidRPr="00266E6D">
              <w:rPr>
                <w:rFonts w:ascii="Times New Roman" w:hAnsi="Times New Roman" w:cs="Times New Roman"/>
                <w:lang w:val="en-US"/>
              </w:rPr>
              <w:t>,</w:t>
            </w:r>
            <w:r w:rsidR="00482533">
              <w:rPr>
                <w:rFonts w:ascii="Times New Roman" w:hAnsi="Times New Roman" w:cs="Times New Roman"/>
                <w:lang w:val="en-US"/>
              </w:rPr>
              <w:t>5</w:t>
            </w:r>
            <w:r w:rsidRPr="00266E6D">
              <w:rPr>
                <w:rFonts w:ascii="Times New Roman" w:hAnsi="Times New Roman" w:cs="Times New Roman"/>
                <w:lang w:val="en-US"/>
              </w:rPr>
              <w:t>,</w:t>
            </w:r>
            <w:r w:rsidR="00482533">
              <w:rPr>
                <w:rFonts w:ascii="Times New Roman" w:hAnsi="Times New Roman" w:cs="Times New Roman"/>
                <w:lang w:val="en-US"/>
              </w:rPr>
              <w:t>6</w:t>
            </w:r>
            <w:r w:rsidRPr="00266E6D">
              <w:rPr>
                <w:rFonts w:ascii="Times New Roman" w:hAnsi="Times New Roman" w:cs="Times New Roman"/>
                <w:lang w:val="en-US"/>
              </w:rPr>
              <w:t>,</w:t>
            </w:r>
            <w:r w:rsidR="00482533">
              <w:rPr>
                <w:rFonts w:ascii="Times New Roman" w:hAnsi="Times New Roman" w:cs="Times New Roman"/>
                <w:lang w:val="en-US"/>
              </w:rPr>
              <w:t>7</w:t>
            </w:r>
            <w:r w:rsidRPr="00266E6D">
              <w:rPr>
                <w:rFonts w:ascii="Times New Roman" w:hAnsi="Times New Roman" w:cs="Times New Roman"/>
                <w:lang w:val="en-US"/>
              </w:rPr>
              <w:t>,</w:t>
            </w:r>
            <w:r w:rsidR="00482533">
              <w:rPr>
                <w:rFonts w:ascii="Times New Roman" w:hAnsi="Times New Roman" w:cs="Times New Roman"/>
                <w:lang w:val="en-US"/>
              </w:rPr>
              <w:t>8</w:t>
            </w:r>
            <w:r w:rsidRPr="00266E6D">
              <w:rPr>
                <w:rFonts w:ascii="Times New Roman" w:hAnsi="Times New Roman" w:cs="Times New Roman"/>
                <w:lang w:val="en-US"/>
              </w:rPr>
              <w:t>]</w:t>
            </w:r>
            <w:r w:rsidR="00887F3A">
              <w:rPr>
                <w:rFonts w:ascii="Times New Roman" w:hAnsi="Times New Roman" w:cs="Times New Roman"/>
                <w:lang w:val="en-US"/>
              </w:rPr>
              <w:t>.</w:t>
            </w:r>
          </w:p>
        </w:tc>
        <w:tc>
          <w:tcPr>
            <w:tcW w:w="974" w:type="dxa"/>
          </w:tcPr>
          <w:p w14:paraId="18F0DE7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6B92E713"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7DB7A30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08F76AAB"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16C3CB1C"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2040" w:type="dxa"/>
          </w:tcPr>
          <w:p w14:paraId="7053B25B"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20F0200A" w14:textId="77777777" w:rsidR="00180BF1" w:rsidRPr="00266E6D" w:rsidRDefault="00180BF1" w:rsidP="001374E8">
            <w:pPr>
              <w:jc w:val="both"/>
              <w:rPr>
                <w:rFonts w:ascii="Times New Roman" w:hAnsi="Times New Roman" w:cs="Times New Roman"/>
              </w:rPr>
            </w:pPr>
          </w:p>
        </w:tc>
      </w:tr>
      <w:tr w:rsidR="00180BF1" w:rsidRPr="00266E6D" w14:paraId="12FA3A27" w14:textId="3709EF82" w:rsidTr="2E5E7E52">
        <w:tc>
          <w:tcPr>
            <w:tcW w:w="11650" w:type="dxa"/>
            <w:gridSpan w:val="7"/>
          </w:tcPr>
          <w:p w14:paraId="77304CAB" w14:textId="77777777" w:rsidR="00180BF1" w:rsidRPr="00266E6D" w:rsidRDefault="00180BF1" w:rsidP="0026248A">
            <w:pPr>
              <w:jc w:val="center"/>
              <w:rPr>
                <w:rFonts w:ascii="Times New Roman" w:hAnsi="Times New Roman" w:cs="Times New Roman"/>
              </w:rPr>
            </w:pPr>
          </w:p>
        </w:tc>
        <w:tc>
          <w:tcPr>
            <w:tcW w:w="2628" w:type="dxa"/>
          </w:tcPr>
          <w:p w14:paraId="133619D5" w14:textId="77777777" w:rsidR="00180BF1" w:rsidRPr="00266E6D" w:rsidRDefault="00180BF1" w:rsidP="001374E8">
            <w:pPr>
              <w:jc w:val="both"/>
              <w:rPr>
                <w:rFonts w:ascii="Times New Roman" w:hAnsi="Times New Roman" w:cs="Times New Roman"/>
              </w:rPr>
            </w:pPr>
          </w:p>
        </w:tc>
      </w:tr>
      <w:tr w:rsidR="00180BF1" w:rsidRPr="00266E6D" w14:paraId="2E72679D" w14:textId="1D89BE6C" w:rsidTr="2E5E7E52">
        <w:tc>
          <w:tcPr>
            <w:tcW w:w="4740" w:type="dxa"/>
          </w:tcPr>
          <w:p w14:paraId="32C0E33C" w14:textId="77777777" w:rsidR="00180BF1" w:rsidRPr="00266E6D" w:rsidRDefault="00180BF1" w:rsidP="00A41133">
            <w:pPr>
              <w:rPr>
                <w:rFonts w:ascii="Times New Roman" w:hAnsi="Times New Roman" w:cs="Times New Roman"/>
              </w:rPr>
            </w:pPr>
            <w:r w:rsidRPr="00266E6D">
              <w:rPr>
                <w:rFonts w:ascii="Times New Roman" w:hAnsi="Times New Roman" w:cs="Times New Roman"/>
                <w:b/>
                <w:bCs/>
              </w:rPr>
              <w:t>Area 2 - Hemodynamic assessment in septic shock patient before HR control</w:t>
            </w:r>
          </w:p>
        </w:tc>
        <w:tc>
          <w:tcPr>
            <w:tcW w:w="974" w:type="dxa"/>
          </w:tcPr>
          <w:p w14:paraId="49F703B4"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2455E570"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0E4FB363"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22A18B33"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2A65D9C7"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20606E41" w14:textId="15EB6F95" w:rsidR="00180BF1" w:rsidRPr="00266E6D" w:rsidRDefault="00180BF1" w:rsidP="0026248A">
            <w:pPr>
              <w:jc w:val="center"/>
              <w:rPr>
                <w:rFonts w:ascii="Times New Roman" w:hAnsi="Times New Roman" w:cs="Times New Roman"/>
              </w:rPr>
            </w:pPr>
          </w:p>
        </w:tc>
        <w:tc>
          <w:tcPr>
            <w:tcW w:w="2628" w:type="dxa"/>
          </w:tcPr>
          <w:p w14:paraId="485AF7FF" w14:textId="77777777" w:rsidR="00180BF1" w:rsidRPr="00266E6D" w:rsidRDefault="00180BF1" w:rsidP="001374E8">
            <w:pPr>
              <w:jc w:val="both"/>
              <w:rPr>
                <w:rFonts w:ascii="Times New Roman" w:hAnsi="Times New Roman" w:cs="Times New Roman"/>
                <w:b/>
                <w:bCs/>
              </w:rPr>
            </w:pPr>
          </w:p>
        </w:tc>
      </w:tr>
      <w:tr w:rsidR="00180BF1" w:rsidRPr="00266E6D" w14:paraId="226FEA3C" w14:textId="64E8C568" w:rsidTr="2E5E7E52">
        <w:tc>
          <w:tcPr>
            <w:tcW w:w="4740" w:type="dxa"/>
          </w:tcPr>
          <w:p w14:paraId="75FDCE1E" w14:textId="41D543D8" w:rsidR="00180BF1" w:rsidRPr="00266E6D" w:rsidRDefault="00180BF1" w:rsidP="00A41133">
            <w:pPr>
              <w:rPr>
                <w:rFonts w:ascii="Times New Roman" w:hAnsi="Times New Roman" w:cs="Times New Roman"/>
              </w:rPr>
            </w:pPr>
            <w:r w:rsidRPr="00266E6D">
              <w:rPr>
                <w:rFonts w:ascii="Times New Roman" w:hAnsi="Times New Roman" w:cs="Times New Roman"/>
              </w:rPr>
              <w:t>14. Determination of hemodynamic parameters with continuous HR and BP and is the minimum requirement to control patient response/condition, and advanced monitoring for cardiac assessment is recommended [</w:t>
            </w:r>
            <w:r w:rsidR="00482533">
              <w:rPr>
                <w:rFonts w:ascii="Times New Roman" w:hAnsi="Times New Roman" w:cs="Times New Roman"/>
              </w:rPr>
              <w:t>5</w:t>
            </w:r>
            <w:r w:rsidRPr="00266E6D">
              <w:rPr>
                <w:rFonts w:ascii="Times New Roman" w:hAnsi="Times New Roman" w:cs="Times New Roman"/>
              </w:rPr>
              <w:t>,</w:t>
            </w:r>
            <w:r w:rsidR="00482533">
              <w:rPr>
                <w:rFonts w:ascii="Times New Roman" w:hAnsi="Times New Roman" w:cs="Times New Roman"/>
              </w:rPr>
              <w:t>8</w:t>
            </w:r>
            <w:r w:rsidRPr="00266E6D">
              <w:rPr>
                <w:rFonts w:ascii="Times New Roman" w:hAnsi="Times New Roman" w:cs="Times New Roman"/>
              </w:rPr>
              <w:t>,</w:t>
            </w:r>
            <w:r w:rsidR="00307899">
              <w:rPr>
                <w:rFonts w:ascii="Times New Roman" w:hAnsi="Times New Roman" w:cs="Times New Roman"/>
              </w:rPr>
              <w:t>10</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41FE6878"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57FA9D0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44681DA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69460A9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3F1075C1"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75824A7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50EA0378" w14:textId="77777777" w:rsidR="00180BF1" w:rsidRPr="00266E6D" w:rsidRDefault="00180BF1" w:rsidP="001374E8">
            <w:pPr>
              <w:jc w:val="both"/>
              <w:rPr>
                <w:rFonts w:ascii="Times New Roman" w:hAnsi="Times New Roman" w:cs="Times New Roman"/>
              </w:rPr>
            </w:pPr>
          </w:p>
        </w:tc>
      </w:tr>
      <w:tr w:rsidR="00180BF1" w:rsidRPr="00266E6D" w14:paraId="018FD204" w14:textId="3C93E085" w:rsidTr="2E5E7E52">
        <w:tc>
          <w:tcPr>
            <w:tcW w:w="11650" w:type="dxa"/>
            <w:gridSpan w:val="7"/>
          </w:tcPr>
          <w:p w14:paraId="4804F74B" w14:textId="77777777" w:rsidR="00180BF1" w:rsidRPr="00266E6D" w:rsidRDefault="00180BF1" w:rsidP="0026248A">
            <w:pPr>
              <w:jc w:val="center"/>
              <w:rPr>
                <w:rFonts w:ascii="Times New Roman" w:hAnsi="Times New Roman" w:cs="Times New Roman"/>
              </w:rPr>
            </w:pPr>
          </w:p>
        </w:tc>
        <w:tc>
          <w:tcPr>
            <w:tcW w:w="2628" w:type="dxa"/>
          </w:tcPr>
          <w:p w14:paraId="10192490" w14:textId="77777777" w:rsidR="00180BF1" w:rsidRPr="00266E6D" w:rsidRDefault="00180BF1" w:rsidP="001374E8">
            <w:pPr>
              <w:jc w:val="both"/>
              <w:rPr>
                <w:rFonts w:ascii="Times New Roman" w:hAnsi="Times New Roman" w:cs="Times New Roman"/>
              </w:rPr>
            </w:pPr>
          </w:p>
        </w:tc>
      </w:tr>
      <w:tr w:rsidR="00180BF1" w:rsidRPr="00266E6D" w14:paraId="3598ED54" w14:textId="2F9C5E69" w:rsidTr="2E5E7E52">
        <w:tc>
          <w:tcPr>
            <w:tcW w:w="4740" w:type="dxa"/>
          </w:tcPr>
          <w:p w14:paraId="67080C35" w14:textId="2D988D23" w:rsidR="00180BF1" w:rsidRPr="00266E6D" w:rsidRDefault="00180BF1" w:rsidP="00A41133">
            <w:pPr>
              <w:rPr>
                <w:rFonts w:ascii="Times New Roman" w:hAnsi="Times New Roman" w:cs="Times New Roman"/>
              </w:rPr>
            </w:pPr>
            <w:r w:rsidRPr="00266E6D">
              <w:rPr>
                <w:rFonts w:ascii="Times New Roman" w:hAnsi="Times New Roman" w:cs="Times New Roman"/>
                <w:b/>
                <w:bCs/>
              </w:rPr>
              <w:t>Area 3 - Individuali</w:t>
            </w:r>
            <w:r w:rsidR="000D5947">
              <w:rPr>
                <w:rFonts w:ascii="Times New Roman" w:hAnsi="Times New Roman" w:cs="Times New Roman"/>
                <w:b/>
                <w:bCs/>
              </w:rPr>
              <w:t>s</w:t>
            </w:r>
            <w:r w:rsidRPr="00266E6D">
              <w:rPr>
                <w:rFonts w:ascii="Times New Roman" w:hAnsi="Times New Roman" w:cs="Times New Roman"/>
                <w:b/>
                <w:bCs/>
              </w:rPr>
              <w:t>ed cardioversion approach to AFib in critically ill patients</w:t>
            </w:r>
          </w:p>
        </w:tc>
        <w:tc>
          <w:tcPr>
            <w:tcW w:w="974" w:type="dxa"/>
          </w:tcPr>
          <w:p w14:paraId="53F5DDFB"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1A51D4EE"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506273C5"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6C002714"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5CE8144A"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4E5F359F" w14:textId="060B3972" w:rsidR="00180BF1" w:rsidRPr="00266E6D" w:rsidRDefault="00180BF1" w:rsidP="0026248A">
            <w:pPr>
              <w:jc w:val="center"/>
              <w:rPr>
                <w:rFonts w:ascii="Times New Roman" w:hAnsi="Times New Roman" w:cs="Times New Roman"/>
              </w:rPr>
            </w:pPr>
          </w:p>
        </w:tc>
        <w:tc>
          <w:tcPr>
            <w:tcW w:w="2628" w:type="dxa"/>
          </w:tcPr>
          <w:p w14:paraId="1CDEC188" w14:textId="77777777" w:rsidR="00180BF1" w:rsidRPr="00266E6D" w:rsidRDefault="00180BF1" w:rsidP="001374E8">
            <w:pPr>
              <w:jc w:val="both"/>
              <w:rPr>
                <w:rFonts w:ascii="Times New Roman" w:hAnsi="Times New Roman" w:cs="Times New Roman"/>
                <w:b/>
                <w:bCs/>
              </w:rPr>
            </w:pPr>
          </w:p>
        </w:tc>
      </w:tr>
      <w:tr w:rsidR="00180BF1" w:rsidRPr="00266E6D" w14:paraId="75D9B8EF" w14:textId="28B33AA6" w:rsidTr="2E5E7E52">
        <w:tc>
          <w:tcPr>
            <w:tcW w:w="4740" w:type="dxa"/>
          </w:tcPr>
          <w:p w14:paraId="21E1191A" w14:textId="5C95AA43" w:rsidR="00180BF1" w:rsidRPr="00266E6D" w:rsidRDefault="00180BF1" w:rsidP="00A41133">
            <w:pPr>
              <w:rPr>
                <w:rFonts w:ascii="Times New Roman" w:hAnsi="Times New Roman" w:cs="Times New Roman"/>
              </w:rPr>
            </w:pPr>
            <w:r w:rsidRPr="00266E6D">
              <w:rPr>
                <w:rFonts w:ascii="Times New Roman" w:hAnsi="Times New Roman" w:cs="Times New Roman"/>
              </w:rPr>
              <w:t>20. If electric cardioversion is not effective, amiodarone may be an option in selected patients who are haemodynamically unstable or with severely impaired LVEF [</w:t>
            </w:r>
            <w:r w:rsidR="00307899">
              <w:rPr>
                <w:rFonts w:ascii="Times New Roman" w:hAnsi="Times New Roman" w:cs="Times New Roman"/>
              </w:rPr>
              <w:t>8</w:t>
            </w:r>
            <w:r w:rsidRPr="00266E6D">
              <w:rPr>
                <w:rFonts w:ascii="Times New Roman" w:hAnsi="Times New Roman" w:cs="Times New Roman"/>
              </w:rPr>
              <w:t>,</w:t>
            </w:r>
            <w:r w:rsidR="00307899">
              <w:rPr>
                <w:rFonts w:ascii="Times New Roman" w:hAnsi="Times New Roman" w:cs="Times New Roman"/>
              </w:rPr>
              <w:t>15</w:t>
            </w:r>
            <w:r w:rsidRPr="00266E6D">
              <w:rPr>
                <w:rFonts w:ascii="Times New Roman" w:hAnsi="Times New Roman" w:cs="Times New Roman"/>
              </w:rPr>
              <w:t>,</w:t>
            </w:r>
            <w:r w:rsidR="00307899">
              <w:rPr>
                <w:rFonts w:ascii="Times New Roman" w:hAnsi="Times New Roman" w:cs="Times New Roman"/>
              </w:rPr>
              <w:t>16</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5AE5AB3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37E5E7EC"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09FF102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191B12E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3EB0783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12FFAE98"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7EDDCDA4" w14:textId="77777777" w:rsidR="00180BF1" w:rsidRPr="00266E6D" w:rsidRDefault="00180BF1" w:rsidP="00A41133">
            <w:pPr>
              <w:jc w:val="right"/>
              <w:rPr>
                <w:rFonts w:ascii="Times New Roman" w:hAnsi="Times New Roman" w:cs="Times New Roman"/>
              </w:rPr>
            </w:pPr>
          </w:p>
        </w:tc>
      </w:tr>
      <w:tr w:rsidR="00180BF1" w:rsidRPr="00266E6D" w14:paraId="17E55BC5" w14:textId="1E26F687" w:rsidTr="2E5E7E52">
        <w:tc>
          <w:tcPr>
            <w:tcW w:w="4740" w:type="dxa"/>
          </w:tcPr>
          <w:p w14:paraId="5565F885" w14:textId="5FF310DA" w:rsidR="00180BF1" w:rsidRPr="00266E6D" w:rsidRDefault="00180BF1" w:rsidP="00A41133">
            <w:pPr>
              <w:rPr>
                <w:rFonts w:ascii="Times New Roman" w:hAnsi="Times New Roman" w:cs="Times New Roman"/>
              </w:rPr>
            </w:pPr>
            <w:r w:rsidRPr="00266E6D">
              <w:rPr>
                <w:rFonts w:ascii="Times New Roman" w:hAnsi="Times New Roman" w:cs="Times New Roman"/>
              </w:rPr>
              <w:t>22. If electric cardioversion is not effective, landiolol can be an alternative to amiodarone, after echocardiographic exclusion of severe LV systolic dysfunction [1</w:t>
            </w:r>
            <w:r w:rsidR="00307899">
              <w:rPr>
                <w:rFonts w:ascii="Times New Roman" w:hAnsi="Times New Roman" w:cs="Times New Roman"/>
              </w:rPr>
              <w:t>9</w:t>
            </w:r>
            <w:r w:rsidRPr="00266E6D">
              <w:rPr>
                <w:rFonts w:ascii="Times New Roman" w:hAnsi="Times New Roman" w:cs="Times New Roman"/>
              </w:rPr>
              <w:t>,</w:t>
            </w:r>
            <w:r w:rsidR="00307899">
              <w:rPr>
                <w:rFonts w:ascii="Times New Roman" w:hAnsi="Times New Roman" w:cs="Times New Roman"/>
              </w:rPr>
              <w:t>20</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3165C99C"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28F42CB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3A63D6B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23314F2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35B72E4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4F76B40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57CC6CE3" w14:textId="77777777" w:rsidR="00180BF1" w:rsidRPr="00266E6D" w:rsidRDefault="00180BF1" w:rsidP="00A41133">
            <w:pPr>
              <w:jc w:val="right"/>
              <w:rPr>
                <w:rFonts w:ascii="Times New Roman" w:hAnsi="Times New Roman" w:cs="Times New Roman"/>
              </w:rPr>
            </w:pPr>
          </w:p>
        </w:tc>
      </w:tr>
      <w:tr w:rsidR="00180BF1" w:rsidRPr="00266E6D" w14:paraId="386B8EB7" w14:textId="587A241E" w:rsidTr="2E5E7E52">
        <w:tc>
          <w:tcPr>
            <w:tcW w:w="4740" w:type="dxa"/>
          </w:tcPr>
          <w:p w14:paraId="54FE4545" w14:textId="631EEEDC" w:rsidR="00180BF1" w:rsidRPr="00266E6D" w:rsidRDefault="00180BF1" w:rsidP="00A41133">
            <w:pPr>
              <w:rPr>
                <w:rFonts w:ascii="Times New Roman" w:hAnsi="Times New Roman" w:cs="Times New Roman"/>
              </w:rPr>
            </w:pPr>
            <w:r w:rsidRPr="00266E6D">
              <w:rPr>
                <w:rFonts w:ascii="Times New Roman" w:hAnsi="Times New Roman" w:cs="Times New Roman"/>
              </w:rPr>
              <w:t>23. Esmolol, when landiolol is not available, remains an alternative, but similarly to landiolol, it will necessitate careful titration and tight HR and BP monitoring to anticipate potential bradycardia and hypotensive effect [</w:t>
            </w:r>
            <w:r w:rsidR="00307899">
              <w:rPr>
                <w:rFonts w:ascii="Times New Roman" w:hAnsi="Times New Roman" w:cs="Times New Roman"/>
              </w:rPr>
              <w:t>2</w:t>
            </w:r>
            <w:r w:rsidRPr="00266E6D">
              <w:rPr>
                <w:rFonts w:ascii="Times New Roman" w:hAnsi="Times New Roman" w:cs="Times New Roman"/>
              </w:rPr>
              <w:t>1,</w:t>
            </w:r>
            <w:r w:rsidR="00307899">
              <w:rPr>
                <w:rFonts w:ascii="Times New Roman" w:hAnsi="Times New Roman" w:cs="Times New Roman"/>
              </w:rPr>
              <w:t>2</w:t>
            </w:r>
            <w:r w:rsidRPr="00266E6D">
              <w:rPr>
                <w:rFonts w:ascii="Times New Roman" w:hAnsi="Times New Roman" w:cs="Times New Roman"/>
              </w:rPr>
              <w:t>2,2</w:t>
            </w:r>
            <w:r w:rsidR="00307899">
              <w:rPr>
                <w:rFonts w:ascii="Times New Roman" w:hAnsi="Times New Roman" w:cs="Times New Roman"/>
              </w:rPr>
              <w:t>3</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53B2EE8E"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75.5%</w:t>
            </w:r>
          </w:p>
        </w:tc>
        <w:tc>
          <w:tcPr>
            <w:tcW w:w="974" w:type="dxa"/>
            <w:tcBorders>
              <w:top w:val="single" w:sz="4" w:space="0" w:color="auto"/>
              <w:left w:val="single" w:sz="4" w:space="0" w:color="auto"/>
              <w:bottom w:val="single" w:sz="4" w:space="0" w:color="auto"/>
              <w:right w:val="single" w:sz="4" w:space="0" w:color="auto"/>
            </w:tcBorders>
          </w:tcPr>
          <w:p w14:paraId="1276A451"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6C8A6C06"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155F0FA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7AE83BA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25.0%</w:t>
            </w:r>
          </w:p>
        </w:tc>
        <w:tc>
          <w:tcPr>
            <w:tcW w:w="2040" w:type="dxa"/>
          </w:tcPr>
          <w:p w14:paraId="3A465D06"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DISAGREEMENT</w:t>
            </w:r>
          </w:p>
        </w:tc>
        <w:tc>
          <w:tcPr>
            <w:tcW w:w="2628" w:type="dxa"/>
          </w:tcPr>
          <w:p w14:paraId="60C88310" w14:textId="34BE5CBE" w:rsidR="00180BF1" w:rsidRPr="00266E6D" w:rsidRDefault="00180BF1" w:rsidP="00A41133">
            <w:pPr>
              <w:jc w:val="right"/>
              <w:rPr>
                <w:rFonts w:ascii="Times New Roman" w:hAnsi="Times New Roman" w:cs="Times New Roman"/>
              </w:rPr>
            </w:pPr>
          </w:p>
        </w:tc>
      </w:tr>
      <w:tr w:rsidR="00180BF1" w:rsidRPr="00266E6D" w14:paraId="30195170" w14:textId="0758F9CC" w:rsidTr="2E5E7E52">
        <w:tc>
          <w:tcPr>
            <w:tcW w:w="11650" w:type="dxa"/>
            <w:gridSpan w:val="7"/>
          </w:tcPr>
          <w:p w14:paraId="54893DEB" w14:textId="77777777" w:rsidR="00180BF1" w:rsidRPr="00266E6D" w:rsidRDefault="00180BF1" w:rsidP="0026248A">
            <w:pPr>
              <w:jc w:val="center"/>
              <w:rPr>
                <w:rFonts w:ascii="Times New Roman" w:hAnsi="Times New Roman" w:cs="Times New Roman"/>
              </w:rPr>
            </w:pPr>
          </w:p>
        </w:tc>
        <w:tc>
          <w:tcPr>
            <w:tcW w:w="2628" w:type="dxa"/>
          </w:tcPr>
          <w:p w14:paraId="7B73B9AF" w14:textId="77777777" w:rsidR="00180BF1" w:rsidRPr="00266E6D" w:rsidRDefault="00180BF1" w:rsidP="001374E8">
            <w:pPr>
              <w:jc w:val="both"/>
              <w:rPr>
                <w:rFonts w:ascii="Times New Roman" w:hAnsi="Times New Roman" w:cs="Times New Roman"/>
              </w:rPr>
            </w:pPr>
          </w:p>
        </w:tc>
      </w:tr>
      <w:tr w:rsidR="00180BF1" w:rsidRPr="00266E6D" w14:paraId="4582ABB4" w14:textId="21A75FB8" w:rsidTr="2E5E7E52">
        <w:tc>
          <w:tcPr>
            <w:tcW w:w="4740" w:type="dxa"/>
          </w:tcPr>
          <w:p w14:paraId="1919A01C" w14:textId="77777777" w:rsidR="00180BF1" w:rsidRPr="00266E6D" w:rsidRDefault="00180BF1" w:rsidP="00A41133">
            <w:pPr>
              <w:rPr>
                <w:rFonts w:ascii="Times New Roman" w:hAnsi="Times New Roman" w:cs="Times New Roman"/>
              </w:rPr>
            </w:pPr>
            <w:r w:rsidRPr="00266E6D">
              <w:rPr>
                <w:rFonts w:ascii="Times New Roman" w:hAnsi="Times New Roman" w:cs="Times New Roman"/>
                <w:b/>
                <w:bCs/>
              </w:rPr>
              <w:t>Area 4 – Pharmacological approach to AFib in critically ill patients</w:t>
            </w:r>
          </w:p>
        </w:tc>
        <w:tc>
          <w:tcPr>
            <w:tcW w:w="974" w:type="dxa"/>
          </w:tcPr>
          <w:p w14:paraId="764B5785"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43698579"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42324C0C"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1E9C4114"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6B795223"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2850F98F" w14:textId="665585CC" w:rsidR="00180BF1" w:rsidRPr="00266E6D" w:rsidRDefault="00180BF1" w:rsidP="0026248A">
            <w:pPr>
              <w:jc w:val="center"/>
              <w:rPr>
                <w:rFonts w:ascii="Times New Roman" w:hAnsi="Times New Roman" w:cs="Times New Roman"/>
              </w:rPr>
            </w:pPr>
          </w:p>
        </w:tc>
        <w:tc>
          <w:tcPr>
            <w:tcW w:w="2628" w:type="dxa"/>
          </w:tcPr>
          <w:p w14:paraId="2D0FD41C" w14:textId="77777777" w:rsidR="00180BF1" w:rsidRPr="00266E6D" w:rsidRDefault="00180BF1" w:rsidP="001374E8">
            <w:pPr>
              <w:jc w:val="both"/>
              <w:rPr>
                <w:rFonts w:ascii="Times New Roman" w:hAnsi="Times New Roman" w:cs="Times New Roman"/>
                <w:b/>
                <w:bCs/>
              </w:rPr>
            </w:pPr>
          </w:p>
        </w:tc>
      </w:tr>
      <w:tr w:rsidR="00180BF1" w:rsidRPr="00266E6D" w14:paraId="02064EC4" w14:textId="53490DD6" w:rsidTr="2E5E7E52">
        <w:tc>
          <w:tcPr>
            <w:tcW w:w="4740" w:type="dxa"/>
          </w:tcPr>
          <w:p w14:paraId="4DAD6438" w14:textId="6B25B32E" w:rsidR="00180BF1" w:rsidRPr="00266E6D" w:rsidRDefault="00180BF1" w:rsidP="00A41133">
            <w:pPr>
              <w:rPr>
                <w:rFonts w:ascii="Times New Roman" w:hAnsi="Times New Roman" w:cs="Times New Roman"/>
              </w:rPr>
            </w:pPr>
            <w:r w:rsidRPr="00266E6D">
              <w:rPr>
                <w:rFonts w:ascii="Times New Roman" w:hAnsi="Times New Roman" w:cs="Times New Roman"/>
              </w:rPr>
              <w:lastRenderedPageBreak/>
              <w:t>25. For “not crushing” patients/with no severe hemodynamic instability, HR or rhythm control should be done after or along controlling the triggers [</w:t>
            </w:r>
            <w:r w:rsidR="00C178DC">
              <w:rPr>
                <w:rFonts w:ascii="Times New Roman" w:hAnsi="Times New Roman" w:cs="Times New Roman"/>
              </w:rPr>
              <w:t>5</w:t>
            </w:r>
            <w:r w:rsidRPr="00266E6D">
              <w:rPr>
                <w:rFonts w:ascii="Times New Roman" w:hAnsi="Times New Roman" w:cs="Times New Roman"/>
              </w:rPr>
              <w:t>,</w:t>
            </w:r>
            <w:r w:rsidR="00C178DC">
              <w:rPr>
                <w:rFonts w:ascii="Times New Roman" w:hAnsi="Times New Roman" w:cs="Times New Roman"/>
              </w:rPr>
              <w:t>8</w:t>
            </w:r>
            <w:r w:rsidRPr="00266E6D">
              <w:rPr>
                <w:rFonts w:ascii="Times New Roman" w:hAnsi="Times New Roman" w:cs="Times New Roman"/>
              </w:rPr>
              <w:t>,</w:t>
            </w:r>
            <w:r w:rsidR="00C178DC">
              <w:rPr>
                <w:rFonts w:ascii="Times New Roman" w:hAnsi="Times New Roman" w:cs="Times New Roman"/>
              </w:rPr>
              <w:t>15</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331F7BF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59E330B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7BD06D43"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05FC978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464EF1E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2040" w:type="dxa"/>
          </w:tcPr>
          <w:p w14:paraId="5DA4456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34A4B883" w14:textId="77777777" w:rsidR="00180BF1" w:rsidRPr="00266E6D" w:rsidRDefault="00180BF1" w:rsidP="00A41133">
            <w:pPr>
              <w:jc w:val="right"/>
              <w:rPr>
                <w:rFonts w:ascii="Times New Roman" w:hAnsi="Times New Roman" w:cs="Times New Roman"/>
              </w:rPr>
            </w:pPr>
          </w:p>
        </w:tc>
      </w:tr>
      <w:tr w:rsidR="00180BF1" w:rsidRPr="00266E6D" w14:paraId="754A6231" w14:textId="0E133073" w:rsidTr="2E5E7E52">
        <w:tc>
          <w:tcPr>
            <w:tcW w:w="4740" w:type="dxa"/>
          </w:tcPr>
          <w:p w14:paraId="43D7E339" w14:textId="50F57D73" w:rsidR="00180BF1" w:rsidRPr="00266E6D" w:rsidRDefault="00180BF1" w:rsidP="00A41133">
            <w:pPr>
              <w:rPr>
                <w:rFonts w:ascii="Times New Roman" w:hAnsi="Times New Roman" w:cs="Times New Roman"/>
              </w:rPr>
            </w:pPr>
            <w:r w:rsidRPr="00266E6D">
              <w:rPr>
                <w:rFonts w:ascii="Times New Roman" w:hAnsi="Times New Roman" w:cs="Times New Roman"/>
              </w:rPr>
              <w:t>28. Digoxin remains a feasible option unless contra-indicated (e.g. dyskal</w:t>
            </w:r>
            <w:r w:rsidR="008F2F0B">
              <w:rPr>
                <w:rFonts w:ascii="Times New Roman" w:hAnsi="Times New Roman" w:cs="Times New Roman"/>
              </w:rPr>
              <w:t>a</w:t>
            </w:r>
            <w:r w:rsidRPr="00266E6D">
              <w:rPr>
                <w:rFonts w:ascii="Times New Roman" w:hAnsi="Times New Roman" w:cs="Times New Roman"/>
              </w:rPr>
              <w:t>emia, dyscalc</w:t>
            </w:r>
            <w:r w:rsidR="008F2F0B">
              <w:rPr>
                <w:rFonts w:ascii="Times New Roman" w:hAnsi="Times New Roman" w:cs="Times New Roman"/>
              </w:rPr>
              <w:t>a</w:t>
            </w:r>
            <w:r w:rsidRPr="00266E6D">
              <w:rPr>
                <w:rFonts w:ascii="Times New Roman" w:hAnsi="Times New Roman" w:cs="Times New Roman"/>
              </w:rPr>
              <w:t>emia, hypoxia)</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2341B6C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75.0%</w:t>
            </w:r>
          </w:p>
        </w:tc>
        <w:tc>
          <w:tcPr>
            <w:tcW w:w="974" w:type="dxa"/>
            <w:tcBorders>
              <w:top w:val="single" w:sz="4" w:space="0" w:color="auto"/>
              <w:left w:val="single" w:sz="4" w:space="0" w:color="auto"/>
              <w:bottom w:val="single" w:sz="4" w:space="0" w:color="auto"/>
              <w:right w:val="single" w:sz="4" w:space="0" w:color="auto"/>
            </w:tcBorders>
          </w:tcPr>
          <w:p w14:paraId="2B0C97C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1D267CD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689000A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7775B126"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25.0%</w:t>
            </w:r>
          </w:p>
        </w:tc>
        <w:tc>
          <w:tcPr>
            <w:tcW w:w="2040" w:type="dxa"/>
          </w:tcPr>
          <w:p w14:paraId="7919FEA1"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DISAGREEMENT</w:t>
            </w:r>
          </w:p>
        </w:tc>
        <w:tc>
          <w:tcPr>
            <w:tcW w:w="2628" w:type="dxa"/>
          </w:tcPr>
          <w:p w14:paraId="11366780" w14:textId="2057E938" w:rsidR="00180BF1" w:rsidRPr="00266E6D" w:rsidRDefault="00180BF1" w:rsidP="00A41133">
            <w:pPr>
              <w:jc w:val="right"/>
              <w:rPr>
                <w:rFonts w:ascii="Times New Roman" w:hAnsi="Times New Roman" w:cs="Times New Roman"/>
              </w:rPr>
            </w:pPr>
          </w:p>
        </w:tc>
      </w:tr>
      <w:tr w:rsidR="00180BF1" w:rsidRPr="00266E6D" w14:paraId="46CE25AF" w14:textId="6F2D5B0F" w:rsidTr="2E5E7E52">
        <w:tc>
          <w:tcPr>
            <w:tcW w:w="4740" w:type="dxa"/>
          </w:tcPr>
          <w:p w14:paraId="00761620" w14:textId="17EF55D8" w:rsidR="00180BF1" w:rsidRPr="00266E6D" w:rsidRDefault="00180BF1" w:rsidP="00A41133">
            <w:pPr>
              <w:rPr>
                <w:rFonts w:ascii="Times New Roman" w:hAnsi="Times New Roman" w:cs="Times New Roman"/>
              </w:rPr>
            </w:pPr>
            <w:r w:rsidRPr="00266E6D">
              <w:rPr>
                <w:rFonts w:ascii="Times New Roman" w:hAnsi="Times New Roman" w:cs="Times New Roman"/>
              </w:rPr>
              <w:t>30. Landiolol represents an option in case of preexisting AFib of unknown duration which is associated with the risk of inducing a stroke</w:t>
            </w:r>
            <w:r w:rsidR="00887F3A">
              <w:rPr>
                <w:rFonts w:ascii="Times New Roman" w:hAnsi="Times New Roman" w:cs="Times New Roman"/>
              </w:rPr>
              <w:t>.</w:t>
            </w:r>
          </w:p>
        </w:tc>
        <w:tc>
          <w:tcPr>
            <w:tcW w:w="974" w:type="dxa"/>
          </w:tcPr>
          <w:p w14:paraId="7CFEEE5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75.0%</w:t>
            </w:r>
          </w:p>
        </w:tc>
        <w:tc>
          <w:tcPr>
            <w:tcW w:w="974" w:type="dxa"/>
          </w:tcPr>
          <w:p w14:paraId="5B0A83C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25.0%</w:t>
            </w:r>
          </w:p>
        </w:tc>
        <w:tc>
          <w:tcPr>
            <w:tcW w:w="974" w:type="dxa"/>
          </w:tcPr>
          <w:p w14:paraId="3D6E530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4C73A59B"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0BA50D6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25.0%</w:t>
            </w:r>
          </w:p>
        </w:tc>
        <w:tc>
          <w:tcPr>
            <w:tcW w:w="2040" w:type="dxa"/>
          </w:tcPr>
          <w:p w14:paraId="55FF864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DISAGREEMENT</w:t>
            </w:r>
          </w:p>
        </w:tc>
        <w:tc>
          <w:tcPr>
            <w:tcW w:w="2628" w:type="dxa"/>
          </w:tcPr>
          <w:p w14:paraId="3A0B4C2E" w14:textId="679AC669" w:rsidR="00180BF1" w:rsidRPr="00266E6D" w:rsidRDefault="00180BF1" w:rsidP="00A41133">
            <w:pPr>
              <w:jc w:val="right"/>
              <w:rPr>
                <w:rFonts w:ascii="Times New Roman" w:hAnsi="Times New Roman" w:cs="Times New Roman"/>
              </w:rPr>
            </w:pPr>
          </w:p>
        </w:tc>
      </w:tr>
      <w:tr w:rsidR="00180BF1" w:rsidRPr="00266E6D" w14:paraId="381934E6" w14:textId="5E7652C2" w:rsidTr="2E5E7E52">
        <w:tc>
          <w:tcPr>
            <w:tcW w:w="4740" w:type="dxa"/>
          </w:tcPr>
          <w:p w14:paraId="6D887BA5" w14:textId="5EF515A7" w:rsidR="00180BF1" w:rsidRPr="00266E6D" w:rsidRDefault="00180BF1" w:rsidP="00A41133">
            <w:pPr>
              <w:rPr>
                <w:rFonts w:ascii="Times New Roman" w:hAnsi="Times New Roman" w:cs="Times New Roman"/>
              </w:rPr>
            </w:pPr>
            <w:r w:rsidRPr="00266E6D">
              <w:rPr>
                <w:rFonts w:ascii="Times New Roman" w:hAnsi="Times New Roman" w:cs="Times New Roman"/>
              </w:rPr>
              <w:t>31. In septic shock patients with EF below 35%, landiolol should be only used with caution in patients contra-indicated to amiodarone</w:t>
            </w:r>
            <w:r w:rsidR="0002698C">
              <w:rPr>
                <w:rFonts w:ascii="Times New Roman" w:hAnsi="Times New Roman" w:cs="Times New Roman"/>
              </w:rPr>
              <w:t>.</w:t>
            </w:r>
            <w:r w:rsidRPr="00266E6D">
              <w:rPr>
                <w:rFonts w:ascii="Times New Roman" w:hAnsi="Times New Roman" w:cs="Times New Roman"/>
              </w:rPr>
              <w:t xml:space="preserve"> [2</w:t>
            </w:r>
            <w:r w:rsidR="00C178DC">
              <w:rPr>
                <w:rFonts w:ascii="Times New Roman" w:hAnsi="Times New Roman" w:cs="Times New Roman"/>
              </w:rPr>
              <w:t>6</w:t>
            </w:r>
            <w:r w:rsidRPr="00266E6D">
              <w:rPr>
                <w:rFonts w:ascii="Times New Roman" w:hAnsi="Times New Roman" w:cs="Times New Roman"/>
              </w:rPr>
              <w:t>,</w:t>
            </w:r>
            <w:r w:rsidR="00955321">
              <w:rPr>
                <w:rFonts w:ascii="Times New Roman" w:hAnsi="Times New Roman" w:cs="Times New Roman"/>
              </w:rPr>
              <w:t>28</w:t>
            </w:r>
            <w:r w:rsidRPr="00266E6D">
              <w:rPr>
                <w:rFonts w:ascii="Times New Roman" w:hAnsi="Times New Roman" w:cs="Times New Roman"/>
              </w:rPr>
              <w:t>,</w:t>
            </w:r>
            <w:r w:rsidR="00955321">
              <w:rPr>
                <w:rFonts w:ascii="Times New Roman" w:hAnsi="Times New Roman" w:cs="Times New Roman"/>
              </w:rPr>
              <w:t>29</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16AE60F8"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75.0%</w:t>
            </w:r>
          </w:p>
        </w:tc>
        <w:tc>
          <w:tcPr>
            <w:tcW w:w="974" w:type="dxa"/>
            <w:tcBorders>
              <w:top w:val="single" w:sz="4" w:space="0" w:color="auto"/>
              <w:left w:val="single" w:sz="4" w:space="0" w:color="auto"/>
              <w:bottom w:val="single" w:sz="4" w:space="0" w:color="auto"/>
              <w:right w:val="single" w:sz="4" w:space="0" w:color="auto"/>
            </w:tcBorders>
          </w:tcPr>
          <w:p w14:paraId="3ACAD9D1"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13130AF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Borders>
              <w:top w:val="single" w:sz="4" w:space="0" w:color="auto"/>
              <w:left w:val="single" w:sz="4" w:space="0" w:color="auto"/>
              <w:bottom w:val="single" w:sz="4" w:space="0" w:color="auto"/>
              <w:right w:val="single" w:sz="4" w:space="0" w:color="auto"/>
            </w:tcBorders>
          </w:tcPr>
          <w:p w14:paraId="5C981F4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Borders>
              <w:top w:val="single" w:sz="4" w:space="0" w:color="auto"/>
              <w:left w:val="single" w:sz="4" w:space="0" w:color="auto"/>
              <w:bottom w:val="single" w:sz="4" w:space="0" w:color="auto"/>
              <w:right w:val="single" w:sz="4" w:space="0" w:color="auto"/>
            </w:tcBorders>
          </w:tcPr>
          <w:p w14:paraId="52F51BE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25.0%</w:t>
            </w:r>
          </w:p>
        </w:tc>
        <w:tc>
          <w:tcPr>
            <w:tcW w:w="2040" w:type="dxa"/>
          </w:tcPr>
          <w:p w14:paraId="203BFB0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DISAGREEMENT</w:t>
            </w:r>
          </w:p>
        </w:tc>
        <w:tc>
          <w:tcPr>
            <w:tcW w:w="2628" w:type="dxa"/>
          </w:tcPr>
          <w:p w14:paraId="7C51B257" w14:textId="46246F71" w:rsidR="00180BF1" w:rsidRPr="00266E6D" w:rsidRDefault="00180BF1" w:rsidP="00A41133">
            <w:pPr>
              <w:jc w:val="right"/>
              <w:rPr>
                <w:rFonts w:ascii="Times New Roman" w:hAnsi="Times New Roman" w:cs="Times New Roman"/>
              </w:rPr>
            </w:pPr>
          </w:p>
        </w:tc>
      </w:tr>
      <w:tr w:rsidR="00180BF1" w:rsidRPr="00266E6D" w14:paraId="12A363FC" w14:textId="6533B9F3" w:rsidTr="2E5E7E52">
        <w:tc>
          <w:tcPr>
            <w:tcW w:w="4740" w:type="dxa"/>
          </w:tcPr>
          <w:p w14:paraId="654AB289" w14:textId="7A811646" w:rsidR="00180BF1" w:rsidRPr="00266E6D" w:rsidRDefault="00180BF1" w:rsidP="00A41133">
            <w:pPr>
              <w:rPr>
                <w:rFonts w:ascii="Times New Roman" w:hAnsi="Times New Roman" w:cs="Times New Roman"/>
              </w:rPr>
            </w:pPr>
            <w:r w:rsidRPr="00266E6D">
              <w:rPr>
                <w:rFonts w:ascii="Times New Roman" w:hAnsi="Times New Roman" w:cs="Times New Roman"/>
              </w:rPr>
              <w:t>33. Landiolol should not be used in cardiogenic shock, as it is contra-indicated [</w:t>
            </w:r>
            <w:r w:rsidR="00955321">
              <w:rPr>
                <w:rFonts w:ascii="Times New Roman" w:hAnsi="Times New Roman" w:cs="Times New Roman"/>
              </w:rPr>
              <w:t>5</w:t>
            </w:r>
            <w:r w:rsidRPr="00266E6D">
              <w:rPr>
                <w:rFonts w:ascii="Times New Roman" w:hAnsi="Times New Roman" w:cs="Times New Roman"/>
              </w:rPr>
              <w:t>,</w:t>
            </w:r>
            <w:r w:rsidR="00955321">
              <w:rPr>
                <w:rFonts w:ascii="Times New Roman" w:hAnsi="Times New Roman" w:cs="Times New Roman"/>
              </w:rPr>
              <w:t>8</w:t>
            </w:r>
            <w:r w:rsidRPr="00266E6D">
              <w:rPr>
                <w:rFonts w:ascii="Times New Roman" w:hAnsi="Times New Roman" w:cs="Times New Roman"/>
              </w:rPr>
              <w:t>,3</w:t>
            </w:r>
            <w:r w:rsidR="00955321">
              <w:rPr>
                <w:rFonts w:ascii="Times New Roman" w:hAnsi="Times New Roman" w:cs="Times New Roman"/>
              </w:rPr>
              <w:t>6</w:t>
            </w:r>
            <w:r w:rsidRPr="00266E6D">
              <w:rPr>
                <w:rFonts w:ascii="Times New Roman" w:hAnsi="Times New Roman" w:cs="Times New Roman"/>
              </w:rPr>
              <w:t>,3</w:t>
            </w:r>
            <w:r w:rsidR="00955321">
              <w:rPr>
                <w:rFonts w:ascii="Times New Roman" w:hAnsi="Times New Roman" w:cs="Times New Roman"/>
              </w:rPr>
              <w:t>7</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69B3C38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62.5%</w:t>
            </w:r>
          </w:p>
        </w:tc>
        <w:tc>
          <w:tcPr>
            <w:tcW w:w="974" w:type="dxa"/>
            <w:tcBorders>
              <w:top w:val="single" w:sz="4" w:space="0" w:color="auto"/>
              <w:left w:val="single" w:sz="4" w:space="0" w:color="auto"/>
              <w:bottom w:val="single" w:sz="4" w:space="0" w:color="auto"/>
              <w:right w:val="single" w:sz="4" w:space="0" w:color="auto"/>
            </w:tcBorders>
          </w:tcPr>
          <w:p w14:paraId="306243A7"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37.5%</w:t>
            </w:r>
          </w:p>
        </w:tc>
        <w:tc>
          <w:tcPr>
            <w:tcW w:w="974" w:type="dxa"/>
            <w:tcBorders>
              <w:top w:val="single" w:sz="4" w:space="0" w:color="auto"/>
              <w:left w:val="single" w:sz="4" w:space="0" w:color="auto"/>
              <w:bottom w:val="single" w:sz="4" w:space="0" w:color="auto"/>
              <w:right w:val="single" w:sz="4" w:space="0" w:color="auto"/>
            </w:tcBorders>
          </w:tcPr>
          <w:p w14:paraId="44CA3D6D"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1DA35DA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1F4DC94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37.5%</w:t>
            </w:r>
          </w:p>
        </w:tc>
        <w:tc>
          <w:tcPr>
            <w:tcW w:w="2040" w:type="dxa"/>
          </w:tcPr>
          <w:p w14:paraId="0630A12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DISAGREEMENT</w:t>
            </w:r>
          </w:p>
        </w:tc>
        <w:tc>
          <w:tcPr>
            <w:tcW w:w="2628" w:type="dxa"/>
          </w:tcPr>
          <w:p w14:paraId="0C719358" w14:textId="45406288" w:rsidR="00180BF1" w:rsidRPr="00266E6D" w:rsidRDefault="001374E8" w:rsidP="00A41133">
            <w:pPr>
              <w:jc w:val="right"/>
              <w:rPr>
                <w:rFonts w:ascii="Times New Roman" w:hAnsi="Times New Roman" w:cs="Times New Roman"/>
              </w:rPr>
            </w:pPr>
            <w:r w:rsidRPr="00266E6D">
              <w:rPr>
                <w:rFonts w:ascii="Times New Roman" w:hAnsi="Times New Roman" w:cs="Times New Roman"/>
              </w:rPr>
              <w:t>.</w:t>
            </w:r>
          </w:p>
        </w:tc>
      </w:tr>
      <w:tr w:rsidR="00180BF1" w:rsidRPr="00266E6D" w14:paraId="70FEE778" w14:textId="7C2E584E" w:rsidTr="2E5E7E52">
        <w:tc>
          <w:tcPr>
            <w:tcW w:w="11650" w:type="dxa"/>
            <w:gridSpan w:val="7"/>
          </w:tcPr>
          <w:p w14:paraId="60D89CA9" w14:textId="77777777" w:rsidR="00180BF1" w:rsidRPr="00266E6D" w:rsidRDefault="00180BF1" w:rsidP="0026248A">
            <w:pPr>
              <w:jc w:val="center"/>
              <w:rPr>
                <w:rFonts w:ascii="Times New Roman" w:hAnsi="Times New Roman" w:cs="Times New Roman"/>
              </w:rPr>
            </w:pPr>
          </w:p>
        </w:tc>
        <w:tc>
          <w:tcPr>
            <w:tcW w:w="2628" w:type="dxa"/>
          </w:tcPr>
          <w:p w14:paraId="18FE912A" w14:textId="77777777" w:rsidR="00180BF1" w:rsidRPr="00266E6D" w:rsidRDefault="00180BF1" w:rsidP="001374E8">
            <w:pPr>
              <w:jc w:val="both"/>
              <w:rPr>
                <w:rFonts w:ascii="Times New Roman" w:hAnsi="Times New Roman" w:cs="Times New Roman"/>
              </w:rPr>
            </w:pPr>
          </w:p>
        </w:tc>
      </w:tr>
      <w:tr w:rsidR="00180BF1" w:rsidRPr="00266E6D" w14:paraId="4C5AF475" w14:textId="7913B03A" w:rsidTr="2E5E7E52">
        <w:tc>
          <w:tcPr>
            <w:tcW w:w="4740" w:type="dxa"/>
          </w:tcPr>
          <w:p w14:paraId="227E35FF" w14:textId="0FEE666C" w:rsidR="00180BF1" w:rsidRPr="00266E6D" w:rsidRDefault="00180BF1" w:rsidP="00A41133">
            <w:pPr>
              <w:rPr>
                <w:rFonts w:ascii="Times New Roman" w:hAnsi="Times New Roman" w:cs="Times New Roman"/>
              </w:rPr>
            </w:pPr>
            <w:r w:rsidRPr="00266E6D">
              <w:rPr>
                <w:rFonts w:ascii="Times New Roman" w:hAnsi="Times New Roman" w:cs="Times New Roman"/>
                <w:b/>
                <w:bCs/>
              </w:rPr>
              <w:t xml:space="preserve">Area 5 – Titration of landiolol and HR goal to reached </w:t>
            </w:r>
          </w:p>
        </w:tc>
        <w:tc>
          <w:tcPr>
            <w:tcW w:w="974" w:type="dxa"/>
          </w:tcPr>
          <w:p w14:paraId="5CBAB8B5"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024CECA5"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5C1F3734"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3495A7C0"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6C5143C5"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04A1C04D" w14:textId="35A649E8" w:rsidR="00180BF1" w:rsidRPr="00266E6D" w:rsidRDefault="00180BF1" w:rsidP="0026248A">
            <w:pPr>
              <w:jc w:val="center"/>
              <w:rPr>
                <w:rFonts w:ascii="Times New Roman" w:hAnsi="Times New Roman" w:cs="Times New Roman"/>
              </w:rPr>
            </w:pPr>
          </w:p>
        </w:tc>
        <w:tc>
          <w:tcPr>
            <w:tcW w:w="2628" w:type="dxa"/>
          </w:tcPr>
          <w:p w14:paraId="035C9537" w14:textId="77777777" w:rsidR="00180BF1" w:rsidRPr="00266E6D" w:rsidRDefault="00180BF1" w:rsidP="001374E8">
            <w:pPr>
              <w:jc w:val="both"/>
              <w:rPr>
                <w:rFonts w:ascii="Times New Roman" w:hAnsi="Times New Roman" w:cs="Times New Roman"/>
                <w:b/>
                <w:bCs/>
              </w:rPr>
            </w:pPr>
          </w:p>
        </w:tc>
      </w:tr>
      <w:tr w:rsidR="00180BF1" w:rsidRPr="00266E6D" w14:paraId="433184C7" w14:textId="11D50113" w:rsidTr="2E5E7E52">
        <w:tc>
          <w:tcPr>
            <w:tcW w:w="4740" w:type="dxa"/>
          </w:tcPr>
          <w:p w14:paraId="586105F8" w14:textId="137ABD0D" w:rsidR="00180BF1" w:rsidRPr="00266E6D" w:rsidRDefault="00180BF1" w:rsidP="00A41133">
            <w:pPr>
              <w:rPr>
                <w:rFonts w:ascii="Times New Roman" w:hAnsi="Times New Roman" w:cs="Times New Roman"/>
              </w:rPr>
            </w:pPr>
            <w:r w:rsidRPr="00266E6D">
              <w:rPr>
                <w:rFonts w:ascii="Times New Roman" w:hAnsi="Times New Roman" w:cs="Times New Roman"/>
              </w:rPr>
              <w:t xml:space="preserve">34. For starting landiolol therapy to treat </w:t>
            </w:r>
            <w:proofErr w:type="spellStart"/>
            <w:r w:rsidRPr="00266E6D">
              <w:rPr>
                <w:rFonts w:ascii="Times New Roman" w:hAnsi="Times New Roman" w:cs="Times New Roman"/>
              </w:rPr>
              <w:t>Afib</w:t>
            </w:r>
            <w:proofErr w:type="spellEnd"/>
            <w:r w:rsidRPr="00266E6D">
              <w:rPr>
                <w:rFonts w:ascii="Times New Roman" w:hAnsi="Times New Roman" w:cs="Times New Roman"/>
              </w:rPr>
              <w:t>, dosing should be initiated as infusion without bolus, especially in crushing patients or in case of hemodynamically instability</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27F96E8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27118A4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66F3AFB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2DA825F1"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26C4661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2040" w:type="dxa"/>
          </w:tcPr>
          <w:p w14:paraId="578C7A0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3397022E" w14:textId="77777777" w:rsidR="00180BF1" w:rsidRPr="00266E6D" w:rsidRDefault="00180BF1" w:rsidP="001374E8">
            <w:pPr>
              <w:jc w:val="both"/>
              <w:rPr>
                <w:rFonts w:ascii="Times New Roman" w:hAnsi="Times New Roman" w:cs="Times New Roman"/>
              </w:rPr>
            </w:pPr>
          </w:p>
        </w:tc>
      </w:tr>
      <w:tr w:rsidR="00180BF1" w:rsidRPr="00266E6D" w14:paraId="0918E4BE" w14:textId="433B751A" w:rsidTr="2E5E7E52">
        <w:tc>
          <w:tcPr>
            <w:tcW w:w="4740" w:type="dxa"/>
          </w:tcPr>
          <w:p w14:paraId="40A6C219" w14:textId="21674223" w:rsidR="00180BF1" w:rsidRPr="00266E6D" w:rsidRDefault="00180BF1" w:rsidP="00A41133">
            <w:pPr>
              <w:rPr>
                <w:rFonts w:ascii="Times New Roman" w:hAnsi="Times New Roman" w:cs="Times New Roman"/>
              </w:rPr>
            </w:pPr>
            <w:r w:rsidRPr="00266E6D">
              <w:rPr>
                <w:rFonts w:ascii="Times New Roman" w:hAnsi="Times New Roman" w:cs="Times New Roman"/>
              </w:rPr>
              <w:t>39. Lowering target to &lt;95 bpm without advanced cardiac output monitoring is not recommended as it may harm the patient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06F52222"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052B187E"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61575EB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6FD923C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783ED4A5"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2040" w:type="dxa"/>
          </w:tcPr>
          <w:p w14:paraId="1D70BD3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5B0850D8" w14:textId="77777777" w:rsidR="00180BF1" w:rsidRPr="00266E6D" w:rsidRDefault="00180BF1" w:rsidP="001374E8">
            <w:pPr>
              <w:jc w:val="both"/>
              <w:rPr>
                <w:rFonts w:ascii="Times New Roman" w:hAnsi="Times New Roman" w:cs="Times New Roman"/>
              </w:rPr>
            </w:pPr>
          </w:p>
        </w:tc>
      </w:tr>
      <w:tr w:rsidR="00180BF1" w:rsidRPr="00266E6D" w14:paraId="0910714F" w14:textId="6912459C" w:rsidTr="2E5E7E52">
        <w:tc>
          <w:tcPr>
            <w:tcW w:w="4740" w:type="dxa"/>
          </w:tcPr>
          <w:p w14:paraId="1B0C121C" w14:textId="4CD3D8B6" w:rsidR="00180BF1" w:rsidRPr="00266E6D" w:rsidRDefault="00180BF1" w:rsidP="00A41133">
            <w:pPr>
              <w:rPr>
                <w:rFonts w:ascii="Times New Roman" w:hAnsi="Times New Roman" w:cs="Times New Roman"/>
              </w:rPr>
            </w:pPr>
            <w:r w:rsidRPr="00266E6D">
              <w:rPr>
                <w:rFonts w:ascii="Times New Roman" w:hAnsi="Times New Roman" w:cs="Times New Roman"/>
              </w:rPr>
              <w:t>41. In patient with hemodynamic stable condition under vasopressor, it is advised to make a test to evaluate landiolol tolerance and hemodynamic response versus expected natural course of disease</w:t>
            </w:r>
            <w:r w:rsidR="00887F3A">
              <w:rPr>
                <w:rFonts w:ascii="Times New Roman" w:hAnsi="Times New Roman" w:cs="Times New Roman"/>
              </w:rPr>
              <w:t>.</w:t>
            </w:r>
          </w:p>
        </w:tc>
        <w:tc>
          <w:tcPr>
            <w:tcW w:w="974" w:type="dxa"/>
          </w:tcPr>
          <w:p w14:paraId="08C2A5AF"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87.5%</w:t>
            </w:r>
          </w:p>
        </w:tc>
        <w:tc>
          <w:tcPr>
            <w:tcW w:w="974" w:type="dxa"/>
          </w:tcPr>
          <w:p w14:paraId="2E5ADDC0"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974" w:type="dxa"/>
          </w:tcPr>
          <w:p w14:paraId="6EF9EAE9"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0.0%</w:t>
            </w:r>
          </w:p>
        </w:tc>
        <w:tc>
          <w:tcPr>
            <w:tcW w:w="974" w:type="dxa"/>
          </w:tcPr>
          <w:p w14:paraId="04B5D686"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100.0%</w:t>
            </w:r>
          </w:p>
        </w:tc>
        <w:tc>
          <w:tcPr>
            <w:tcW w:w="974" w:type="dxa"/>
          </w:tcPr>
          <w:p w14:paraId="4EF3791E"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12.5%</w:t>
            </w:r>
          </w:p>
        </w:tc>
        <w:tc>
          <w:tcPr>
            <w:tcW w:w="2040" w:type="dxa"/>
          </w:tcPr>
          <w:p w14:paraId="6D7A54B4" w14:textId="77777777" w:rsidR="00180BF1" w:rsidRPr="00266E6D" w:rsidRDefault="00180BF1" w:rsidP="00A41133">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7D055506" w14:textId="77777777" w:rsidR="00180BF1" w:rsidRPr="00266E6D" w:rsidRDefault="00180BF1" w:rsidP="001374E8">
            <w:pPr>
              <w:jc w:val="both"/>
              <w:rPr>
                <w:rFonts w:ascii="Times New Roman" w:hAnsi="Times New Roman" w:cs="Times New Roman"/>
              </w:rPr>
            </w:pPr>
          </w:p>
        </w:tc>
      </w:tr>
      <w:tr w:rsidR="00180BF1" w:rsidRPr="00266E6D" w14:paraId="42FCAB97" w14:textId="509BC1D6" w:rsidTr="2E5E7E52">
        <w:tc>
          <w:tcPr>
            <w:tcW w:w="11650" w:type="dxa"/>
            <w:gridSpan w:val="7"/>
          </w:tcPr>
          <w:p w14:paraId="1C8204BE" w14:textId="77777777" w:rsidR="00180BF1" w:rsidRPr="00266E6D" w:rsidRDefault="00180BF1" w:rsidP="0026248A">
            <w:pPr>
              <w:jc w:val="center"/>
              <w:rPr>
                <w:rFonts w:ascii="Times New Roman" w:hAnsi="Times New Roman" w:cs="Times New Roman"/>
              </w:rPr>
            </w:pPr>
          </w:p>
        </w:tc>
        <w:tc>
          <w:tcPr>
            <w:tcW w:w="2628" w:type="dxa"/>
          </w:tcPr>
          <w:p w14:paraId="026815EC" w14:textId="77777777" w:rsidR="00180BF1" w:rsidRPr="00266E6D" w:rsidRDefault="00180BF1" w:rsidP="001374E8">
            <w:pPr>
              <w:jc w:val="both"/>
              <w:rPr>
                <w:rFonts w:ascii="Times New Roman" w:hAnsi="Times New Roman" w:cs="Times New Roman"/>
              </w:rPr>
            </w:pPr>
          </w:p>
        </w:tc>
      </w:tr>
      <w:tr w:rsidR="00180BF1" w:rsidRPr="00266E6D" w14:paraId="1A89B209" w14:textId="6E1DB6C7" w:rsidTr="2E5E7E52">
        <w:tc>
          <w:tcPr>
            <w:tcW w:w="4740" w:type="dxa"/>
          </w:tcPr>
          <w:p w14:paraId="5B497834" w14:textId="77777777" w:rsidR="00180BF1" w:rsidRPr="00266E6D" w:rsidRDefault="00180BF1" w:rsidP="00A41133">
            <w:pPr>
              <w:rPr>
                <w:rFonts w:ascii="Times New Roman" w:hAnsi="Times New Roman" w:cs="Times New Roman"/>
              </w:rPr>
            </w:pPr>
            <w:r w:rsidRPr="00266E6D">
              <w:rPr>
                <w:rFonts w:ascii="Times New Roman" w:hAnsi="Times New Roman" w:cs="Times New Roman"/>
                <w:b/>
                <w:bCs/>
              </w:rPr>
              <w:t>Area 6 – Duration of therapy with landiolol</w:t>
            </w:r>
          </w:p>
        </w:tc>
        <w:tc>
          <w:tcPr>
            <w:tcW w:w="974" w:type="dxa"/>
          </w:tcPr>
          <w:p w14:paraId="7849D56F"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438DF5AA"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38165BCA"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4CCC36D7"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5160A381" w14:textId="77777777" w:rsidR="00180BF1" w:rsidRPr="00266E6D" w:rsidRDefault="00180BF1" w:rsidP="0026248A">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036D7E0F" w14:textId="7C7BFB58" w:rsidR="00180BF1" w:rsidRPr="00266E6D" w:rsidRDefault="00180BF1" w:rsidP="0026248A">
            <w:pPr>
              <w:jc w:val="center"/>
              <w:rPr>
                <w:rFonts w:ascii="Times New Roman" w:hAnsi="Times New Roman" w:cs="Times New Roman"/>
              </w:rPr>
            </w:pPr>
          </w:p>
        </w:tc>
        <w:tc>
          <w:tcPr>
            <w:tcW w:w="2628" w:type="dxa"/>
          </w:tcPr>
          <w:p w14:paraId="04F9EB68" w14:textId="77777777" w:rsidR="00180BF1" w:rsidRPr="00266E6D" w:rsidRDefault="00180BF1" w:rsidP="001374E8">
            <w:pPr>
              <w:jc w:val="both"/>
              <w:rPr>
                <w:rFonts w:ascii="Times New Roman" w:hAnsi="Times New Roman" w:cs="Times New Roman"/>
                <w:b/>
                <w:bCs/>
              </w:rPr>
            </w:pPr>
          </w:p>
        </w:tc>
      </w:tr>
      <w:tr w:rsidR="00180BF1" w:rsidRPr="00CE05BD" w14:paraId="5D62468D" w14:textId="02C8A99C" w:rsidTr="2E5E7E52">
        <w:tc>
          <w:tcPr>
            <w:tcW w:w="4740" w:type="dxa"/>
          </w:tcPr>
          <w:p w14:paraId="2F7FB9AB" w14:textId="5210D2D9" w:rsidR="00180BF1" w:rsidRPr="00266E6D" w:rsidRDefault="00180BF1" w:rsidP="00A41133">
            <w:pPr>
              <w:rPr>
                <w:rFonts w:ascii="Times New Roman" w:hAnsi="Times New Roman" w:cs="Times New Roman"/>
              </w:rPr>
            </w:pPr>
            <w:r w:rsidRPr="00266E6D">
              <w:rPr>
                <w:rFonts w:ascii="Times New Roman" w:hAnsi="Times New Roman" w:cs="Times New Roman"/>
              </w:rPr>
              <w:t>43. Landiolol infusion should not be discontinued abruptly except for resolving adverse events [</w:t>
            </w:r>
            <w:r w:rsidR="00955321">
              <w:rPr>
                <w:rFonts w:ascii="Times New Roman" w:hAnsi="Times New Roman" w:cs="Times New Roman"/>
              </w:rPr>
              <w:t>3</w:t>
            </w:r>
            <w:r w:rsidRPr="00266E6D">
              <w:rPr>
                <w:rFonts w:ascii="Times New Roman" w:hAnsi="Times New Roman" w:cs="Times New Roman"/>
              </w:rPr>
              <w:t>9]</w:t>
            </w:r>
            <w:r w:rsidR="00887F3A">
              <w:rPr>
                <w:rFonts w:ascii="Times New Roman" w:hAnsi="Times New Roman" w:cs="Times New Roman"/>
              </w:rPr>
              <w:t>.</w:t>
            </w:r>
          </w:p>
        </w:tc>
        <w:tc>
          <w:tcPr>
            <w:tcW w:w="974" w:type="dxa"/>
          </w:tcPr>
          <w:p w14:paraId="4B412D93" w14:textId="72BAAED7" w:rsidR="00180BF1" w:rsidRPr="00266E6D" w:rsidRDefault="00180BF1" w:rsidP="007D0060">
            <w:pPr>
              <w:jc w:val="right"/>
              <w:rPr>
                <w:rFonts w:ascii="Times New Roman" w:hAnsi="Times New Roman" w:cs="Times New Roman"/>
              </w:rPr>
            </w:pPr>
            <w:r w:rsidRPr="00266E6D">
              <w:rPr>
                <w:rFonts w:ascii="Times New Roman" w:hAnsi="Times New Roman" w:cs="Times New Roman"/>
              </w:rPr>
              <w:t>75.0%</w:t>
            </w:r>
          </w:p>
        </w:tc>
        <w:tc>
          <w:tcPr>
            <w:tcW w:w="974" w:type="dxa"/>
          </w:tcPr>
          <w:p w14:paraId="1E7E3D3E" w14:textId="40CFD586" w:rsidR="00180BF1" w:rsidRPr="00266E6D" w:rsidRDefault="00180BF1" w:rsidP="007D0060">
            <w:pPr>
              <w:jc w:val="right"/>
              <w:rPr>
                <w:rFonts w:ascii="Times New Roman" w:hAnsi="Times New Roman" w:cs="Times New Roman"/>
              </w:rPr>
            </w:pPr>
            <w:r w:rsidRPr="00266E6D">
              <w:rPr>
                <w:rFonts w:ascii="Times New Roman" w:hAnsi="Times New Roman" w:cs="Times New Roman"/>
              </w:rPr>
              <w:t>12.5%</w:t>
            </w:r>
          </w:p>
        </w:tc>
        <w:tc>
          <w:tcPr>
            <w:tcW w:w="974" w:type="dxa"/>
          </w:tcPr>
          <w:p w14:paraId="6C002905" w14:textId="6EA77659" w:rsidR="00180BF1" w:rsidRPr="00266E6D" w:rsidRDefault="00180BF1" w:rsidP="007D0060">
            <w:pPr>
              <w:jc w:val="right"/>
              <w:rPr>
                <w:rFonts w:ascii="Times New Roman" w:hAnsi="Times New Roman" w:cs="Times New Roman"/>
              </w:rPr>
            </w:pPr>
            <w:r w:rsidRPr="00266E6D">
              <w:rPr>
                <w:rFonts w:ascii="Times New Roman" w:hAnsi="Times New Roman" w:cs="Times New Roman"/>
              </w:rPr>
              <w:t>12.5%</w:t>
            </w:r>
          </w:p>
        </w:tc>
        <w:tc>
          <w:tcPr>
            <w:tcW w:w="974" w:type="dxa"/>
          </w:tcPr>
          <w:p w14:paraId="5D32992E" w14:textId="01C68568" w:rsidR="00180BF1" w:rsidRPr="00266E6D" w:rsidRDefault="00180BF1" w:rsidP="007D0060">
            <w:pPr>
              <w:jc w:val="right"/>
              <w:rPr>
                <w:rFonts w:ascii="Times New Roman" w:hAnsi="Times New Roman" w:cs="Times New Roman"/>
              </w:rPr>
            </w:pPr>
            <w:r w:rsidRPr="00266E6D">
              <w:rPr>
                <w:rFonts w:ascii="Times New Roman" w:hAnsi="Times New Roman" w:cs="Times New Roman"/>
              </w:rPr>
              <w:t>87.5%</w:t>
            </w:r>
          </w:p>
        </w:tc>
        <w:tc>
          <w:tcPr>
            <w:tcW w:w="974" w:type="dxa"/>
          </w:tcPr>
          <w:p w14:paraId="792B56FE" w14:textId="3A0F0694" w:rsidR="00180BF1" w:rsidRPr="00266E6D" w:rsidRDefault="00180BF1" w:rsidP="007D0060">
            <w:pPr>
              <w:jc w:val="right"/>
              <w:rPr>
                <w:rFonts w:ascii="Times New Roman" w:hAnsi="Times New Roman" w:cs="Times New Roman"/>
              </w:rPr>
            </w:pPr>
            <w:r w:rsidRPr="00266E6D">
              <w:rPr>
                <w:rFonts w:ascii="Times New Roman" w:hAnsi="Times New Roman" w:cs="Times New Roman"/>
              </w:rPr>
              <w:t>25.0%</w:t>
            </w:r>
          </w:p>
        </w:tc>
        <w:tc>
          <w:tcPr>
            <w:tcW w:w="2040" w:type="dxa"/>
          </w:tcPr>
          <w:p w14:paraId="0EB553F3" w14:textId="6A75A7B2" w:rsidR="00180BF1" w:rsidRPr="00266E6D" w:rsidRDefault="00180BF1" w:rsidP="007D0060">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2628" w:type="dxa"/>
          </w:tcPr>
          <w:p w14:paraId="671F7B52" w14:textId="04DDD7AA" w:rsidR="00180BF1" w:rsidRPr="00CE05BD" w:rsidRDefault="001374E8" w:rsidP="007D0060">
            <w:pPr>
              <w:jc w:val="right"/>
              <w:rPr>
                <w:rFonts w:ascii="Times New Roman" w:hAnsi="Times New Roman" w:cs="Times New Roman"/>
              </w:rPr>
            </w:pPr>
            <w:r w:rsidRPr="00CE05BD">
              <w:rPr>
                <w:rFonts w:ascii="Times New Roman" w:hAnsi="Times New Roman" w:cs="Times New Roman"/>
              </w:rPr>
              <w:t xml:space="preserve">Statement </w:t>
            </w:r>
            <w:r w:rsidR="0047105C">
              <w:rPr>
                <w:rFonts w:ascii="Times New Roman" w:hAnsi="Times New Roman" w:cs="Times New Roman"/>
              </w:rPr>
              <w:t>excluded</w:t>
            </w:r>
            <w:r w:rsidR="0047105C" w:rsidRPr="00CE05BD" w:rsidDel="00D17422">
              <w:rPr>
                <w:rFonts w:ascii="Times New Roman" w:hAnsi="Times New Roman" w:cs="Times New Roman"/>
              </w:rPr>
              <w:t xml:space="preserve"> </w:t>
            </w:r>
            <w:r w:rsidR="0047105C" w:rsidRPr="00CE05BD">
              <w:rPr>
                <w:rFonts w:ascii="Times New Roman" w:hAnsi="Times New Roman" w:cs="Times New Roman"/>
              </w:rPr>
              <w:t>from</w:t>
            </w:r>
            <w:r w:rsidRPr="00CE05BD">
              <w:rPr>
                <w:rFonts w:ascii="Times New Roman" w:hAnsi="Times New Roman" w:cs="Times New Roman"/>
              </w:rPr>
              <w:t xml:space="preserve"> the </w:t>
            </w:r>
            <w:proofErr w:type="gramStart"/>
            <w:r w:rsidRPr="00CE05BD">
              <w:rPr>
                <w:rFonts w:ascii="Times New Roman" w:hAnsi="Times New Roman" w:cs="Times New Roman"/>
              </w:rPr>
              <w:t>final results</w:t>
            </w:r>
            <w:proofErr w:type="gramEnd"/>
            <w:r w:rsidRPr="00CE05BD">
              <w:rPr>
                <w:rFonts w:ascii="Times New Roman" w:hAnsi="Times New Roman" w:cs="Times New Roman"/>
              </w:rPr>
              <w:t>.</w:t>
            </w:r>
          </w:p>
        </w:tc>
      </w:tr>
      <w:tr w:rsidR="00180BF1" w:rsidRPr="00266E6D" w14:paraId="2D87A627" w14:textId="3DCAD4BB" w:rsidTr="2E5E7E52">
        <w:tc>
          <w:tcPr>
            <w:tcW w:w="4740" w:type="dxa"/>
          </w:tcPr>
          <w:p w14:paraId="6CC1878E" w14:textId="16954753" w:rsidR="00180BF1" w:rsidRPr="00266E6D" w:rsidRDefault="00180BF1" w:rsidP="00A41133">
            <w:pPr>
              <w:rPr>
                <w:rFonts w:ascii="Times New Roman" w:hAnsi="Times New Roman" w:cs="Times New Roman"/>
              </w:rPr>
            </w:pPr>
            <w:r w:rsidRPr="00266E6D">
              <w:rPr>
                <w:rFonts w:ascii="Times New Roman" w:hAnsi="Times New Roman" w:cs="Times New Roman"/>
              </w:rPr>
              <w:t xml:space="preserve">44. If rate control is obtained, landiolol should be continued until vasopressor weaning or conversion </w:t>
            </w:r>
            <w:r w:rsidRPr="00266E6D">
              <w:rPr>
                <w:rFonts w:ascii="Times New Roman" w:hAnsi="Times New Roman" w:cs="Times New Roman"/>
              </w:rPr>
              <w:lastRenderedPageBreak/>
              <w:t>to sinus rhythm followed by conversion to oral beta blockers [2</w:t>
            </w:r>
            <w:r w:rsidR="00955321">
              <w:rPr>
                <w:rFonts w:ascii="Times New Roman" w:hAnsi="Times New Roman" w:cs="Times New Roman"/>
              </w:rPr>
              <w:t>6</w:t>
            </w:r>
            <w:r w:rsidRPr="00266E6D">
              <w:rPr>
                <w:rFonts w:ascii="Times New Roman" w:hAnsi="Times New Roman" w:cs="Times New Roman"/>
              </w:rPr>
              <w:t>,</w:t>
            </w:r>
            <w:r w:rsidR="0080087F">
              <w:rPr>
                <w:rFonts w:ascii="Times New Roman" w:hAnsi="Times New Roman" w:cs="Times New Roman"/>
              </w:rPr>
              <w:t>3</w:t>
            </w:r>
            <w:r w:rsidRPr="00266E6D">
              <w:rPr>
                <w:rFonts w:ascii="Times New Roman" w:hAnsi="Times New Roman" w:cs="Times New Roman"/>
              </w:rPr>
              <w:t>9]</w:t>
            </w:r>
            <w:r w:rsidR="00887F3A">
              <w:rPr>
                <w:rFonts w:ascii="Times New Roman" w:hAnsi="Times New Roman" w:cs="Times New Roman"/>
              </w:rPr>
              <w:t>.</w:t>
            </w:r>
          </w:p>
        </w:tc>
        <w:tc>
          <w:tcPr>
            <w:tcW w:w="974" w:type="dxa"/>
          </w:tcPr>
          <w:p w14:paraId="09769057" w14:textId="7F9AE309" w:rsidR="00180BF1" w:rsidRPr="00266E6D" w:rsidRDefault="00180BF1" w:rsidP="007D0060">
            <w:pPr>
              <w:jc w:val="right"/>
              <w:rPr>
                <w:rFonts w:ascii="Times New Roman" w:hAnsi="Times New Roman" w:cs="Times New Roman"/>
              </w:rPr>
            </w:pPr>
            <w:r w:rsidRPr="00266E6D">
              <w:rPr>
                <w:rFonts w:ascii="Times New Roman" w:hAnsi="Times New Roman" w:cs="Times New Roman"/>
              </w:rPr>
              <w:lastRenderedPageBreak/>
              <w:t>75.0%</w:t>
            </w:r>
          </w:p>
        </w:tc>
        <w:tc>
          <w:tcPr>
            <w:tcW w:w="974" w:type="dxa"/>
          </w:tcPr>
          <w:p w14:paraId="248C0A03" w14:textId="7404C77A" w:rsidR="00180BF1" w:rsidRPr="00266E6D" w:rsidRDefault="00180BF1" w:rsidP="007D0060">
            <w:pPr>
              <w:jc w:val="right"/>
              <w:rPr>
                <w:rFonts w:ascii="Times New Roman" w:hAnsi="Times New Roman" w:cs="Times New Roman"/>
              </w:rPr>
            </w:pPr>
            <w:r w:rsidRPr="00266E6D">
              <w:rPr>
                <w:rFonts w:ascii="Times New Roman" w:hAnsi="Times New Roman" w:cs="Times New Roman"/>
              </w:rPr>
              <w:t>12.5%</w:t>
            </w:r>
          </w:p>
        </w:tc>
        <w:tc>
          <w:tcPr>
            <w:tcW w:w="974" w:type="dxa"/>
          </w:tcPr>
          <w:p w14:paraId="2B68D59B" w14:textId="76659338" w:rsidR="00180BF1" w:rsidRPr="00266E6D" w:rsidRDefault="00180BF1" w:rsidP="007D0060">
            <w:pPr>
              <w:jc w:val="right"/>
              <w:rPr>
                <w:rFonts w:ascii="Times New Roman" w:hAnsi="Times New Roman" w:cs="Times New Roman"/>
              </w:rPr>
            </w:pPr>
            <w:r w:rsidRPr="00266E6D">
              <w:rPr>
                <w:rFonts w:ascii="Times New Roman" w:hAnsi="Times New Roman" w:cs="Times New Roman"/>
              </w:rPr>
              <w:t>12.5%</w:t>
            </w:r>
          </w:p>
        </w:tc>
        <w:tc>
          <w:tcPr>
            <w:tcW w:w="974" w:type="dxa"/>
          </w:tcPr>
          <w:p w14:paraId="6FD75DD8" w14:textId="31CDCDF2" w:rsidR="00180BF1" w:rsidRPr="00266E6D" w:rsidRDefault="00180BF1" w:rsidP="007D0060">
            <w:pPr>
              <w:jc w:val="right"/>
              <w:rPr>
                <w:rFonts w:ascii="Times New Roman" w:hAnsi="Times New Roman" w:cs="Times New Roman"/>
              </w:rPr>
            </w:pPr>
            <w:r w:rsidRPr="00266E6D">
              <w:rPr>
                <w:rFonts w:ascii="Times New Roman" w:hAnsi="Times New Roman" w:cs="Times New Roman"/>
              </w:rPr>
              <w:t>87.5%</w:t>
            </w:r>
          </w:p>
        </w:tc>
        <w:tc>
          <w:tcPr>
            <w:tcW w:w="974" w:type="dxa"/>
          </w:tcPr>
          <w:p w14:paraId="34380CB3" w14:textId="3F628778" w:rsidR="00180BF1" w:rsidRPr="00266E6D" w:rsidRDefault="00180BF1" w:rsidP="007D0060">
            <w:pPr>
              <w:jc w:val="right"/>
              <w:rPr>
                <w:rFonts w:ascii="Times New Roman" w:hAnsi="Times New Roman" w:cs="Times New Roman"/>
              </w:rPr>
            </w:pPr>
            <w:r w:rsidRPr="00266E6D">
              <w:rPr>
                <w:rFonts w:ascii="Times New Roman" w:hAnsi="Times New Roman" w:cs="Times New Roman"/>
              </w:rPr>
              <w:t>25.0%</w:t>
            </w:r>
          </w:p>
        </w:tc>
        <w:tc>
          <w:tcPr>
            <w:tcW w:w="2040" w:type="dxa"/>
          </w:tcPr>
          <w:p w14:paraId="654BF1C9" w14:textId="77DE0674" w:rsidR="00180BF1" w:rsidRPr="00266E6D" w:rsidRDefault="00180BF1" w:rsidP="007D0060">
            <w:pPr>
              <w:jc w:val="right"/>
              <w:rPr>
                <w:rFonts w:ascii="Times New Roman" w:hAnsi="Times New Roman" w:cs="Times New Roman"/>
              </w:rPr>
            </w:pPr>
            <w:r w:rsidRPr="00266E6D">
              <w:rPr>
                <w:rFonts w:ascii="Times New Roman" w:hAnsi="Times New Roman" w:cs="Times New Roman"/>
              </w:rPr>
              <w:t xml:space="preserve">DISAGREEMENT AND </w:t>
            </w:r>
            <w:r w:rsidR="00D17422">
              <w:rPr>
                <w:rFonts w:ascii="Times New Roman" w:hAnsi="Times New Roman" w:cs="Times New Roman"/>
              </w:rPr>
              <w:t>EXCLUDED</w:t>
            </w:r>
          </w:p>
        </w:tc>
        <w:tc>
          <w:tcPr>
            <w:tcW w:w="2628" w:type="dxa"/>
          </w:tcPr>
          <w:p w14:paraId="294FCF8B" w14:textId="3FF26EA1" w:rsidR="00180BF1" w:rsidRPr="006E2376" w:rsidRDefault="3E8723EA" w:rsidP="007D0060">
            <w:pPr>
              <w:jc w:val="right"/>
              <w:rPr>
                <w:rFonts w:ascii="Times New Roman" w:hAnsi="Times New Roman" w:cs="Times New Roman"/>
              </w:rPr>
            </w:pPr>
            <w:r w:rsidRPr="006E2376">
              <w:rPr>
                <w:rFonts w:ascii="Times New Roman" w:hAnsi="Times New Roman" w:cs="Times New Roman"/>
              </w:rPr>
              <w:t xml:space="preserve">Statement </w:t>
            </w:r>
            <w:r w:rsidR="00D17422">
              <w:rPr>
                <w:rFonts w:ascii="Times New Roman" w:hAnsi="Times New Roman" w:cs="Times New Roman"/>
              </w:rPr>
              <w:t>excluded</w:t>
            </w:r>
            <w:r w:rsidR="00D17422" w:rsidRPr="006E2376" w:rsidDel="00D17422">
              <w:rPr>
                <w:rFonts w:ascii="Times New Roman" w:hAnsi="Times New Roman" w:cs="Times New Roman"/>
              </w:rPr>
              <w:t xml:space="preserve"> </w:t>
            </w:r>
            <w:r w:rsidRPr="006E2376">
              <w:rPr>
                <w:rFonts w:ascii="Times New Roman" w:hAnsi="Times New Roman" w:cs="Times New Roman"/>
              </w:rPr>
              <w:t xml:space="preserve">from the </w:t>
            </w:r>
            <w:proofErr w:type="gramStart"/>
            <w:r w:rsidRPr="006E2376">
              <w:rPr>
                <w:rFonts w:ascii="Times New Roman" w:hAnsi="Times New Roman" w:cs="Times New Roman"/>
              </w:rPr>
              <w:t>final results</w:t>
            </w:r>
            <w:proofErr w:type="gramEnd"/>
            <w:r w:rsidR="4B543852" w:rsidRPr="006E2376">
              <w:rPr>
                <w:rFonts w:ascii="Times New Roman" w:hAnsi="Times New Roman" w:cs="Times New Roman"/>
              </w:rPr>
              <w:t xml:space="preserve"> because</w:t>
            </w:r>
            <w:r w:rsidR="00192306" w:rsidRPr="00A41133">
              <w:rPr>
                <w:rFonts w:ascii="Times New Roman" w:hAnsi="Times New Roman" w:cs="Times New Roman"/>
              </w:rPr>
              <w:t xml:space="preserve"> it was not possible to draw a </w:t>
            </w:r>
            <w:r w:rsidR="00192306" w:rsidRPr="00A41133">
              <w:rPr>
                <w:rFonts w:ascii="Times New Roman" w:hAnsi="Times New Roman" w:cs="Times New Roman"/>
              </w:rPr>
              <w:lastRenderedPageBreak/>
              <w:t>robust conclusion</w:t>
            </w:r>
            <w:r w:rsidR="006E2376" w:rsidRPr="00A41133">
              <w:rPr>
                <w:rFonts w:ascii="Times New Roman" w:hAnsi="Times New Roman" w:cs="Times New Roman"/>
              </w:rPr>
              <w:t xml:space="preserve">, </w:t>
            </w:r>
            <w:r w:rsidR="4B543852" w:rsidRPr="006E2376">
              <w:rPr>
                <w:rFonts w:ascii="Times New Roman" w:hAnsi="Times New Roman" w:cs="Times New Roman"/>
              </w:rPr>
              <w:t>given the restricted range of clinical scenarios discussed</w:t>
            </w:r>
            <w:r w:rsidR="006E2376" w:rsidRPr="00A41133">
              <w:rPr>
                <w:rFonts w:ascii="Times New Roman" w:hAnsi="Times New Roman" w:cs="Times New Roman"/>
              </w:rPr>
              <w:t>.</w:t>
            </w:r>
          </w:p>
        </w:tc>
      </w:tr>
      <w:tr w:rsidR="00180BF1" w:rsidRPr="00266E6D" w14:paraId="3048119D" w14:textId="75D9D784" w:rsidTr="2E5E7E52">
        <w:tc>
          <w:tcPr>
            <w:tcW w:w="11650" w:type="dxa"/>
            <w:gridSpan w:val="7"/>
          </w:tcPr>
          <w:p w14:paraId="6707C61C" w14:textId="77777777" w:rsidR="00180BF1" w:rsidRPr="00266E6D" w:rsidRDefault="00180BF1" w:rsidP="003B0104">
            <w:pPr>
              <w:jc w:val="center"/>
              <w:rPr>
                <w:rFonts w:ascii="Times New Roman" w:hAnsi="Times New Roman" w:cs="Times New Roman"/>
              </w:rPr>
            </w:pPr>
          </w:p>
        </w:tc>
        <w:tc>
          <w:tcPr>
            <w:tcW w:w="2628" w:type="dxa"/>
          </w:tcPr>
          <w:p w14:paraId="412DE2DB" w14:textId="77777777" w:rsidR="00180BF1" w:rsidRPr="00266E6D" w:rsidRDefault="00180BF1" w:rsidP="001374E8">
            <w:pPr>
              <w:jc w:val="both"/>
              <w:rPr>
                <w:rFonts w:ascii="Times New Roman" w:hAnsi="Times New Roman" w:cs="Times New Roman"/>
              </w:rPr>
            </w:pPr>
          </w:p>
        </w:tc>
      </w:tr>
      <w:tr w:rsidR="00180BF1" w:rsidRPr="00266E6D" w14:paraId="43CB7D24" w14:textId="1864C7CC" w:rsidTr="2E5E7E52">
        <w:tc>
          <w:tcPr>
            <w:tcW w:w="4740" w:type="dxa"/>
          </w:tcPr>
          <w:p w14:paraId="7509E03C" w14:textId="77777777" w:rsidR="00180BF1" w:rsidRPr="00266E6D" w:rsidRDefault="00180BF1" w:rsidP="007D0060">
            <w:pPr>
              <w:rPr>
                <w:rFonts w:ascii="Times New Roman" w:hAnsi="Times New Roman" w:cs="Times New Roman"/>
              </w:rPr>
            </w:pPr>
            <w:r w:rsidRPr="00266E6D">
              <w:rPr>
                <w:rFonts w:ascii="Times New Roman" w:hAnsi="Times New Roman" w:cs="Times New Roman"/>
                <w:b/>
                <w:bCs/>
              </w:rPr>
              <w:t>Area 7 – Therapy after stopping landiolol</w:t>
            </w:r>
          </w:p>
        </w:tc>
        <w:tc>
          <w:tcPr>
            <w:tcW w:w="974" w:type="dxa"/>
          </w:tcPr>
          <w:p w14:paraId="01979D84"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308272AC"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17760049"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24F5C0A8"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02ECBDD8"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4F3BCA44" w14:textId="4272E755" w:rsidR="00180BF1" w:rsidRPr="00266E6D" w:rsidRDefault="00180BF1" w:rsidP="003B0104">
            <w:pPr>
              <w:jc w:val="center"/>
              <w:rPr>
                <w:rFonts w:ascii="Times New Roman" w:hAnsi="Times New Roman" w:cs="Times New Roman"/>
              </w:rPr>
            </w:pPr>
          </w:p>
        </w:tc>
        <w:tc>
          <w:tcPr>
            <w:tcW w:w="2628" w:type="dxa"/>
          </w:tcPr>
          <w:p w14:paraId="6D51A796" w14:textId="77777777" w:rsidR="00180BF1" w:rsidRPr="00266E6D" w:rsidRDefault="00180BF1" w:rsidP="001374E8">
            <w:pPr>
              <w:jc w:val="both"/>
              <w:rPr>
                <w:rFonts w:ascii="Times New Roman" w:hAnsi="Times New Roman" w:cs="Times New Roman"/>
                <w:b/>
                <w:bCs/>
              </w:rPr>
            </w:pPr>
          </w:p>
        </w:tc>
      </w:tr>
      <w:tr w:rsidR="00180BF1" w:rsidRPr="00266E6D" w14:paraId="5CA1ABF4" w14:textId="70971475" w:rsidTr="2E5E7E52">
        <w:tc>
          <w:tcPr>
            <w:tcW w:w="4740" w:type="dxa"/>
          </w:tcPr>
          <w:p w14:paraId="0153015D" w14:textId="528AF80B" w:rsidR="00180BF1" w:rsidRPr="00266E6D" w:rsidRDefault="00180BF1" w:rsidP="007D0060">
            <w:pPr>
              <w:rPr>
                <w:rFonts w:ascii="Times New Roman" w:hAnsi="Times New Roman" w:cs="Times New Roman"/>
              </w:rPr>
            </w:pPr>
            <w:r w:rsidRPr="00266E6D">
              <w:rPr>
                <w:rFonts w:ascii="Times New Roman" w:hAnsi="Times New Roman" w:cs="Times New Roman"/>
              </w:rPr>
              <w:t>48. For patients with preexisting chronic beta-blockers, the treatment should be reinitiated as soon as possible even before the ICU discharge [1</w:t>
            </w:r>
            <w:r w:rsidR="0080087F">
              <w:rPr>
                <w:rFonts w:ascii="Times New Roman" w:hAnsi="Times New Roman" w:cs="Times New Roman"/>
              </w:rPr>
              <w:t>2</w:t>
            </w:r>
            <w:r w:rsidRPr="00266E6D">
              <w:rPr>
                <w:rFonts w:ascii="Times New Roman" w:hAnsi="Times New Roman" w:cs="Times New Roman"/>
              </w:rPr>
              <w:t>]</w:t>
            </w:r>
            <w:r w:rsidR="00887F3A">
              <w:rPr>
                <w:rFonts w:ascii="Times New Roman" w:hAnsi="Times New Roman" w:cs="Times New Roman"/>
              </w:rPr>
              <w:t>.</w:t>
            </w:r>
          </w:p>
        </w:tc>
        <w:tc>
          <w:tcPr>
            <w:tcW w:w="974" w:type="dxa"/>
            <w:tcBorders>
              <w:top w:val="single" w:sz="4" w:space="0" w:color="auto"/>
              <w:left w:val="single" w:sz="4" w:space="0" w:color="auto"/>
              <w:bottom w:val="single" w:sz="4" w:space="0" w:color="auto"/>
              <w:right w:val="single" w:sz="4" w:space="0" w:color="auto"/>
            </w:tcBorders>
          </w:tcPr>
          <w:p w14:paraId="778E8B24"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327CDEBD"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7B79B978"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974" w:type="dxa"/>
            <w:tcBorders>
              <w:top w:val="single" w:sz="4" w:space="0" w:color="auto"/>
              <w:left w:val="single" w:sz="4" w:space="0" w:color="auto"/>
              <w:bottom w:val="single" w:sz="4" w:space="0" w:color="auto"/>
              <w:right w:val="single" w:sz="4" w:space="0" w:color="auto"/>
            </w:tcBorders>
          </w:tcPr>
          <w:p w14:paraId="07CD355F"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100.0%</w:t>
            </w:r>
          </w:p>
        </w:tc>
        <w:tc>
          <w:tcPr>
            <w:tcW w:w="974" w:type="dxa"/>
            <w:tcBorders>
              <w:top w:val="single" w:sz="4" w:space="0" w:color="auto"/>
              <w:left w:val="single" w:sz="4" w:space="0" w:color="auto"/>
              <w:bottom w:val="single" w:sz="4" w:space="0" w:color="auto"/>
              <w:right w:val="single" w:sz="4" w:space="0" w:color="auto"/>
            </w:tcBorders>
          </w:tcPr>
          <w:p w14:paraId="66852BE4"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2040" w:type="dxa"/>
          </w:tcPr>
          <w:p w14:paraId="1DF1B461"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6EF8CD27" w14:textId="77777777" w:rsidR="00180BF1" w:rsidRPr="00266E6D" w:rsidRDefault="00180BF1" w:rsidP="001374E8">
            <w:pPr>
              <w:jc w:val="both"/>
              <w:rPr>
                <w:rFonts w:ascii="Times New Roman" w:hAnsi="Times New Roman" w:cs="Times New Roman"/>
              </w:rPr>
            </w:pPr>
          </w:p>
        </w:tc>
      </w:tr>
      <w:tr w:rsidR="00180BF1" w:rsidRPr="00266E6D" w14:paraId="4CEEEC4D" w14:textId="59E34CB9" w:rsidTr="2E5E7E52">
        <w:tc>
          <w:tcPr>
            <w:tcW w:w="11650" w:type="dxa"/>
            <w:gridSpan w:val="7"/>
          </w:tcPr>
          <w:p w14:paraId="2219A580" w14:textId="77777777" w:rsidR="00180BF1" w:rsidRPr="00266E6D" w:rsidRDefault="00180BF1" w:rsidP="003B0104">
            <w:pPr>
              <w:jc w:val="center"/>
              <w:rPr>
                <w:rFonts w:ascii="Times New Roman" w:hAnsi="Times New Roman" w:cs="Times New Roman"/>
              </w:rPr>
            </w:pPr>
          </w:p>
        </w:tc>
        <w:tc>
          <w:tcPr>
            <w:tcW w:w="2628" w:type="dxa"/>
          </w:tcPr>
          <w:p w14:paraId="00034348" w14:textId="77777777" w:rsidR="00180BF1" w:rsidRPr="00266E6D" w:rsidRDefault="00180BF1" w:rsidP="001374E8">
            <w:pPr>
              <w:jc w:val="both"/>
              <w:rPr>
                <w:rFonts w:ascii="Times New Roman" w:hAnsi="Times New Roman" w:cs="Times New Roman"/>
              </w:rPr>
            </w:pPr>
          </w:p>
        </w:tc>
      </w:tr>
      <w:tr w:rsidR="00180BF1" w:rsidRPr="00266E6D" w14:paraId="799891EF" w14:textId="1838CE1E" w:rsidTr="2E5E7E52">
        <w:tc>
          <w:tcPr>
            <w:tcW w:w="4740" w:type="dxa"/>
          </w:tcPr>
          <w:p w14:paraId="64705596" w14:textId="77777777" w:rsidR="00180BF1" w:rsidRPr="00266E6D" w:rsidRDefault="00180BF1" w:rsidP="003B0104">
            <w:pPr>
              <w:jc w:val="both"/>
              <w:rPr>
                <w:rFonts w:ascii="Times New Roman" w:hAnsi="Times New Roman" w:cs="Times New Roman"/>
              </w:rPr>
            </w:pPr>
            <w:r w:rsidRPr="00266E6D">
              <w:rPr>
                <w:rFonts w:ascii="Times New Roman" w:hAnsi="Times New Roman" w:cs="Times New Roman"/>
                <w:b/>
                <w:bCs/>
              </w:rPr>
              <w:t>Area 8 – Alternative option in case of partial success or failure with landiolol</w:t>
            </w:r>
          </w:p>
        </w:tc>
        <w:tc>
          <w:tcPr>
            <w:tcW w:w="974" w:type="dxa"/>
          </w:tcPr>
          <w:p w14:paraId="70571621"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57F8D511"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0012C85E"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6B9D73CB"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1270350D"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75AFF009" w14:textId="2A7BB2F4" w:rsidR="00180BF1" w:rsidRPr="00266E6D" w:rsidRDefault="00180BF1" w:rsidP="003B0104">
            <w:pPr>
              <w:jc w:val="center"/>
              <w:rPr>
                <w:rFonts w:ascii="Times New Roman" w:hAnsi="Times New Roman" w:cs="Times New Roman"/>
              </w:rPr>
            </w:pPr>
          </w:p>
        </w:tc>
        <w:tc>
          <w:tcPr>
            <w:tcW w:w="2628" w:type="dxa"/>
          </w:tcPr>
          <w:p w14:paraId="564807C6" w14:textId="77777777" w:rsidR="00180BF1" w:rsidRPr="00266E6D" w:rsidRDefault="00180BF1" w:rsidP="001374E8">
            <w:pPr>
              <w:jc w:val="both"/>
              <w:rPr>
                <w:rFonts w:ascii="Times New Roman" w:hAnsi="Times New Roman" w:cs="Times New Roman"/>
                <w:b/>
                <w:bCs/>
              </w:rPr>
            </w:pPr>
          </w:p>
        </w:tc>
      </w:tr>
      <w:tr w:rsidR="00180BF1" w:rsidRPr="00266E6D" w14:paraId="2D55FBB5" w14:textId="245F2B68" w:rsidTr="2E5E7E52">
        <w:tc>
          <w:tcPr>
            <w:tcW w:w="4740" w:type="dxa"/>
          </w:tcPr>
          <w:p w14:paraId="6D238A03" w14:textId="0959DD92" w:rsidR="00180BF1" w:rsidRPr="00266E6D" w:rsidRDefault="00180BF1" w:rsidP="007D0060">
            <w:pPr>
              <w:rPr>
                <w:rFonts w:ascii="Times New Roman" w:hAnsi="Times New Roman" w:cs="Times New Roman"/>
              </w:rPr>
            </w:pPr>
            <w:r w:rsidRPr="00266E6D">
              <w:rPr>
                <w:rFonts w:ascii="Times New Roman" w:hAnsi="Times New Roman" w:cs="Times New Roman"/>
              </w:rPr>
              <w:t>49. If rate control is not achieved with landiolol, intensivist can select alternative option like amiodarone o digoxin [</w:t>
            </w:r>
            <w:r w:rsidR="0080087F">
              <w:rPr>
                <w:rFonts w:ascii="Times New Roman" w:hAnsi="Times New Roman" w:cs="Times New Roman"/>
              </w:rPr>
              <w:t>8</w:t>
            </w:r>
            <w:r w:rsidRPr="00266E6D">
              <w:rPr>
                <w:rFonts w:ascii="Times New Roman" w:hAnsi="Times New Roman" w:cs="Times New Roman"/>
              </w:rPr>
              <w:t>,</w:t>
            </w:r>
            <w:r w:rsidR="0080087F">
              <w:rPr>
                <w:rFonts w:ascii="Times New Roman" w:hAnsi="Times New Roman" w:cs="Times New Roman"/>
              </w:rPr>
              <w:t>15</w:t>
            </w:r>
            <w:r w:rsidRPr="00266E6D">
              <w:rPr>
                <w:rFonts w:ascii="Times New Roman" w:hAnsi="Times New Roman" w:cs="Times New Roman"/>
              </w:rPr>
              <w:t>]</w:t>
            </w:r>
            <w:r w:rsidR="00887F3A">
              <w:rPr>
                <w:rFonts w:ascii="Times New Roman" w:hAnsi="Times New Roman" w:cs="Times New Roman"/>
              </w:rPr>
              <w:t>.</w:t>
            </w:r>
          </w:p>
        </w:tc>
        <w:tc>
          <w:tcPr>
            <w:tcW w:w="974" w:type="dxa"/>
          </w:tcPr>
          <w:p w14:paraId="50FBB9D2"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100.0%</w:t>
            </w:r>
          </w:p>
        </w:tc>
        <w:tc>
          <w:tcPr>
            <w:tcW w:w="974" w:type="dxa"/>
          </w:tcPr>
          <w:p w14:paraId="641493F0"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974" w:type="dxa"/>
          </w:tcPr>
          <w:p w14:paraId="047C588D"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974" w:type="dxa"/>
          </w:tcPr>
          <w:p w14:paraId="315DBE17"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100.0%</w:t>
            </w:r>
          </w:p>
        </w:tc>
        <w:tc>
          <w:tcPr>
            <w:tcW w:w="974" w:type="dxa"/>
          </w:tcPr>
          <w:p w14:paraId="745239EA"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2040" w:type="dxa"/>
          </w:tcPr>
          <w:p w14:paraId="1184C3BE" w14:textId="77777777" w:rsidR="00180BF1" w:rsidRPr="00266E6D" w:rsidRDefault="00180BF1" w:rsidP="007D0060">
            <w:pPr>
              <w:jc w:val="right"/>
              <w:rPr>
                <w:rFonts w:ascii="Times New Roman" w:hAnsi="Times New Roman" w:cs="Times New Roman"/>
              </w:rPr>
            </w:pPr>
            <w:r w:rsidRPr="00266E6D">
              <w:rPr>
                <w:rFonts w:ascii="Times New Roman" w:hAnsi="Times New Roman" w:cs="Times New Roman"/>
              </w:rPr>
              <w:t>AGREEMENT</w:t>
            </w:r>
          </w:p>
        </w:tc>
        <w:tc>
          <w:tcPr>
            <w:tcW w:w="2628" w:type="dxa"/>
          </w:tcPr>
          <w:p w14:paraId="7211094C" w14:textId="77777777" w:rsidR="00180BF1" w:rsidRPr="00266E6D" w:rsidRDefault="00180BF1" w:rsidP="001374E8">
            <w:pPr>
              <w:jc w:val="both"/>
              <w:rPr>
                <w:rFonts w:ascii="Times New Roman" w:hAnsi="Times New Roman" w:cs="Times New Roman"/>
              </w:rPr>
            </w:pPr>
          </w:p>
        </w:tc>
      </w:tr>
      <w:tr w:rsidR="00180BF1" w:rsidRPr="00266E6D" w14:paraId="30DCBBB3" w14:textId="129EA49E" w:rsidTr="2E5E7E52">
        <w:tc>
          <w:tcPr>
            <w:tcW w:w="4740" w:type="dxa"/>
          </w:tcPr>
          <w:p w14:paraId="47998936" w14:textId="29AAF649" w:rsidR="00180BF1" w:rsidRPr="00266E6D" w:rsidRDefault="00180BF1" w:rsidP="007D0060">
            <w:pPr>
              <w:rPr>
                <w:rFonts w:ascii="Times New Roman" w:hAnsi="Times New Roman" w:cs="Times New Roman"/>
              </w:rPr>
            </w:pPr>
            <w:r w:rsidRPr="00266E6D">
              <w:rPr>
                <w:rFonts w:ascii="Times New Roman" w:hAnsi="Times New Roman" w:cs="Times New Roman"/>
              </w:rPr>
              <w:t>50. Amiodarone, alone or combined to electrical cardioversion, may be preferred in critical care patients with high adrenergic tone or inflammation because of the high rate of relapse after electrical cardioversion [</w:t>
            </w:r>
            <w:r w:rsidR="0080087F">
              <w:rPr>
                <w:rFonts w:ascii="Times New Roman" w:hAnsi="Times New Roman" w:cs="Times New Roman"/>
              </w:rPr>
              <w:t>8</w:t>
            </w:r>
            <w:r w:rsidRPr="00266E6D">
              <w:rPr>
                <w:rFonts w:ascii="Times New Roman" w:hAnsi="Times New Roman" w:cs="Times New Roman"/>
              </w:rPr>
              <w:t>,</w:t>
            </w:r>
            <w:r w:rsidR="0080087F">
              <w:rPr>
                <w:rFonts w:ascii="Times New Roman" w:hAnsi="Times New Roman" w:cs="Times New Roman"/>
              </w:rPr>
              <w:t>15</w:t>
            </w:r>
            <w:r w:rsidRPr="00266E6D">
              <w:rPr>
                <w:rFonts w:ascii="Times New Roman" w:hAnsi="Times New Roman" w:cs="Times New Roman"/>
              </w:rPr>
              <w:t>]</w:t>
            </w:r>
            <w:r w:rsidR="00887F3A">
              <w:rPr>
                <w:rFonts w:ascii="Times New Roman" w:hAnsi="Times New Roman" w:cs="Times New Roman"/>
              </w:rPr>
              <w:t>.</w:t>
            </w:r>
          </w:p>
        </w:tc>
        <w:tc>
          <w:tcPr>
            <w:tcW w:w="974" w:type="dxa"/>
          </w:tcPr>
          <w:p w14:paraId="566255FA" w14:textId="555C97BC" w:rsidR="00180BF1" w:rsidRPr="00266E6D" w:rsidRDefault="00180BF1" w:rsidP="007D0060">
            <w:pPr>
              <w:jc w:val="right"/>
              <w:rPr>
                <w:rFonts w:ascii="Times New Roman" w:hAnsi="Times New Roman" w:cs="Times New Roman"/>
              </w:rPr>
            </w:pPr>
            <w:r w:rsidRPr="00266E6D">
              <w:rPr>
                <w:rFonts w:ascii="Times New Roman" w:hAnsi="Times New Roman" w:cs="Times New Roman"/>
              </w:rPr>
              <w:t>50.0%</w:t>
            </w:r>
          </w:p>
        </w:tc>
        <w:tc>
          <w:tcPr>
            <w:tcW w:w="974" w:type="dxa"/>
          </w:tcPr>
          <w:p w14:paraId="158937E2" w14:textId="0CD88386" w:rsidR="00180BF1" w:rsidRPr="00266E6D" w:rsidRDefault="00180BF1" w:rsidP="007D0060">
            <w:pPr>
              <w:jc w:val="right"/>
              <w:rPr>
                <w:rFonts w:ascii="Times New Roman" w:hAnsi="Times New Roman" w:cs="Times New Roman"/>
              </w:rPr>
            </w:pPr>
            <w:r w:rsidRPr="00266E6D">
              <w:rPr>
                <w:rFonts w:ascii="Times New Roman" w:hAnsi="Times New Roman" w:cs="Times New Roman"/>
              </w:rPr>
              <w:t>12.5%</w:t>
            </w:r>
          </w:p>
        </w:tc>
        <w:tc>
          <w:tcPr>
            <w:tcW w:w="974" w:type="dxa"/>
          </w:tcPr>
          <w:p w14:paraId="4C318755" w14:textId="7BD6FF85" w:rsidR="00180BF1" w:rsidRPr="00266E6D" w:rsidRDefault="00180BF1" w:rsidP="007D0060">
            <w:pPr>
              <w:jc w:val="right"/>
              <w:rPr>
                <w:rFonts w:ascii="Times New Roman" w:hAnsi="Times New Roman" w:cs="Times New Roman"/>
              </w:rPr>
            </w:pPr>
            <w:r w:rsidRPr="00266E6D">
              <w:rPr>
                <w:rFonts w:ascii="Times New Roman" w:hAnsi="Times New Roman" w:cs="Times New Roman"/>
              </w:rPr>
              <w:t>37.5%</w:t>
            </w:r>
          </w:p>
        </w:tc>
        <w:tc>
          <w:tcPr>
            <w:tcW w:w="974" w:type="dxa"/>
          </w:tcPr>
          <w:p w14:paraId="2321A47E" w14:textId="161ED537" w:rsidR="00180BF1" w:rsidRPr="00266E6D" w:rsidRDefault="00180BF1" w:rsidP="007D0060">
            <w:pPr>
              <w:jc w:val="right"/>
              <w:rPr>
                <w:rFonts w:ascii="Times New Roman" w:hAnsi="Times New Roman" w:cs="Times New Roman"/>
              </w:rPr>
            </w:pPr>
            <w:r w:rsidRPr="00266E6D">
              <w:rPr>
                <w:rFonts w:ascii="Times New Roman" w:hAnsi="Times New Roman" w:cs="Times New Roman"/>
              </w:rPr>
              <w:t>62.5%</w:t>
            </w:r>
          </w:p>
        </w:tc>
        <w:tc>
          <w:tcPr>
            <w:tcW w:w="974" w:type="dxa"/>
          </w:tcPr>
          <w:p w14:paraId="5CB03CBB" w14:textId="1EF22D9B" w:rsidR="00180BF1" w:rsidRPr="00266E6D" w:rsidRDefault="00180BF1" w:rsidP="007D0060">
            <w:pPr>
              <w:jc w:val="right"/>
              <w:rPr>
                <w:rFonts w:ascii="Times New Roman" w:hAnsi="Times New Roman" w:cs="Times New Roman"/>
              </w:rPr>
            </w:pPr>
            <w:r w:rsidRPr="00266E6D">
              <w:rPr>
                <w:rFonts w:ascii="Times New Roman" w:hAnsi="Times New Roman" w:cs="Times New Roman"/>
              </w:rPr>
              <w:t>50.0%</w:t>
            </w:r>
          </w:p>
        </w:tc>
        <w:tc>
          <w:tcPr>
            <w:tcW w:w="2040" w:type="dxa"/>
          </w:tcPr>
          <w:p w14:paraId="7016AC4B" w14:textId="6FA6105B" w:rsidR="00180BF1" w:rsidRPr="00266E6D" w:rsidRDefault="001374E8" w:rsidP="007D0060">
            <w:pPr>
              <w:jc w:val="right"/>
              <w:rPr>
                <w:rFonts w:ascii="Times New Roman" w:hAnsi="Times New Roman" w:cs="Times New Roman"/>
              </w:rPr>
            </w:pPr>
            <w:r w:rsidRPr="00266E6D">
              <w:rPr>
                <w:rFonts w:ascii="Times New Roman" w:hAnsi="Times New Roman" w:cs="Times New Roman"/>
              </w:rPr>
              <w:t>DISPERSED OPINION</w:t>
            </w:r>
            <w:r w:rsidR="00180BF1" w:rsidRPr="00266E6D">
              <w:rPr>
                <w:rFonts w:ascii="Times New Roman" w:hAnsi="Times New Roman" w:cs="Times New Roman"/>
              </w:rPr>
              <w:t xml:space="preserve"> AND </w:t>
            </w:r>
            <w:r w:rsidR="00E314C0">
              <w:rPr>
                <w:rFonts w:ascii="Times New Roman" w:hAnsi="Times New Roman" w:cs="Times New Roman"/>
              </w:rPr>
              <w:t>EXCLUDED</w:t>
            </w:r>
          </w:p>
        </w:tc>
        <w:tc>
          <w:tcPr>
            <w:tcW w:w="2628" w:type="dxa"/>
          </w:tcPr>
          <w:p w14:paraId="6B1E0C8D" w14:textId="50CE6360" w:rsidR="00180BF1" w:rsidRPr="00266E6D" w:rsidRDefault="001374E8" w:rsidP="007D0060">
            <w:pPr>
              <w:jc w:val="right"/>
              <w:rPr>
                <w:rFonts w:ascii="Times New Roman" w:hAnsi="Times New Roman" w:cs="Times New Roman"/>
              </w:rPr>
            </w:pPr>
            <w:r w:rsidRPr="00266E6D">
              <w:rPr>
                <w:rFonts w:ascii="Times New Roman" w:hAnsi="Times New Roman" w:cs="Times New Roman"/>
              </w:rPr>
              <w:t xml:space="preserve">Statement </w:t>
            </w:r>
            <w:r w:rsidR="000D090D">
              <w:rPr>
                <w:rFonts w:ascii="Times New Roman" w:hAnsi="Times New Roman" w:cs="Times New Roman"/>
              </w:rPr>
              <w:t>excluded</w:t>
            </w:r>
            <w:r w:rsidRPr="00266E6D">
              <w:rPr>
                <w:rFonts w:ascii="Times New Roman" w:hAnsi="Times New Roman" w:cs="Times New Roman"/>
              </w:rPr>
              <w:t xml:space="preserve"> from the </w:t>
            </w:r>
            <w:proofErr w:type="gramStart"/>
            <w:r w:rsidRPr="00266E6D">
              <w:rPr>
                <w:rFonts w:ascii="Times New Roman" w:hAnsi="Times New Roman" w:cs="Times New Roman"/>
              </w:rPr>
              <w:t>final results</w:t>
            </w:r>
            <w:proofErr w:type="gramEnd"/>
            <w:r w:rsidR="0096650C">
              <w:rPr>
                <w:rFonts w:ascii="Times New Roman" w:hAnsi="Times New Roman" w:cs="Times New Roman"/>
              </w:rPr>
              <w:t xml:space="preserve"> </w:t>
            </w:r>
            <w:r w:rsidR="000D090D">
              <w:rPr>
                <w:rFonts w:ascii="Times New Roman" w:hAnsi="Times New Roman" w:cs="Times New Roman"/>
              </w:rPr>
              <w:t>due to</w:t>
            </w:r>
            <w:r w:rsidR="001C3D60">
              <w:rPr>
                <w:rFonts w:ascii="Times New Roman" w:hAnsi="Times New Roman" w:cs="Times New Roman"/>
              </w:rPr>
              <w:t xml:space="preserve"> dispersed opinion</w:t>
            </w:r>
            <w:r w:rsidRPr="00266E6D">
              <w:rPr>
                <w:rFonts w:ascii="Times New Roman" w:hAnsi="Times New Roman" w:cs="Times New Roman"/>
              </w:rPr>
              <w:t>.</w:t>
            </w:r>
          </w:p>
        </w:tc>
      </w:tr>
      <w:tr w:rsidR="00180BF1" w:rsidRPr="00266E6D" w14:paraId="20D6A816" w14:textId="7AD45E2D" w:rsidTr="2E5E7E52">
        <w:tc>
          <w:tcPr>
            <w:tcW w:w="11650" w:type="dxa"/>
            <w:gridSpan w:val="7"/>
          </w:tcPr>
          <w:p w14:paraId="5A5598E0" w14:textId="77777777" w:rsidR="00180BF1" w:rsidRPr="00266E6D" w:rsidRDefault="00180BF1" w:rsidP="003B0104">
            <w:pPr>
              <w:jc w:val="center"/>
              <w:rPr>
                <w:rFonts w:ascii="Times New Roman" w:hAnsi="Times New Roman" w:cs="Times New Roman"/>
              </w:rPr>
            </w:pPr>
          </w:p>
        </w:tc>
        <w:tc>
          <w:tcPr>
            <w:tcW w:w="2628" w:type="dxa"/>
          </w:tcPr>
          <w:p w14:paraId="402DE659" w14:textId="77777777" w:rsidR="00180BF1" w:rsidRPr="00266E6D" w:rsidRDefault="00180BF1" w:rsidP="001374E8">
            <w:pPr>
              <w:jc w:val="both"/>
              <w:rPr>
                <w:rFonts w:ascii="Times New Roman" w:hAnsi="Times New Roman" w:cs="Times New Roman"/>
              </w:rPr>
            </w:pPr>
          </w:p>
        </w:tc>
      </w:tr>
      <w:tr w:rsidR="00180BF1" w:rsidRPr="00266E6D" w14:paraId="37BAD897" w14:textId="3BEAC3DE" w:rsidTr="2E5E7E52">
        <w:tc>
          <w:tcPr>
            <w:tcW w:w="4740" w:type="dxa"/>
          </w:tcPr>
          <w:p w14:paraId="63A5963D" w14:textId="77777777" w:rsidR="00180BF1" w:rsidRPr="00266E6D" w:rsidRDefault="00180BF1" w:rsidP="007D0060">
            <w:pPr>
              <w:rPr>
                <w:rFonts w:ascii="Times New Roman" w:hAnsi="Times New Roman" w:cs="Times New Roman"/>
              </w:rPr>
            </w:pPr>
            <w:r w:rsidRPr="00266E6D">
              <w:rPr>
                <w:rFonts w:ascii="Times New Roman" w:hAnsi="Times New Roman" w:cs="Times New Roman"/>
                <w:b/>
                <w:bCs/>
              </w:rPr>
              <w:t>Area 9 – Landiolol and concomitant use of positive inotropic agents</w:t>
            </w:r>
          </w:p>
        </w:tc>
        <w:tc>
          <w:tcPr>
            <w:tcW w:w="974" w:type="dxa"/>
          </w:tcPr>
          <w:p w14:paraId="1F4D7D58"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7 - 9</w:t>
            </w:r>
          </w:p>
        </w:tc>
        <w:tc>
          <w:tcPr>
            <w:tcW w:w="974" w:type="dxa"/>
          </w:tcPr>
          <w:p w14:paraId="7ACE5189"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4 - 6</w:t>
            </w:r>
          </w:p>
        </w:tc>
        <w:tc>
          <w:tcPr>
            <w:tcW w:w="974" w:type="dxa"/>
          </w:tcPr>
          <w:p w14:paraId="581AFA4A"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1 - 3</w:t>
            </w:r>
          </w:p>
        </w:tc>
        <w:tc>
          <w:tcPr>
            <w:tcW w:w="974" w:type="dxa"/>
          </w:tcPr>
          <w:p w14:paraId="1E00DD19"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4 - 9</w:t>
            </w:r>
          </w:p>
        </w:tc>
        <w:tc>
          <w:tcPr>
            <w:tcW w:w="974" w:type="dxa"/>
          </w:tcPr>
          <w:p w14:paraId="222ED75C" w14:textId="77777777" w:rsidR="00180BF1" w:rsidRPr="00266E6D" w:rsidRDefault="00180BF1" w:rsidP="003B0104">
            <w:pPr>
              <w:jc w:val="center"/>
              <w:rPr>
                <w:rFonts w:ascii="Times New Roman" w:hAnsi="Times New Roman" w:cs="Times New Roman"/>
              </w:rPr>
            </w:pPr>
            <w:r w:rsidRPr="00266E6D">
              <w:rPr>
                <w:rFonts w:ascii="Times New Roman" w:hAnsi="Times New Roman" w:cs="Times New Roman"/>
                <w:b/>
                <w:bCs/>
              </w:rPr>
              <w:t>% 1 - 6</w:t>
            </w:r>
          </w:p>
        </w:tc>
        <w:tc>
          <w:tcPr>
            <w:tcW w:w="2040" w:type="dxa"/>
          </w:tcPr>
          <w:p w14:paraId="7A089EA3" w14:textId="0464CCBF" w:rsidR="00180BF1" w:rsidRPr="00266E6D" w:rsidRDefault="00180BF1" w:rsidP="003B0104">
            <w:pPr>
              <w:jc w:val="center"/>
              <w:rPr>
                <w:rFonts w:ascii="Times New Roman" w:hAnsi="Times New Roman" w:cs="Times New Roman"/>
              </w:rPr>
            </w:pPr>
          </w:p>
        </w:tc>
        <w:tc>
          <w:tcPr>
            <w:tcW w:w="2628" w:type="dxa"/>
          </w:tcPr>
          <w:p w14:paraId="3868E5D4" w14:textId="77777777" w:rsidR="00180BF1" w:rsidRPr="00D17422" w:rsidRDefault="00180BF1" w:rsidP="001374E8">
            <w:pPr>
              <w:jc w:val="both"/>
              <w:rPr>
                <w:rFonts w:ascii="Times New Roman" w:hAnsi="Times New Roman" w:cs="Times New Roman"/>
                <w:b/>
                <w:bCs/>
              </w:rPr>
            </w:pPr>
          </w:p>
        </w:tc>
      </w:tr>
      <w:tr w:rsidR="00180BF1" w:rsidRPr="00266E6D" w14:paraId="26A9B26C" w14:textId="2B45C91D" w:rsidTr="2E5E7E52">
        <w:tc>
          <w:tcPr>
            <w:tcW w:w="4740" w:type="dxa"/>
          </w:tcPr>
          <w:p w14:paraId="64E042BA" w14:textId="18C73E82" w:rsidR="00180BF1" w:rsidRPr="00266E6D" w:rsidRDefault="00180BF1" w:rsidP="007D0060">
            <w:pPr>
              <w:rPr>
                <w:rFonts w:ascii="Times New Roman" w:hAnsi="Times New Roman" w:cs="Times New Roman"/>
              </w:rPr>
            </w:pPr>
            <w:r w:rsidRPr="00266E6D">
              <w:rPr>
                <w:rFonts w:ascii="Times New Roman" w:hAnsi="Times New Roman" w:cs="Times New Roman"/>
              </w:rPr>
              <w:t>53. Before deciding to initiate an inotrope in rapid AF patient, we suggest clinicians to assess the global cardiovascular pathophysiology, with focus on coupling of ventricular to arterial elastance [</w:t>
            </w:r>
            <w:r w:rsidR="0080087F">
              <w:rPr>
                <w:rFonts w:ascii="Times New Roman" w:hAnsi="Times New Roman" w:cs="Times New Roman"/>
              </w:rPr>
              <w:t>11</w:t>
            </w:r>
            <w:r w:rsidRPr="00266E6D">
              <w:rPr>
                <w:rFonts w:ascii="Times New Roman" w:hAnsi="Times New Roman" w:cs="Times New Roman"/>
              </w:rPr>
              <w:t>]</w:t>
            </w:r>
            <w:r w:rsidR="00887F3A">
              <w:rPr>
                <w:rFonts w:ascii="Times New Roman" w:hAnsi="Times New Roman" w:cs="Times New Roman"/>
              </w:rPr>
              <w:t>.</w:t>
            </w:r>
          </w:p>
        </w:tc>
        <w:tc>
          <w:tcPr>
            <w:tcW w:w="974" w:type="dxa"/>
          </w:tcPr>
          <w:p w14:paraId="0CA93594" w14:textId="7E565FFC" w:rsidR="00180BF1" w:rsidRPr="00266E6D" w:rsidRDefault="00180BF1" w:rsidP="007D0060">
            <w:pPr>
              <w:jc w:val="right"/>
              <w:rPr>
                <w:rFonts w:ascii="Times New Roman" w:hAnsi="Times New Roman" w:cs="Times New Roman"/>
              </w:rPr>
            </w:pPr>
            <w:r w:rsidRPr="00266E6D">
              <w:rPr>
                <w:rFonts w:ascii="Times New Roman" w:hAnsi="Times New Roman" w:cs="Times New Roman"/>
              </w:rPr>
              <w:t>75.0%</w:t>
            </w:r>
          </w:p>
        </w:tc>
        <w:tc>
          <w:tcPr>
            <w:tcW w:w="974" w:type="dxa"/>
          </w:tcPr>
          <w:p w14:paraId="527933D9" w14:textId="38F43465" w:rsidR="00180BF1" w:rsidRPr="00266E6D" w:rsidRDefault="00180BF1" w:rsidP="007D0060">
            <w:pPr>
              <w:jc w:val="right"/>
              <w:rPr>
                <w:rFonts w:ascii="Times New Roman" w:hAnsi="Times New Roman" w:cs="Times New Roman"/>
              </w:rPr>
            </w:pPr>
            <w:r w:rsidRPr="00266E6D">
              <w:rPr>
                <w:rFonts w:ascii="Times New Roman" w:hAnsi="Times New Roman" w:cs="Times New Roman"/>
              </w:rPr>
              <w:t>0.0%</w:t>
            </w:r>
          </w:p>
        </w:tc>
        <w:tc>
          <w:tcPr>
            <w:tcW w:w="974" w:type="dxa"/>
          </w:tcPr>
          <w:p w14:paraId="0EC6F7CF" w14:textId="1A0EE3D1" w:rsidR="00180BF1" w:rsidRPr="00266E6D" w:rsidRDefault="00180BF1" w:rsidP="007D0060">
            <w:pPr>
              <w:jc w:val="right"/>
              <w:rPr>
                <w:rFonts w:ascii="Times New Roman" w:hAnsi="Times New Roman" w:cs="Times New Roman"/>
              </w:rPr>
            </w:pPr>
            <w:r w:rsidRPr="00266E6D">
              <w:rPr>
                <w:rFonts w:ascii="Times New Roman" w:hAnsi="Times New Roman" w:cs="Times New Roman"/>
              </w:rPr>
              <w:t>25.0%</w:t>
            </w:r>
          </w:p>
        </w:tc>
        <w:tc>
          <w:tcPr>
            <w:tcW w:w="974" w:type="dxa"/>
          </w:tcPr>
          <w:p w14:paraId="021D69DD" w14:textId="3309C272" w:rsidR="00180BF1" w:rsidRPr="00266E6D" w:rsidRDefault="00180BF1" w:rsidP="007D0060">
            <w:pPr>
              <w:jc w:val="right"/>
              <w:rPr>
                <w:rFonts w:ascii="Times New Roman" w:hAnsi="Times New Roman" w:cs="Times New Roman"/>
              </w:rPr>
            </w:pPr>
            <w:r w:rsidRPr="00266E6D">
              <w:rPr>
                <w:rFonts w:ascii="Times New Roman" w:hAnsi="Times New Roman" w:cs="Times New Roman"/>
              </w:rPr>
              <w:t>75.0%</w:t>
            </w:r>
          </w:p>
        </w:tc>
        <w:tc>
          <w:tcPr>
            <w:tcW w:w="974" w:type="dxa"/>
          </w:tcPr>
          <w:p w14:paraId="3D72F676" w14:textId="47662576" w:rsidR="00180BF1" w:rsidRPr="00266E6D" w:rsidRDefault="00180BF1" w:rsidP="007D0060">
            <w:pPr>
              <w:jc w:val="right"/>
              <w:rPr>
                <w:rFonts w:ascii="Times New Roman" w:hAnsi="Times New Roman" w:cs="Times New Roman"/>
              </w:rPr>
            </w:pPr>
            <w:r w:rsidRPr="00266E6D">
              <w:rPr>
                <w:rFonts w:ascii="Times New Roman" w:hAnsi="Times New Roman" w:cs="Times New Roman"/>
              </w:rPr>
              <w:t>25.0%</w:t>
            </w:r>
          </w:p>
        </w:tc>
        <w:tc>
          <w:tcPr>
            <w:tcW w:w="2040" w:type="dxa"/>
          </w:tcPr>
          <w:p w14:paraId="7E65E907" w14:textId="61B75C43" w:rsidR="00180BF1" w:rsidRPr="00266E6D" w:rsidRDefault="00180BF1" w:rsidP="007D0060">
            <w:pPr>
              <w:jc w:val="right"/>
              <w:rPr>
                <w:rFonts w:ascii="Times New Roman" w:hAnsi="Times New Roman" w:cs="Times New Roman"/>
              </w:rPr>
            </w:pPr>
            <w:r w:rsidRPr="00266E6D">
              <w:rPr>
                <w:rFonts w:ascii="Times New Roman" w:hAnsi="Times New Roman" w:cs="Times New Roman"/>
              </w:rPr>
              <w:t>DISAGREEMENT</w:t>
            </w:r>
          </w:p>
        </w:tc>
        <w:tc>
          <w:tcPr>
            <w:tcW w:w="2628" w:type="dxa"/>
          </w:tcPr>
          <w:p w14:paraId="2F4121DF" w14:textId="703284F0" w:rsidR="00180BF1" w:rsidRPr="00D17422" w:rsidRDefault="001374E8" w:rsidP="007D0060">
            <w:pPr>
              <w:jc w:val="right"/>
              <w:rPr>
                <w:rFonts w:ascii="Times New Roman" w:hAnsi="Times New Roman" w:cs="Times New Roman"/>
              </w:rPr>
            </w:pPr>
            <w:r w:rsidRPr="00D17422">
              <w:rPr>
                <w:rFonts w:ascii="Times New Roman" w:hAnsi="Times New Roman" w:cs="Times New Roman"/>
              </w:rPr>
              <w:t xml:space="preserve">Statement </w:t>
            </w:r>
            <w:r w:rsidR="0030602A" w:rsidRPr="00A41133">
              <w:rPr>
                <w:rFonts w:ascii="Times New Roman" w:hAnsi="Times New Roman" w:cs="Times New Roman"/>
              </w:rPr>
              <w:t>excluded</w:t>
            </w:r>
            <w:r w:rsidR="0047105C">
              <w:rPr>
                <w:rFonts w:ascii="Times New Roman" w:hAnsi="Times New Roman" w:cs="Times New Roman"/>
              </w:rPr>
              <w:t xml:space="preserve"> </w:t>
            </w:r>
            <w:r w:rsidRPr="00D17422">
              <w:rPr>
                <w:rFonts w:ascii="Times New Roman" w:hAnsi="Times New Roman" w:cs="Times New Roman"/>
              </w:rPr>
              <w:t xml:space="preserve">from the </w:t>
            </w:r>
            <w:proofErr w:type="gramStart"/>
            <w:r w:rsidRPr="00D17422">
              <w:rPr>
                <w:rFonts w:ascii="Times New Roman" w:hAnsi="Times New Roman" w:cs="Times New Roman"/>
              </w:rPr>
              <w:t>final results</w:t>
            </w:r>
            <w:proofErr w:type="gramEnd"/>
            <w:r w:rsidR="004748C6" w:rsidRPr="00D17422">
              <w:rPr>
                <w:rFonts w:ascii="Times New Roman" w:hAnsi="Times New Roman" w:cs="Times New Roman"/>
              </w:rPr>
              <w:t xml:space="preserve"> because i</w:t>
            </w:r>
            <w:r w:rsidR="00131474" w:rsidRPr="00A41133">
              <w:rPr>
                <w:rFonts w:ascii="Times New Roman" w:hAnsi="Times New Roman" w:cs="Times New Roman"/>
              </w:rPr>
              <w:t>t</w:t>
            </w:r>
            <w:r w:rsidR="00E377E4" w:rsidRPr="00A41133">
              <w:rPr>
                <w:rFonts w:ascii="Times New Roman" w:hAnsi="Times New Roman" w:cs="Times New Roman"/>
              </w:rPr>
              <w:t xml:space="preserve"> addresse</w:t>
            </w:r>
            <w:r w:rsidR="006B7906" w:rsidRPr="00A41133">
              <w:rPr>
                <w:rFonts w:ascii="Times New Roman" w:hAnsi="Times New Roman" w:cs="Times New Roman"/>
              </w:rPr>
              <w:t>d</w:t>
            </w:r>
            <w:r w:rsidR="00C75516" w:rsidRPr="00A41133">
              <w:rPr>
                <w:rFonts w:ascii="Times New Roman" w:hAnsi="Times New Roman" w:cs="Times New Roman"/>
              </w:rPr>
              <w:t xml:space="preserve"> a highly speciali</w:t>
            </w:r>
            <w:r w:rsidR="006B7906" w:rsidRPr="00A41133">
              <w:rPr>
                <w:rFonts w:ascii="Times New Roman" w:hAnsi="Times New Roman" w:cs="Times New Roman"/>
              </w:rPr>
              <w:t>s</w:t>
            </w:r>
            <w:r w:rsidR="00C75516" w:rsidRPr="00A41133">
              <w:rPr>
                <w:rFonts w:ascii="Times New Roman" w:hAnsi="Times New Roman" w:cs="Times New Roman"/>
              </w:rPr>
              <w:t>ed</w:t>
            </w:r>
            <w:r w:rsidR="00131474" w:rsidRPr="00A41133">
              <w:rPr>
                <w:rFonts w:ascii="Times New Roman" w:hAnsi="Times New Roman" w:cs="Times New Roman"/>
              </w:rPr>
              <w:t xml:space="preserve"> con</w:t>
            </w:r>
            <w:r w:rsidR="00C75516" w:rsidRPr="00A41133">
              <w:rPr>
                <w:rFonts w:ascii="Times New Roman" w:hAnsi="Times New Roman" w:cs="Times New Roman"/>
              </w:rPr>
              <w:t>c</w:t>
            </w:r>
            <w:r w:rsidR="00131474" w:rsidRPr="00A41133">
              <w:rPr>
                <w:rFonts w:ascii="Times New Roman" w:hAnsi="Times New Roman" w:cs="Times New Roman"/>
              </w:rPr>
              <w:t>e</w:t>
            </w:r>
            <w:r w:rsidR="00C75516" w:rsidRPr="00A41133">
              <w:rPr>
                <w:rFonts w:ascii="Times New Roman" w:hAnsi="Times New Roman" w:cs="Times New Roman"/>
              </w:rPr>
              <w:t>pt</w:t>
            </w:r>
            <w:r w:rsidRPr="00D17422">
              <w:rPr>
                <w:rFonts w:ascii="Times New Roman" w:hAnsi="Times New Roman" w:cs="Times New Roman"/>
              </w:rPr>
              <w:t>.</w:t>
            </w:r>
          </w:p>
        </w:tc>
      </w:tr>
      <w:tr w:rsidR="001374E8" w:rsidRPr="00266E6D" w14:paraId="1429E7C9" w14:textId="70BD34A9" w:rsidTr="2E5E7E52">
        <w:tc>
          <w:tcPr>
            <w:tcW w:w="14278" w:type="dxa"/>
            <w:gridSpan w:val="8"/>
          </w:tcPr>
          <w:p w14:paraId="259A30A1" w14:textId="4CC0A217" w:rsidR="001374E8" w:rsidRPr="000574B9" w:rsidRDefault="00FA5073" w:rsidP="001374E8">
            <w:pPr>
              <w:jc w:val="both"/>
              <w:rPr>
                <w:rFonts w:ascii="Times New Roman" w:hAnsi="Times New Roman" w:cs="Times New Roman"/>
                <w:sz w:val="18"/>
                <w:szCs w:val="18"/>
              </w:rPr>
            </w:pPr>
            <w:r w:rsidRPr="000574B9">
              <w:rPr>
                <w:rFonts w:ascii="Times New Roman" w:hAnsi="Times New Roman" w:cs="Times New Roman"/>
                <w:sz w:val="18"/>
                <w:szCs w:val="18"/>
              </w:rPr>
              <w:t>AF, Atrial Fibrillation; AFib, Atrial Fibrillation; BP, Blood Pressure; bpm, beats per minute; CCU/CICU, Coronary Care Unit/Cardiac Intensive Care Unit; EC, Electric Cardioversion; EF, Ejection Fraction; HR, Heart Rate; ICU, Intensive Care Unit; LA, Left Atrial; LV, Left Ventricular; LVEF, Left Ventricular Ejection Fraction; SCAI CDE, ; SmPC, Summary of Product Characteristics.</w:t>
            </w:r>
          </w:p>
        </w:tc>
      </w:tr>
    </w:tbl>
    <w:p w14:paraId="67D7C30F" w14:textId="6072403E" w:rsidR="000D5F05" w:rsidRDefault="000D741E" w:rsidP="005C655F">
      <w:pPr>
        <w:spacing w:after="0" w:line="240" w:lineRule="auto"/>
        <w:rPr>
          <w:rFonts w:ascii="Times New Roman" w:eastAsia="Times New Roman" w:hAnsi="Times New Roman" w:cs="Times New Roman"/>
          <w:b/>
          <w:bCs/>
          <w:color w:val="000000" w:themeColor="text1"/>
          <w:sz w:val="24"/>
          <w:szCs w:val="24"/>
        </w:rPr>
      </w:pPr>
      <w:r w:rsidRPr="005C655F">
        <w:rPr>
          <w:rFonts w:ascii="Times New Roman" w:hAnsi="Times New Roman" w:cs="Times New Roman"/>
          <w:b/>
          <w:bCs/>
          <w:sz w:val="24"/>
          <w:szCs w:val="24"/>
        </w:rPr>
        <w:br/>
      </w:r>
    </w:p>
    <w:p w14:paraId="5702A269"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575F485A"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794D85BF"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6195D20F" w14:textId="77777777" w:rsidR="0047105C" w:rsidRDefault="0047105C" w:rsidP="005C655F">
      <w:pPr>
        <w:spacing w:after="0" w:line="240" w:lineRule="auto"/>
        <w:rPr>
          <w:rFonts w:ascii="Times New Roman" w:eastAsia="Times New Roman" w:hAnsi="Times New Roman" w:cs="Times New Roman"/>
          <w:b/>
          <w:bCs/>
          <w:color w:val="000000" w:themeColor="text1"/>
          <w:sz w:val="24"/>
          <w:szCs w:val="24"/>
        </w:rPr>
      </w:pPr>
    </w:p>
    <w:p w14:paraId="2259B007" w14:textId="5C0285E6" w:rsidR="000D741E" w:rsidRPr="005C655F" w:rsidRDefault="58992F09" w:rsidP="005C655F">
      <w:pPr>
        <w:spacing w:after="0" w:line="240" w:lineRule="auto"/>
        <w:rPr>
          <w:rFonts w:ascii="Times New Roman" w:eastAsia="Times New Roman" w:hAnsi="Times New Roman" w:cs="Times New Roman"/>
          <w:b/>
          <w:bCs/>
          <w:color w:val="000000" w:themeColor="text1"/>
          <w:sz w:val="24"/>
          <w:szCs w:val="24"/>
        </w:rPr>
      </w:pPr>
      <w:r w:rsidRPr="005C655F">
        <w:rPr>
          <w:rFonts w:ascii="Times New Roman" w:eastAsia="Times New Roman" w:hAnsi="Times New Roman" w:cs="Times New Roman"/>
          <w:b/>
          <w:bCs/>
          <w:color w:val="000000" w:themeColor="text1"/>
          <w:sz w:val="24"/>
          <w:szCs w:val="24"/>
        </w:rPr>
        <w:lastRenderedPageBreak/>
        <w:t>References:</w:t>
      </w:r>
    </w:p>
    <w:p w14:paraId="6BE10205" w14:textId="7F4A6D63" w:rsidR="29990B9A" w:rsidRPr="00D30F6D" w:rsidRDefault="29990B9A" w:rsidP="000574B9">
      <w:pPr>
        <w:spacing w:after="0" w:line="240" w:lineRule="auto"/>
        <w:jc w:val="both"/>
        <w:rPr>
          <w:rFonts w:ascii="Times New Roman" w:eastAsia="Times New Roman" w:hAnsi="Times New Roman" w:cs="Times New Roman"/>
          <w:highlight w:val="green"/>
        </w:rPr>
      </w:pPr>
    </w:p>
    <w:p w14:paraId="096EE673" w14:textId="58C582DC" w:rsidR="002127AF" w:rsidRPr="00D30F6D" w:rsidRDefault="000A5A22" w:rsidP="004D62A1">
      <w:pPr>
        <w:shd w:val="clear" w:color="auto" w:fill="FFFFFF" w:themeFill="background1"/>
        <w:spacing w:after="0" w:line="240" w:lineRule="auto"/>
        <w:jc w:val="both"/>
        <w:rPr>
          <w:rFonts w:ascii="Times New Roman" w:hAnsi="Times New Roman" w:cs="Times New Roman"/>
        </w:rPr>
      </w:pPr>
      <w:r w:rsidRPr="00D30F6D">
        <w:rPr>
          <w:rFonts w:ascii="Times New Roman" w:hAnsi="Times New Roman" w:cs="Times New Roman"/>
        </w:rPr>
        <w:t xml:space="preserve">1. </w:t>
      </w:r>
      <w:r w:rsidR="004D62A1" w:rsidRPr="004D62A1">
        <w:rPr>
          <w:rFonts w:ascii="Times New Roman" w:hAnsi="Times New Roman" w:cs="Times New Roman"/>
        </w:rPr>
        <w:t xml:space="preserve">Andreasen AS, Wetterslev M, Sigurdsson MI, Bove J, </w:t>
      </w:r>
      <w:proofErr w:type="spellStart"/>
      <w:r w:rsidR="004D62A1" w:rsidRPr="004D62A1">
        <w:rPr>
          <w:rFonts w:ascii="Times New Roman" w:hAnsi="Times New Roman" w:cs="Times New Roman"/>
        </w:rPr>
        <w:t>Kjaergaard</w:t>
      </w:r>
      <w:proofErr w:type="spellEnd"/>
      <w:r w:rsidR="004D62A1" w:rsidRPr="004D62A1">
        <w:rPr>
          <w:rFonts w:ascii="Times New Roman" w:hAnsi="Times New Roman" w:cs="Times New Roman"/>
        </w:rPr>
        <w:t xml:space="preserve"> J, Aslam TN, et al. New-onset atrial fibrillation in critically ill adult patients-an SSAI clinical practice guideline. Acta </w:t>
      </w:r>
      <w:proofErr w:type="spellStart"/>
      <w:r w:rsidR="004D62A1" w:rsidRPr="004D62A1">
        <w:rPr>
          <w:rFonts w:ascii="Times New Roman" w:hAnsi="Times New Roman" w:cs="Times New Roman"/>
        </w:rPr>
        <w:t>Anaesthesiol</w:t>
      </w:r>
      <w:proofErr w:type="spellEnd"/>
      <w:r w:rsidR="004D62A1" w:rsidRPr="004D62A1">
        <w:rPr>
          <w:rFonts w:ascii="Times New Roman" w:hAnsi="Times New Roman" w:cs="Times New Roman"/>
        </w:rPr>
        <w:t xml:space="preserve"> Scand. 2023;67(8):1110-7.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10.1111/aas.14262.</w:t>
      </w:r>
    </w:p>
    <w:p w14:paraId="34AA08B1" w14:textId="77777777" w:rsidR="00820B7B" w:rsidRPr="00D30F6D" w:rsidRDefault="00820B7B" w:rsidP="000574B9">
      <w:pPr>
        <w:shd w:val="clear" w:color="auto" w:fill="FFFFFF" w:themeFill="background1"/>
        <w:spacing w:after="0" w:line="240" w:lineRule="auto"/>
        <w:jc w:val="both"/>
        <w:rPr>
          <w:rFonts w:ascii="Times New Roman" w:hAnsi="Times New Roman" w:cs="Times New Roman"/>
        </w:rPr>
      </w:pPr>
    </w:p>
    <w:p w14:paraId="178328DC" w14:textId="4A9D4481" w:rsidR="00820B7B" w:rsidRPr="00D30F6D" w:rsidRDefault="00E33479" w:rsidP="000574B9">
      <w:pPr>
        <w:shd w:val="clear" w:color="auto" w:fill="FFFFFF" w:themeFill="background1"/>
        <w:spacing w:after="0" w:line="240" w:lineRule="auto"/>
        <w:jc w:val="both"/>
        <w:rPr>
          <w:rFonts w:ascii="Times New Roman" w:hAnsi="Times New Roman" w:cs="Times New Roman"/>
        </w:rPr>
      </w:pPr>
      <w:r w:rsidRPr="00D30F6D">
        <w:rPr>
          <w:rFonts w:ascii="Times New Roman" w:hAnsi="Times New Roman" w:cs="Times New Roman"/>
        </w:rPr>
        <w:t xml:space="preserve">2. </w:t>
      </w:r>
      <w:r w:rsidR="004D62A1" w:rsidRPr="004D62A1">
        <w:rPr>
          <w:rFonts w:ascii="Times New Roman" w:hAnsi="Times New Roman" w:cs="Times New Roman"/>
        </w:rPr>
        <w:t xml:space="preserve">Arrigo M, </w:t>
      </w:r>
      <w:proofErr w:type="spellStart"/>
      <w:r w:rsidR="004D62A1" w:rsidRPr="004D62A1">
        <w:rPr>
          <w:rFonts w:ascii="Times New Roman" w:hAnsi="Times New Roman" w:cs="Times New Roman"/>
        </w:rPr>
        <w:t>Bettex</w:t>
      </w:r>
      <w:proofErr w:type="spellEnd"/>
      <w:r w:rsidR="004D62A1" w:rsidRPr="004D62A1">
        <w:rPr>
          <w:rFonts w:ascii="Times New Roman" w:hAnsi="Times New Roman" w:cs="Times New Roman"/>
        </w:rPr>
        <w:t xml:space="preserve"> D, Rudiger A. Management of atrial fibrillation in critically ill patients. Crit Care Res </w:t>
      </w:r>
      <w:proofErr w:type="spellStart"/>
      <w:r w:rsidR="004D62A1" w:rsidRPr="004D62A1">
        <w:rPr>
          <w:rFonts w:ascii="Times New Roman" w:hAnsi="Times New Roman" w:cs="Times New Roman"/>
        </w:rPr>
        <w:t>Pract</w:t>
      </w:r>
      <w:proofErr w:type="spellEnd"/>
      <w:r w:rsidR="004D62A1" w:rsidRPr="004D62A1">
        <w:rPr>
          <w:rFonts w:ascii="Times New Roman" w:hAnsi="Times New Roman" w:cs="Times New Roman"/>
        </w:rPr>
        <w:t xml:space="preserve">. </w:t>
      </w:r>
      <w:proofErr w:type="gramStart"/>
      <w:r w:rsidR="004D62A1" w:rsidRPr="004D62A1">
        <w:rPr>
          <w:rFonts w:ascii="Times New Roman" w:hAnsi="Times New Roman" w:cs="Times New Roman"/>
        </w:rPr>
        <w:t>2014;2014:840615</w:t>
      </w:r>
      <w:proofErr w:type="gramEnd"/>
      <w:r w:rsidR="004D62A1" w:rsidRPr="004D62A1">
        <w:rPr>
          <w:rFonts w:ascii="Times New Roman" w:hAnsi="Times New Roman" w:cs="Times New Roman"/>
        </w:rPr>
        <w:t xml:space="preserve">.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10.1155/2014/840615.</w:t>
      </w:r>
    </w:p>
    <w:p w14:paraId="29451765" w14:textId="77777777" w:rsidR="00820B7B" w:rsidRPr="00D30F6D" w:rsidRDefault="00820B7B" w:rsidP="000574B9">
      <w:pPr>
        <w:shd w:val="clear" w:color="auto" w:fill="FFFFFF" w:themeFill="background1"/>
        <w:spacing w:after="0" w:line="240" w:lineRule="auto"/>
        <w:jc w:val="both"/>
        <w:rPr>
          <w:rFonts w:ascii="Times New Roman" w:hAnsi="Times New Roman" w:cs="Times New Roman"/>
        </w:rPr>
      </w:pPr>
    </w:p>
    <w:p w14:paraId="75C08016" w14:textId="2A022EB7" w:rsidR="00820B7B" w:rsidRPr="00D30F6D" w:rsidRDefault="00820B7B" w:rsidP="000574B9">
      <w:pPr>
        <w:shd w:val="clear" w:color="auto" w:fill="FFFFFF" w:themeFill="background1"/>
        <w:spacing w:after="0" w:line="240" w:lineRule="auto"/>
        <w:jc w:val="both"/>
        <w:rPr>
          <w:rFonts w:ascii="Times New Roman" w:hAnsi="Times New Roman" w:cs="Times New Roman"/>
        </w:rPr>
      </w:pPr>
      <w:r w:rsidRPr="00D30F6D">
        <w:rPr>
          <w:rFonts w:ascii="Times New Roman" w:hAnsi="Times New Roman" w:cs="Times New Roman"/>
        </w:rPr>
        <w:t xml:space="preserve">3. </w:t>
      </w:r>
      <w:r w:rsidR="004D62A1" w:rsidRPr="004D62A1">
        <w:rPr>
          <w:rFonts w:ascii="Times New Roman" w:hAnsi="Times New Roman" w:cs="Times New Roman"/>
        </w:rPr>
        <w:t xml:space="preserve">Bedford JP, Ede J, Watkinson PJ. Triggers for new-onset atrial fibrillation in critically ill patients. Intensive Crit Care Nurs. </w:t>
      </w:r>
      <w:proofErr w:type="gramStart"/>
      <w:r w:rsidR="004D62A1" w:rsidRPr="004D62A1">
        <w:rPr>
          <w:rFonts w:ascii="Times New Roman" w:hAnsi="Times New Roman" w:cs="Times New Roman"/>
        </w:rPr>
        <w:t>2021;67:103114</w:t>
      </w:r>
      <w:proofErr w:type="gramEnd"/>
      <w:r w:rsidR="004D62A1" w:rsidRPr="004D62A1">
        <w:rPr>
          <w:rFonts w:ascii="Times New Roman" w:hAnsi="Times New Roman" w:cs="Times New Roman"/>
        </w:rPr>
        <w:t xml:space="preserve">.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10.1016/j.iccn.2021.103114.</w:t>
      </w:r>
    </w:p>
    <w:p w14:paraId="25D76C91" w14:textId="67DF13DB" w:rsidR="002127AF" w:rsidRPr="00D30F6D" w:rsidRDefault="002127AF" w:rsidP="000574B9">
      <w:pPr>
        <w:shd w:val="clear" w:color="auto" w:fill="FFFFFF" w:themeFill="background1"/>
        <w:spacing w:after="0" w:line="240" w:lineRule="auto"/>
        <w:jc w:val="both"/>
        <w:rPr>
          <w:rFonts w:ascii="Times New Roman" w:eastAsia="Segoe UI" w:hAnsi="Times New Roman" w:cs="Times New Roman"/>
          <w:color w:val="333333"/>
        </w:rPr>
      </w:pPr>
    </w:p>
    <w:p w14:paraId="1C65D915" w14:textId="4D7024A1" w:rsidR="005C655F" w:rsidRDefault="00820B7B" w:rsidP="000574B9">
      <w:pPr>
        <w:spacing w:after="0" w:line="240" w:lineRule="auto"/>
        <w:jc w:val="both"/>
        <w:rPr>
          <w:rFonts w:ascii="Times New Roman" w:hAnsi="Times New Roman" w:cs="Times New Roman"/>
        </w:rPr>
      </w:pPr>
      <w:r w:rsidRPr="007C5D5C">
        <w:rPr>
          <w:rFonts w:ascii="Times New Roman" w:eastAsia="Segoe UI" w:hAnsi="Times New Roman" w:cs="Times New Roman"/>
          <w:color w:val="333333"/>
        </w:rPr>
        <w:t xml:space="preserve">4. </w:t>
      </w:r>
      <w:r w:rsidR="00241F81" w:rsidRPr="007C5D5C">
        <w:rPr>
          <w:rFonts w:ascii="Times New Roman" w:hAnsi="Times New Roman" w:cs="Times New Roman"/>
        </w:rPr>
        <w:t xml:space="preserve">Bedford JP, Garside T, </w:t>
      </w:r>
      <w:proofErr w:type="spellStart"/>
      <w:r w:rsidR="00241F81" w:rsidRPr="007C5D5C">
        <w:rPr>
          <w:rFonts w:ascii="Times New Roman" w:hAnsi="Times New Roman" w:cs="Times New Roman"/>
        </w:rPr>
        <w:t>DarbyshireJL</w:t>
      </w:r>
      <w:proofErr w:type="spellEnd"/>
      <w:r w:rsidR="00241F81" w:rsidRPr="007C5D5C">
        <w:rPr>
          <w:rFonts w:ascii="Times New Roman" w:hAnsi="Times New Roman" w:cs="Times New Roman"/>
        </w:rPr>
        <w:t xml:space="preserve">, Betts TR, Young JD, Watkinson PJ. Risk factors for new-onset atrial fibrillation during critical illness: A Delphi study. J Intensive Care Soc. 2022;23(4):414-24. </w:t>
      </w:r>
      <w:proofErr w:type="spellStart"/>
      <w:r w:rsidR="00241F81" w:rsidRPr="007C5D5C">
        <w:rPr>
          <w:rFonts w:ascii="Times New Roman" w:hAnsi="Times New Roman" w:cs="Times New Roman"/>
        </w:rPr>
        <w:t>doi</w:t>
      </w:r>
      <w:proofErr w:type="spellEnd"/>
      <w:r w:rsidR="00241F81" w:rsidRPr="007C5D5C">
        <w:rPr>
          <w:rFonts w:ascii="Times New Roman" w:hAnsi="Times New Roman" w:cs="Times New Roman"/>
        </w:rPr>
        <w:t>: 10.1177/17511437211022132.</w:t>
      </w:r>
    </w:p>
    <w:p w14:paraId="3031FE62" w14:textId="623A00C3" w:rsidR="000A5A22" w:rsidRPr="00D30F6D" w:rsidRDefault="000A5A22" w:rsidP="000574B9">
      <w:pPr>
        <w:spacing w:after="0" w:line="240" w:lineRule="auto"/>
        <w:jc w:val="both"/>
        <w:rPr>
          <w:rFonts w:ascii="Times New Roman" w:hAnsi="Times New Roman" w:cs="Times New Roman"/>
        </w:rPr>
      </w:pPr>
    </w:p>
    <w:p w14:paraId="4CB96894" w14:textId="795D2B1F" w:rsidR="00B934FC" w:rsidRPr="004D62A1" w:rsidRDefault="00B934FC" w:rsidP="000574B9">
      <w:pPr>
        <w:spacing w:after="0" w:line="240" w:lineRule="auto"/>
        <w:jc w:val="both"/>
        <w:rPr>
          <w:rFonts w:ascii="Times New Roman" w:hAnsi="Times New Roman" w:cs="Times New Roman"/>
          <w:lang w:val="it-IT"/>
        </w:rPr>
      </w:pPr>
      <w:r w:rsidRPr="00D30F6D">
        <w:rPr>
          <w:rFonts w:ascii="Times New Roman" w:hAnsi="Times New Roman" w:cs="Times New Roman"/>
        </w:rPr>
        <w:t xml:space="preserve">5. </w:t>
      </w:r>
      <w:proofErr w:type="spellStart"/>
      <w:r w:rsidR="004D62A1" w:rsidRPr="004D62A1">
        <w:rPr>
          <w:rFonts w:ascii="Times New Roman" w:hAnsi="Times New Roman" w:cs="Times New Roman"/>
        </w:rPr>
        <w:t>Boriani</w:t>
      </w:r>
      <w:proofErr w:type="spellEnd"/>
      <w:r w:rsidR="004D62A1" w:rsidRPr="004D62A1">
        <w:rPr>
          <w:rFonts w:ascii="Times New Roman" w:hAnsi="Times New Roman" w:cs="Times New Roman"/>
        </w:rPr>
        <w:t xml:space="preserve"> G, </w:t>
      </w:r>
      <w:proofErr w:type="spellStart"/>
      <w:r w:rsidR="004D62A1" w:rsidRPr="004D62A1">
        <w:rPr>
          <w:rFonts w:ascii="Times New Roman" w:hAnsi="Times New Roman" w:cs="Times New Roman"/>
        </w:rPr>
        <w:t>Fauchier</w:t>
      </w:r>
      <w:proofErr w:type="spellEnd"/>
      <w:r w:rsidR="004D62A1" w:rsidRPr="004D62A1">
        <w:rPr>
          <w:rFonts w:ascii="Times New Roman" w:hAnsi="Times New Roman" w:cs="Times New Roman"/>
        </w:rPr>
        <w:t xml:space="preserve"> L, Aguinaga L, Beattie JM, Blomstrom Lundqvist C, Cohen A, et al. European Heart Rhythm Association (EHRA) consensus document on management of arrhythmias and cardiac electronic devices in the critically ill and post-surgery patient, endorsed by Heart Rhythm Society (HRS), Asia Pacific Heart Rhythm Society (APHRS), Cardiac Arrhythmia Society of Southern Africa (CASSA), and Latin American Heart Rhythm Society (LAHRS). </w:t>
      </w:r>
      <w:proofErr w:type="spellStart"/>
      <w:r w:rsidR="004D62A1" w:rsidRPr="004D62A1">
        <w:rPr>
          <w:rFonts w:ascii="Times New Roman" w:hAnsi="Times New Roman" w:cs="Times New Roman"/>
          <w:lang w:val="it-IT"/>
        </w:rPr>
        <w:t>Europace</w:t>
      </w:r>
      <w:proofErr w:type="spellEnd"/>
      <w:r w:rsidR="004D62A1" w:rsidRPr="004D62A1">
        <w:rPr>
          <w:rFonts w:ascii="Times New Roman" w:hAnsi="Times New Roman" w:cs="Times New Roman"/>
          <w:lang w:val="it-IT"/>
        </w:rPr>
        <w:t xml:space="preserve">. 2019;21(1):7-8. </w:t>
      </w:r>
      <w:proofErr w:type="spellStart"/>
      <w:r w:rsidR="004D62A1" w:rsidRPr="004D62A1">
        <w:rPr>
          <w:rFonts w:ascii="Times New Roman" w:hAnsi="Times New Roman" w:cs="Times New Roman"/>
          <w:lang w:val="it-IT"/>
        </w:rPr>
        <w:t>doi</w:t>
      </w:r>
      <w:proofErr w:type="spellEnd"/>
      <w:r w:rsidR="004D62A1" w:rsidRPr="004D62A1">
        <w:rPr>
          <w:rFonts w:ascii="Times New Roman" w:hAnsi="Times New Roman" w:cs="Times New Roman"/>
          <w:lang w:val="it-IT"/>
        </w:rPr>
        <w:t>: 10.1093/</w:t>
      </w:r>
      <w:proofErr w:type="spellStart"/>
      <w:r w:rsidR="004D62A1" w:rsidRPr="004D62A1">
        <w:rPr>
          <w:rFonts w:ascii="Times New Roman" w:hAnsi="Times New Roman" w:cs="Times New Roman"/>
          <w:lang w:val="it-IT"/>
        </w:rPr>
        <w:t>europace</w:t>
      </w:r>
      <w:proofErr w:type="spellEnd"/>
      <w:r w:rsidR="004D62A1" w:rsidRPr="004D62A1">
        <w:rPr>
          <w:rFonts w:ascii="Times New Roman" w:hAnsi="Times New Roman" w:cs="Times New Roman"/>
          <w:lang w:val="it-IT"/>
        </w:rPr>
        <w:t>/euy110.</w:t>
      </w:r>
    </w:p>
    <w:p w14:paraId="12600443" w14:textId="77777777" w:rsidR="005C655F" w:rsidRPr="004D62A1" w:rsidRDefault="005C655F" w:rsidP="000574B9">
      <w:pPr>
        <w:spacing w:after="0" w:line="240" w:lineRule="auto"/>
        <w:jc w:val="both"/>
        <w:rPr>
          <w:rFonts w:ascii="Times New Roman" w:hAnsi="Times New Roman" w:cs="Times New Roman"/>
          <w:lang w:val="it-IT"/>
        </w:rPr>
      </w:pPr>
    </w:p>
    <w:p w14:paraId="7C2058C7" w14:textId="2C90FDA4" w:rsidR="00B934FC" w:rsidRPr="00262D09" w:rsidRDefault="00B934FC" w:rsidP="000574B9">
      <w:pPr>
        <w:spacing w:after="0" w:line="240" w:lineRule="auto"/>
        <w:jc w:val="both"/>
        <w:rPr>
          <w:rFonts w:ascii="Times New Roman" w:hAnsi="Times New Roman" w:cs="Times New Roman"/>
          <w:lang w:val="en-US"/>
        </w:rPr>
      </w:pPr>
      <w:r w:rsidRPr="004363E6">
        <w:rPr>
          <w:rFonts w:ascii="Times New Roman" w:hAnsi="Times New Roman" w:cs="Times New Roman"/>
          <w:lang w:val="it-IT"/>
        </w:rPr>
        <w:t>6.</w:t>
      </w:r>
      <w:r w:rsidR="00EE1AA1" w:rsidRPr="004363E6">
        <w:rPr>
          <w:rFonts w:ascii="Times New Roman" w:hAnsi="Times New Roman" w:cs="Times New Roman"/>
          <w:lang w:val="it-IT"/>
        </w:rPr>
        <w:t xml:space="preserve"> </w:t>
      </w:r>
      <w:r w:rsidR="004D62A1" w:rsidRPr="004363E6">
        <w:rPr>
          <w:rFonts w:ascii="Times New Roman" w:hAnsi="Times New Roman" w:cs="Times New Roman"/>
          <w:lang w:val="it-IT"/>
        </w:rPr>
        <w:t xml:space="preserve">Bosch NA, Cimini J, Walkey AJ. </w:t>
      </w:r>
      <w:r w:rsidR="004D62A1" w:rsidRPr="004D62A1">
        <w:rPr>
          <w:rFonts w:ascii="Times New Roman" w:hAnsi="Times New Roman" w:cs="Times New Roman"/>
          <w:lang w:val="en-US"/>
        </w:rPr>
        <w:t xml:space="preserve">Atrial Fibrillation in the ICU. Chest. 2018;154(6):1424-34. </w:t>
      </w:r>
      <w:proofErr w:type="spellStart"/>
      <w:r w:rsidR="004D62A1" w:rsidRPr="004D62A1">
        <w:rPr>
          <w:rFonts w:ascii="Times New Roman" w:hAnsi="Times New Roman" w:cs="Times New Roman"/>
          <w:lang w:val="en-US"/>
        </w:rPr>
        <w:t>doi</w:t>
      </w:r>
      <w:proofErr w:type="spellEnd"/>
      <w:r w:rsidR="004D62A1" w:rsidRPr="004D62A1">
        <w:rPr>
          <w:rFonts w:ascii="Times New Roman" w:hAnsi="Times New Roman" w:cs="Times New Roman"/>
          <w:lang w:val="en-US"/>
        </w:rPr>
        <w:t>: 10.1016/j.chest.2018.03.040.</w:t>
      </w:r>
    </w:p>
    <w:p w14:paraId="5C9344CD" w14:textId="77777777" w:rsidR="005C655F" w:rsidRPr="00262D09" w:rsidRDefault="005C655F" w:rsidP="000574B9">
      <w:pPr>
        <w:spacing w:after="0" w:line="240" w:lineRule="auto"/>
        <w:jc w:val="both"/>
        <w:rPr>
          <w:rFonts w:ascii="Times New Roman" w:hAnsi="Times New Roman" w:cs="Times New Roman"/>
          <w:lang w:val="en-US"/>
        </w:rPr>
      </w:pPr>
    </w:p>
    <w:p w14:paraId="1742FF20" w14:textId="1DCD258A" w:rsidR="006A3BE7" w:rsidRDefault="006A3BE7" w:rsidP="000574B9">
      <w:pPr>
        <w:spacing w:after="0" w:line="240" w:lineRule="auto"/>
        <w:jc w:val="both"/>
        <w:rPr>
          <w:rFonts w:ascii="Times New Roman" w:hAnsi="Times New Roman" w:cs="Times New Roman"/>
        </w:rPr>
      </w:pPr>
      <w:r w:rsidRPr="00262D09">
        <w:rPr>
          <w:rFonts w:ascii="Times New Roman" w:hAnsi="Times New Roman" w:cs="Times New Roman"/>
          <w:lang w:val="en-US"/>
        </w:rPr>
        <w:t xml:space="preserve">7. </w:t>
      </w:r>
      <w:r w:rsidR="004D62A1" w:rsidRPr="004D62A1">
        <w:rPr>
          <w:rFonts w:ascii="Times New Roman" w:hAnsi="Times New Roman" w:cs="Times New Roman"/>
          <w:lang w:val="en-US"/>
        </w:rPr>
        <w:t xml:space="preserve">Bosch NA, Cohen DM, Walkey AJ. Risk Factors for New-Onset Atrial Fibrillation in Patients </w:t>
      </w:r>
      <w:proofErr w:type="gramStart"/>
      <w:r w:rsidR="004D62A1" w:rsidRPr="004D62A1">
        <w:rPr>
          <w:rFonts w:ascii="Times New Roman" w:hAnsi="Times New Roman" w:cs="Times New Roman"/>
          <w:lang w:val="en-US"/>
        </w:rPr>
        <w:t>With</w:t>
      </w:r>
      <w:proofErr w:type="gramEnd"/>
      <w:r w:rsidR="004D62A1" w:rsidRPr="004D62A1">
        <w:rPr>
          <w:rFonts w:ascii="Times New Roman" w:hAnsi="Times New Roman" w:cs="Times New Roman"/>
          <w:lang w:val="en-US"/>
        </w:rPr>
        <w:t xml:space="preserve"> Sepsis: A Systematic Review and Meta-Analysis. Crit Care Med. 2019;47(2):280-7. doi:10.1097/CCM.0000000000003560.</w:t>
      </w:r>
    </w:p>
    <w:p w14:paraId="5132BFF0" w14:textId="77777777" w:rsidR="005C655F" w:rsidRPr="00D30F6D" w:rsidRDefault="005C655F" w:rsidP="000574B9">
      <w:pPr>
        <w:spacing w:after="0" w:line="240" w:lineRule="auto"/>
        <w:jc w:val="both"/>
        <w:rPr>
          <w:rFonts w:ascii="Times New Roman" w:hAnsi="Times New Roman" w:cs="Times New Roman"/>
        </w:rPr>
      </w:pPr>
    </w:p>
    <w:p w14:paraId="78E1906B" w14:textId="5D6D3D19" w:rsidR="006A3BE7" w:rsidRPr="004D62A1" w:rsidRDefault="006A3BE7" w:rsidP="000574B9">
      <w:pPr>
        <w:spacing w:after="0" w:line="240" w:lineRule="auto"/>
        <w:jc w:val="both"/>
        <w:rPr>
          <w:rFonts w:ascii="Times New Roman" w:hAnsi="Times New Roman" w:cs="Times New Roman"/>
          <w:lang w:val="en-US"/>
        </w:rPr>
      </w:pPr>
      <w:r w:rsidRPr="00D30F6D">
        <w:rPr>
          <w:rFonts w:ascii="Times New Roman" w:hAnsi="Times New Roman" w:cs="Times New Roman"/>
        </w:rPr>
        <w:t>8.</w:t>
      </w:r>
      <w:r w:rsidR="00BB031D" w:rsidRPr="00D30F6D">
        <w:rPr>
          <w:rFonts w:ascii="Times New Roman" w:hAnsi="Times New Roman" w:cs="Times New Roman"/>
        </w:rPr>
        <w:t xml:space="preserve"> </w:t>
      </w:r>
      <w:proofErr w:type="spellStart"/>
      <w:r w:rsidR="004D62A1" w:rsidRPr="004D62A1">
        <w:rPr>
          <w:rFonts w:ascii="Times New Roman" w:hAnsi="Times New Roman" w:cs="Times New Roman"/>
        </w:rPr>
        <w:t>Hindricks</w:t>
      </w:r>
      <w:proofErr w:type="spellEnd"/>
      <w:r w:rsidR="004D62A1" w:rsidRPr="004D62A1">
        <w:rPr>
          <w:rFonts w:ascii="Times New Roman" w:hAnsi="Times New Roman" w:cs="Times New Roman"/>
        </w:rPr>
        <w:t xml:space="preserve"> G, </w:t>
      </w:r>
      <w:proofErr w:type="spellStart"/>
      <w:r w:rsidR="004D62A1" w:rsidRPr="004D62A1">
        <w:rPr>
          <w:rFonts w:ascii="Times New Roman" w:hAnsi="Times New Roman" w:cs="Times New Roman"/>
        </w:rPr>
        <w:t>Potpara</w:t>
      </w:r>
      <w:proofErr w:type="spellEnd"/>
      <w:r w:rsidR="004D62A1" w:rsidRPr="004D62A1">
        <w:rPr>
          <w:rFonts w:ascii="Times New Roman" w:hAnsi="Times New Roman" w:cs="Times New Roman"/>
        </w:rPr>
        <w:t xml:space="preserve"> T, Dagres N, Arbelo E, Bax JJ, </w:t>
      </w:r>
      <w:proofErr w:type="spellStart"/>
      <w:r w:rsidR="004D62A1" w:rsidRPr="004D62A1">
        <w:rPr>
          <w:rFonts w:ascii="Times New Roman" w:hAnsi="Times New Roman" w:cs="Times New Roman"/>
        </w:rPr>
        <w:t>Blomström</w:t>
      </w:r>
      <w:proofErr w:type="spellEnd"/>
      <w:r w:rsidR="004D62A1" w:rsidRPr="004D62A1">
        <w:rPr>
          <w:rFonts w:ascii="Times New Roman" w:hAnsi="Times New Roman" w:cs="Times New Roman"/>
        </w:rPr>
        <w:t xml:space="preserve">-Lundqvist C, et al.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2021;42(5):373-498.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 xml:space="preserve">/ehaa612. Erratum in: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2021;42(5):507.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 xml:space="preserve">/ehaa798. Erratum in: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2021;42(5):546-7.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 xml:space="preserve">/ehaa945. Erratum in: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2021;42(40):4194.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/ehab648.</w:t>
      </w:r>
    </w:p>
    <w:p w14:paraId="2F462890" w14:textId="77777777" w:rsidR="005C655F" w:rsidRPr="00D30F6D" w:rsidRDefault="005C655F" w:rsidP="000574B9">
      <w:pPr>
        <w:spacing w:after="0" w:line="240" w:lineRule="auto"/>
        <w:jc w:val="both"/>
        <w:rPr>
          <w:rFonts w:ascii="Times New Roman" w:hAnsi="Times New Roman" w:cs="Times New Roman"/>
        </w:rPr>
      </w:pPr>
    </w:p>
    <w:p w14:paraId="76190637" w14:textId="4430D9DC" w:rsidR="004D497B" w:rsidRDefault="004D497B" w:rsidP="000574B9">
      <w:pPr>
        <w:spacing w:after="0" w:line="240" w:lineRule="auto"/>
        <w:jc w:val="both"/>
        <w:rPr>
          <w:rFonts w:ascii="Times New Roman" w:hAnsi="Times New Roman" w:cs="Times New Roman"/>
          <w:lang w:val="nl-NL"/>
        </w:rPr>
      </w:pPr>
      <w:r w:rsidRPr="00D30F6D">
        <w:rPr>
          <w:rFonts w:ascii="Times New Roman" w:hAnsi="Times New Roman" w:cs="Times New Roman"/>
        </w:rPr>
        <w:t xml:space="preserve">9. </w:t>
      </w:r>
      <w:r w:rsidR="004D62A1" w:rsidRPr="004D62A1">
        <w:rPr>
          <w:rFonts w:ascii="Times New Roman" w:hAnsi="Times New Roman" w:cs="Times New Roman"/>
        </w:rPr>
        <w:t>Dabrowski W, Siwicka-</w:t>
      </w:r>
      <w:proofErr w:type="spellStart"/>
      <w:r w:rsidR="004D62A1" w:rsidRPr="004D62A1">
        <w:rPr>
          <w:rFonts w:ascii="Times New Roman" w:hAnsi="Times New Roman" w:cs="Times New Roman"/>
        </w:rPr>
        <w:t>Gieroba</w:t>
      </w:r>
      <w:proofErr w:type="spellEnd"/>
      <w:r w:rsidR="004D62A1" w:rsidRPr="004D62A1">
        <w:rPr>
          <w:rFonts w:ascii="Times New Roman" w:hAnsi="Times New Roman" w:cs="Times New Roman"/>
        </w:rPr>
        <w:t xml:space="preserve"> D, </w:t>
      </w:r>
      <w:proofErr w:type="spellStart"/>
      <w:r w:rsidR="004D62A1" w:rsidRPr="004D62A1">
        <w:rPr>
          <w:rFonts w:ascii="Times New Roman" w:hAnsi="Times New Roman" w:cs="Times New Roman"/>
        </w:rPr>
        <w:t>Piasek</w:t>
      </w:r>
      <w:proofErr w:type="spellEnd"/>
      <w:r w:rsidR="004D62A1" w:rsidRPr="004D62A1">
        <w:rPr>
          <w:rFonts w:ascii="Times New Roman" w:hAnsi="Times New Roman" w:cs="Times New Roman"/>
        </w:rPr>
        <w:t xml:space="preserve"> E, Schlegel TT, </w:t>
      </w:r>
      <w:proofErr w:type="spellStart"/>
      <w:r w:rsidR="004D62A1" w:rsidRPr="004D62A1">
        <w:rPr>
          <w:rFonts w:ascii="Times New Roman" w:hAnsi="Times New Roman" w:cs="Times New Roman"/>
        </w:rPr>
        <w:t>Jaroszynski</w:t>
      </w:r>
      <w:proofErr w:type="spellEnd"/>
      <w:r w:rsidR="004D62A1" w:rsidRPr="004D62A1">
        <w:rPr>
          <w:rFonts w:ascii="Times New Roman" w:hAnsi="Times New Roman" w:cs="Times New Roman"/>
        </w:rPr>
        <w:t xml:space="preserve"> A. Successful Combination of Landiolol and </w:t>
      </w:r>
      <w:proofErr w:type="spellStart"/>
      <w:r w:rsidR="004D62A1" w:rsidRPr="004D62A1">
        <w:rPr>
          <w:rFonts w:ascii="Times New Roman" w:hAnsi="Times New Roman" w:cs="Times New Roman"/>
        </w:rPr>
        <w:t>Levosimendan</w:t>
      </w:r>
      <w:proofErr w:type="spellEnd"/>
      <w:r w:rsidR="004D62A1" w:rsidRPr="004D62A1">
        <w:rPr>
          <w:rFonts w:ascii="Times New Roman" w:hAnsi="Times New Roman" w:cs="Times New Roman"/>
        </w:rPr>
        <w:t xml:space="preserve"> in Patients with Decompensated Heart Failure. Int Heart J. 2020;61(2):384-9.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10.1536/ihj.19-420.</w:t>
      </w:r>
    </w:p>
    <w:p w14:paraId="6A3E77AE" w14:textId="77777777" w:rsidR="005C655F" w:rsidRPr="00D30F6D" w:rsidRDefault="005C655F" w:rsidP="000574B9">
      <w:pPr>
        <w:spacing w:after="0" w:line="240" w:lineRule="auto"/>
        <w:jc w:val="both"/>
        <w:rPr>
          <w:rFonts w:ascii="Times New Roman" w:hAnsi="Times New Roman" w:cs="Times New Roman"/>
        </w:rPr>
      </w:pPr>
    </w:p>
    <w:p w14:paraId="1AAE27E3" w14:textId="7108AEC8" w:rsidR="006659B5" w:rsidRDefault="00DD638C"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10. </w:t>
      </w:r>
      <w:r w:rsidR="004D62A1" w:rsidRPr="004D62A1">
        <w:rPr>
          <w:rFonts w:ascii="Times New Roman" w:hAnsi="Times New Roman" w:cs="Times New Roman"/>
        </w:rPr>
        <w:t xml:space="preserve">Iwahashi N, Kirigaya J, Abe T, Horii M, Takahashi H, </w:t>
      </w:r>
      <w:proofErr w:type="spellStart"/>
      <w:r w:rsidR="004D62A1" w:rsidRPr="004D62A1">
        <w:rPr>
          <w:rFonts w:ascii="Times New Roman" w:hAnsi="Times New Roman" w:cs="Times New Roman"/>
        </w:rPr>
        <w:t>Hanajima</w:t>
      </w:r>
      <w:proofErr w:type="spellEnd"/>
      <w:r w:rsidR="004D62A1" w:rsidRPr="004D62A1">
        <w:rPr>
          <w:rFonts w:ascii="Times New Roman" w:hAnsi="Times New Roman" w:cs="Times New Roman"/>
        </w:rPr>
        <w:t xml:space="preserve"> Y, et al. Clinical usefulness of left ventricular outflow tract velocity time integral for heart failure with reduced ejection fraction with rapid atrial fibrillation during landiolol treatment. J Cardiol. 2022;79(1):21-9.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10.1016/j.jjcc.2021.09.008.</w:t>
      </w:r>
    </w:p>
    <w:p w14:paraId="4966FC28" w14:textId="77777777" w:rsidR="005C655F" w:rsidRPr="00D30F6D" w:rsidRDefault="005C655F" w:rsidP="000574B9">
      <w:pPr>
        <w:spacing w:after="0" w:line="240" w:lineRule="auto"/>
        <w:jc w:val="both"/>
        <w:rPr>
          <w:rFonts w:ascii="Times New Roman" w:hAnsi="Times New Roman" w:cs="Times New Roman"/>
        </w:rPr>
      </w:pPr>
    </w:p>
    <w:p w14:paraId="501F5E66" w14:textId="762EF8C6" w:rsidR="0018503E" w:rsidRDefault="0018503E"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11. </w:t>
      </w:r>
      <w:r w:rsidR="004D62A1" w:rsidRPr="004D62A1">
        <w:rPr>
          <w:rFonts w:ascii="Times New Roman" w:hAnsi="Times New Roman" w:cs="Times New Roman"/>
        </w:rPr>
        <w:t xml:space="preserve">Guarracino F, Bertini P, Pinsky MR. Management of cardiovascular insufficiency in ICU: the BEAT approach. Minerva Anestesiol. 2021;87(4):476-80.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10.23736/S0375-9393.20.14613-3.</w:t>
      </w:r>
    </w:p>
    <w:p w14:paraId="4972EE29" w14:textId="77777777" w:rsidR="00B10264" w:rsidRPr="00D30F6D" w:rsidRDefault="00B10264" w:rsidP="000574B9">
      <w:pPr>
        <w:spacing w:after="0" w:line="240" w:lineRule="auto"/>
        <w:jc w:val="both"/>
        <w:rPr>
          <w:rFonts w:ascii="Times New Roman" w:hAnsi="Times New Roman" w:cs="Times New Roman"/>
        </w:rPr>
      </w:pPr>
    </w:p>
    <w:p w14:paraId="3EE84DFE" w14:textId="036FE8D1" w:rsidR="002474A8" w:rsidRDefault="002474A8" w:rsidP="000574B9">
      <w:pPr>
        <w:spacing w:after="0" w:line="240" w:lineRule="auto"/>
        <w:jc w:val="both"/>
        <w:rPr>
          <w:rFonts w:ascii="Times New Roman" w:hAnsi="Times New Roman" w:cs="Times New Roman"/>
        </w:rPr>
      </w:pPr>
      <w:r w:rsidRPr="00D30F6D">
        <w:rPr>
          <w:rFonts w:ascii="Times New Roman" w:hAnsi="Times New Roman" w:cs="Times New Roman"/>
        </w:rPr>
        <w:lastRenderedPageBreak/>
        <w:t xml:space="preserve">12. </w:t>
      </w:r>
      <w:r w:rsidR="004D62A1" w:rsidRPr="004D62A1">
        <w:rPr>
          <w:rFonts w:ascii="Times New Roman" w:hAnsi="Times New Roman" w:cs="Times New Roman"/>
        </w:rPr>
        <w:t xml:space="preserve">Fuchs C, </w:t>
      </w:r>
      <w:proofErr w:type="spellStart"/>
      <w:r w:rsidR="004D62A1" w:rsidRPr="004D62A1">
        <w:rPr>
          <w:rFonts w:ascii="Times New Roman" w:hAnsi="Times New Roman" w:cs="Times New Roman"/>
        </w:rPr>
        <w:t>Wauschkuhn</w:t>
      </w:r>
      <w:proofErr w:type="spellEnd"/>
      <w:r w:rsidR="004D62A1" w:rsidRPr="004D62A1">
        <w:rPr>
          <w:rFonts w:ascii="Times New Roman" w:hAnsi="Times New Roman" w:cs="Times New Roman"/>
        </w:rPr>
        <w:t xml:space="preserve"> S, Scheer C, Vollmer M, Meissner K, Kuhn SO, et al. Continuing chronic beta-blockade in the acute phase of severe sepsis and septic shock is associated with decreased mortality rates up to 90 days. Br J Anaesth. 2017;119(4):616-25.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bja</w:t>
      </w:r>
      <w:proofErr w:type="spellEnd"/>
      <w:r w:rsidR="004D62A1" w:rsidRPr="004D62A1">
        <w:rPr>
          <w:rFonts w:ascii="Times New Roman" w:hAnsi="Times New Roman" w:cs="Times New Roman"/>
        </w:rPr>
        <w:t>/aex231.</w:t>
      </w:r>
    </w:p>
    <w:p w14:paraId="05E5D0F1" w14:textId="77777777" w:rsidR="004A7F85" w:rsidRPr="00D30F6D" w:rsidRDefault="004A7F85" w:rsidP="000574B9">
      <w:pPr>
        <w:spacing w:after="0" w:line="240" w:lineRule="auto"/>
        <w:jc w:val="both"/>
        <w:rPr>
          <w:rFonts w:ascii="Times New Roman" w:hAnsi="Times New Roman" w:cs="Times New Roman"/>
        </w:rPr>
      </w:pPr>
    </w:p>
    <w:p w14:paraId="5070F633" w14:textId="1A4BF031" w:rsidR="00983E7F" w:rsidRDefault="00983E7F" w:rsidP="000574B9">
      <w:pPr>
        <w:spacing w:after="0" w:line="240" w:lineRule="auto"/>
        <w:jc w:val="both"/>
        <w:rPr>
          <w:rFonts w:ascii="Times New Roman" w:hAnsi="Times New Roman" w:cs="Times New Roman"/>
        </w:rPr>
      </w:pPr>
      <w:r w:rsidRPr="00D30F6D">
        <w:rPr>
          <w:rFonts w:ascii="Times New Roman" w:hAnsi="Times New Roman" w:cs="Times New Roman"/>
        </w:rPr>
        <w:t>13.</w:t>
      </w:r>
      <w:r w:rsidR="0035056E" w:rsidRPr="00D30F6D">
        <w:rPr>
          <w:rFonts w:ascii="Times New Roman" w:hAnsi="Times New Roman" w:cs="Times New Roman"/>
        </w:rPr>
        <w:t xml:space="preserve"> </w:t>
      </w:r>
      <w:r w:rsidR="004D62A1" w:rsidRPr="004D62A1">
        <w:rPr>
          <w:rFonts w:ascii="Times New Roman" w:hAnsi="Times New Roman" w:cs="Times New Roman"/>
        </w:rPr>
        <w:t xml:space="preserve">Arrigo M, Jaeger N, Seifert B, Spahn DR, </w:t>
      </w:r>
      <w:proofErr w:type="spellStart"/>
      <w:r w:rsidR="004D62A1" w:rsidRPr="004D62A1">
        <w:rPr>
          <w:rFonts w:ascii="Times New Roman" w:hAnsi="Times New Roman" w:cs="Times New Roman"/>
        </w:rPr>
        <w:t>Bettex</w:t>
      </w:r>
      <w:proofErr w:type="spellEnd"/>
      <w:r w:rsidR="004D62A1" w:rsidRPr="004D62A1">
        <w:rPr>
          <w:rFonts w:ascii="Times New Roman" w:hAnsi="Times New Roman" w:cs="Times New Roman"/>
        </w:rPr>
        <w:t xml:space="preserve"> D, Rudiger A. Disappointing Success of Electrical Cardioversion for New-Onset Atrial Fibrillation in Cardiosurgical ICU Patients. Crit Care Med. 2015;43(11):2354-9.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10.1097/CCM.0000000000001257.</w:t>
      </w:r>
    </w:p>
    <w:p w14:paraId="4C4F6EF1" w14:textId="77777777" w:rsidR="00995B7A" w:rsidRDefault="00995B7A" w:rsidP="000574B9">
      <w:pPr>
        <w:spacing w:after="0" w:line="240" w:lineRule="auto"/>
        <w:jc w:val="both"/>
        <w:rPr>
          <w:rFonts w:ascii="Times New Roman" w:hAnsi="Times New Roman" w:cs="Times New Roman"/>
        </w:rPr>
      </w:pPr>
    </w:p>
    <w:p w14:paraId="0FB912B3" w14:textId="27F940E1" w:rsidR="00995B7A" w:rsidRDefault="00995B7A" w:rsidP="000574B9">
      <w:pPr>
        <w:spacing w:after="0" w:line="240" w:lineRule="auto"/>
        <w:jc w:val="both"/>
        <w:rPr>
          <w:rFonts w:ascii="Times New Roman" w:hAnsi="Times New Roman" w:cs="Times New Roman"/>
        </w:rPr>
      </w:pPr>
      <w:r>
        <w:rPr>
          <w:rFonts w:ascii="Times New Roman" w:hAnsi="Times New Roman" w:cs="Times New Roman"/>
        </w:rPr>
        <w:t>14.</w:t>
      </w:r>
      <w:r w:rsidR="00A86063">
        <w:rPr>
          <w:rFonts w:ascii="Times New Roman" w:hAnsi="Times New Roman" w:cs="Times New Roman"/>
        </w:rPr>
        <w:t xml:space="preserve"> </w:t>
      </w:r>
      <w:r w:rsidR="004D62A1" w:rsidRPr="004D62A1">
        <w:rPr>
          <w:rFonts w:ascii="Times New Roman" w:hAnsi="Times New Roman" w:cs="Times New Roman"/>
        </w:rPr>
        <w:t xml:space="preserve">Arrigo M, </w:t>
      </w:r>
      <w:proofErr w:type="spellStart"/>
      <w:r w:rsidR="004D62A1" w:rsidRPr="004D62A1">
        <w:rPr>
          <w:rFonts w:ascii="Times New Roman" w:hAnsi="Times New Roman" w:cs="Times New Roman"/>
        </w:rPr>
        <w:t>Mebazaa</w:t>
      </w:r>
      <w:proofErr w:type="spellEnd"/>
      <w:r w:rsidR="004D62A1" w:rsidRPr="004D62A1">
        <w:rPr>
          <w:rFonts w:ascii="Times New Roman" w:hAnsi="Times New Roman" w:cs="Times New Roman"/>
        </w:rPr>
        <w:t xml:space="preserve"> A, </w:t>
      </w:r>
      <w:proofErr w:type="spellStart"/>
      <w:r w:rsidR="004D62A1" w:rsidRPr="004D62A1">
        <w:rPr>
          <w:rFonts w:ascii="Times New Roman" w:hAnsi="Times New Roman" w:cs="Times New Roman"/>
        </w:rPr>
        <w:t>Bettex</w:t>
      </w:r>
      <w:proofErr w:type="spellEnd"/>
      <w:r w:rsidR="004D62A1" w:rsidRPr="004D62A1">
        <w:rPr>
          <w:rFonts w:ascii="Times New Roman" w:hAnsi="Times New Roman" w:cs="Times New Roman"/>
        </w:rPr>
        <w:t xml:space="preserve"> D, Rudiger A. Hemodynamic response of restoring sinus rhythm in critically ill patients with atrial fibrillation. Am J Emerg Med. 2020;38(6):1192-4.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10.1016/j.ajem.2020.02.027.</w:t>
      </w:r>
    </w:p>
    <w:p w14:paraId="5CD9CC64" w14:textId="77777777" w:rsidR="005C655F" w:rsidRPr="00D30F6D" w:rsidRDefault="005C655F" w:rsidP="000574B9">
      <w:pPr>
        <w:spacing w:after="0" w:line="240" w:lineRule="auto"/>
        <w:jc w:val="both"/>
        <w:rPr>
          <w:rFonts w:ascii="Times New Roman" w:hAnsi="Times New Roman" w:cs="Times New Roman"/>
        </w:rPr>
      </w:pPr>
    </w:p>
    <w:p w14:paraId="6ED50010" w14:textId="18511DDA" w:rsidR="00AF22C5" w:rsidRDefault="00AF22C5" w:rsidP="000574B9">
      <w:pPr>
        <w:spacing w:after="0" w:line="240" w:lineRule="auto"/>
        <w:jc w:val="both"/>
        <w:rPr>
          <w:rFonts w:ascii="Times New Roman" w:hAnsi="Times New Roman" w:cs="Times New Roman"/>
        </w:rPr>
      </w:pPr>
      <w:r w:rsidRPr="00D30F6D">
        <w:rPr>
          <w:rFonts w:ascii="Times New Roman" w:hAnsi="Times New Roman" w:cs="Times New Roman"/>
        </w:rPr>
        <w:t>15.</w:t>
      </w:r>
      <w:r w:rsidR="00D82C1B" w:rsidRPr="00D30F6D">
        <w:rPr>
          <w:rFonts w:ascii="Times New Roman" w:hAnsi="Times New Roman" w:cs="Times New Roman"/>
        </w:rPr>
        <w:t xml:space="preserve"> </w:t>
      </w:r>
      <w:r w:rsidR="004D62A1" w:rsidRPr="004D62A1">
        <w:rPr>
          <w:rFonts w:ascii="Times New Roman" w:hAnsi="Times New Roman" w:cs="Times New Roman"/>
        </w:rPr>
        <w:t xml:space="preserve">Van Gelder IC, Rienstra M, Bunting KV, Casado-Arroyo R, Caso V, </w:t>
      </w:r>
      <w:proofErr w:type="spellStart"/>
      <w:r w:rsidR="004D62A1" w:rsidRPr="004D62A1">
        <w:rPr>
          <w:rFonts w:ascii="Times New Roman" w:hAnsi="Times New Roman" w:cs="Times New Roman"/>
        </w:rPr>
        <w:t>Crijns</w:t>
      </w:r>
      <w:proofErr w:type="spellEnd"/>
      <w:r w:rsidR="004D62A1" w:rsidRPr="004D62A1">
        <w:rPr>
          <w:rFonts w:ascii="Times New Roman" w:hAnsi="Times New Roman" w:cs="Times New Roman"/>
        </w:rPr>
        <w:t xml:space="preserve"> H, et al. 2024 ESC Guidelines for the management of atrial fibrillation developed in collaboration with the European Association for Cardio-Thoracic Surgery (EACTS).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2024;45(36):3314-414.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w:t>
      </w:r>
      <w:proofErr w:type="spellEnd"/>
      <w:r w:rsidR="004D62A1" w:rsidRPr="004D62A1">
        <w:rPr>
          <w:rFonts w:ascii="Times New Roman" w:hAnsi="Times New Roman" w:cs="Times New Roman"/>
        </w:rPr>
        <w:t>/ehae176.</w:t>
      </w:r>
    </w:p>
    <w:p w14:paraId="5B865013" w14:textId="77777777" w:rsidR="005C655F" w:rsidRPr="00D30F6D" w:rsidRDefault="005C655F" w:rsidP="000574B9">
      <w:pPr>
        <w:spacing w:after="0" w:line="240" w:lineRule="auto"/>
        <w:jc w:val="both"/>
        <w:rPr>
          <w:rFonts w:ascii="Times New Roman" w:hAnsi="Times New Roman" w:cs="Times New Roman"/>
        </w:rPr>
      </w:pPr>
    </w:p>
    <w:p w14:paraId="1731A359" w14:textId="7BC019E5" w:rsidR="00AF22C5" w:rsidRDefault="00AF22C5" w:rsidP="000574B9">
      <w:pPr>
        <w:spacing w:after="0" w:line="240" w:lineRule="auto"/>
        <w:jc w:val="both"/>
        <w:rPr>
          <w:rFonts w:ascii="Times New Roman" w:hAnsi="Times New Roman" w:cs="Times New Roman"/>
        </w:rPr>
      </w:pPr>
      <w:r w:rsidRPr="00D30F6D">
        <w:rPr>
          <w:rFonts w:ascii="Times New Roman" w:hAnsi="Times New Roman" w:cs="Times New Roman"/>
        </w:rPr>
        <w:t>16.</w:t>
      </w:r>
      <w:r w:rsidR="00FF14CE" w:rsidRPr="00D30F6D">
        <w:rPr>
          <w:rFonts w:ascii="Times New Roman" w:hAnsi="Times New Roman" w:cs="Times New Roman"/>
        </w:rPr>
        <w:t xml:space="preserve"> </w:t>
      </w:r>
      <w:r w:rsidR="004D62A1" w:rsidRPr="004D62A1">
        <w:rPr>
          <w:rFonts w:ascii="Times New Roman" w:hAnsi="Times New Roman" w:cs="Times New Roman"/>
        </w:rPr>
        <w:t xml:space="preserve">Wetterslev M, Haase N, Hassager C, Belley-Cote EP, McIntyre WF, </w:t>
      </w:r>
      <w:proofErr w:type="gramStart"/>
      <w:r w:rsidR="004D62A1" w:rsidRPr="004D62A1">
        <w:rPr>
          <w:rFonts w:ascii="Times New Roman" w:hAnsi="Times New Roman" w:cs="Times New Roman"/>
        </w:rPr>
        <w:t>An</w:t>
      </w:r>
      <w:proofErr w:type="gramEnd"/>
      <w:r w:rsidR="004D62A1" w:rsidRPr="004D62A1">
        <w:rPr>
          <w:rFonts w:ascii="Times New Roman" w:hAnsi="Times New Roman" w:cs="Times New Roman"/>
        </w:rPr>
        <w:t xml:space="preserve"> Y, et al. New-onset atrial fibrillation in adult critically ill patients: a scoping review. Intensive Care Med. 2019;45(7):928-38.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10.1007/s00134 019-05633-x.</w:t>
      </w:r>
    </w:p>
    <w:p w14:paraId="11FF1D8E" w14:textId="77777777" w:rsidR="00525CEA" w:rsidRPr="00D30F6D" w:rsidRDefault="00525CEA" w:rsidP="000574B9">
      <w:pPr>
        <w:spacing w:after="0" w:line="240" w:lineRule="auto"/>
        <w:jc w:val="both"/>
        <w:rPr>
          <w:rFonts w:ascii="Times New Roman" w:hAnsi="Times New Roman" w:cs="Times New Roman"/>
        </w:rPr>
      </w:pPr>
    </w:p>
    <w:p w14:paraId="05885117" w14:textId="58C15C00" w:rsidR="005B02A4" w:rsidRDefault="005B02A4" w:rsidP="000574B9">
      <w:pPr>
        <w:spacing w:after="0" w:line="240" w:lineRule="auto"/>
        <w:jc w:val="both"/>
        <w:rPr>
          <w:rFonts w:ascii="Times New Roman" w:hAnsi="Times New Roman" w:cs="Times New Roman"/>
        </w:rPr>
      </w:pPr>
      <w:r w:rsidRPr="004363E6">
        <w:rPr>
          <w:rFonts w:ascii="Times New Roman" w:hAnsi="Times New Roman" w:cs="Times New Roman"/>
          <w:lang w:val="en-US"/>
        </w:rPr>
        <w:t>17.</w:t>
      </w:r>
      <w:r w:rsidR="00BB087F" w:rsidRPr="00D30F6D">
        <w:rPr>
          <w:rFonts w:ascii="Times New Roman" w:hAnsi="Times New Roman" w:cs="Times New Roman"/>
          <w:lang w:val="nl-NL"/>
        </w:rPr>
        <w:t xml:space="preserve"> </w:t>
      </w:r>
      <w:r w:rsidR="004D62A1" w:rsidRPr="004D62A1">
        <w:rPr>
          <w:rFonts w:ascii="Times New Roman" w:hAnsi="Times New Roman" w:cs="Times New Roman"/>
          <w:lang w:val="nl-NL"/>
        </w:rPr>
        <w:t>Dan GA, Dan AR, Ivanescu A, Buzea AC. Acute rate control in atrial fibrillation: an urgent need for the clinician. Eur Heart J Suppl 2022;24 Suppl D:D3-D10. doi: 10.1093/eurheartjsupp/suac022.</w:t>
      </w:r>
    </w:p>
    <w:p w14:paraId="22AC6845" w14:textId="77777777" w:rsidR="005C655F" w:rsidRPr="00D30F6D" w:rsidRDefault="005C655F" w:rsidP="000574B9">
      <w:pPr>
        <w:spacing w:after="0" w:line="240" w:lineRule="auto"/>
        <w:jc w:val="both"/>
        <w:rPr>
          <w:rFonts w:ascii="Times New Roman" w:hAnsi="Times New Roman" w:cs="Times New Roman"/>
        </w:rPr>
      </w:pPr>
    </w:p>
    <w:p w14:paraId="68718907" w14:textId="62016CAB" w:rsidR="000C26ED" w:rsidRDefault="005B02A4" w:rsidP="000574B9">
      <w:pPr>
        <w:spacing w:after="0" w:line="240" w:lineRule="auto"/>
        <w:jc w:val="both"/>
        <w:rPr>
          <w:rFonts w:ascii="Times New Roman" w:hAnsi="Times New Roman" w:cs="Times New Roman"/>
        </w:rPr>
      </w:pPr>
      <w:r w:rsidRPr="00D30F6D">
        <w:rPr>
          <w:rFonts w:ascii="Times New Roman" w:hAnsi="Times New Roman" w:cs="Times New Roman"/>
        </w:rPr>
        <w:t>18.</w:t>
      </w:r>
      <w:r w:rsidR="000C26ED" w:rsidRPr="00D30F6D">
        <w:rPr>
          <w:rFonts w:ascii="Times New Roman" w:hAnsi="Times New Roman" w:cs="Times New Roman"/>
        </w:rPr>
        <w:t xml:space="preserve"> </w:t>
      </w:r>
      <w:r w:rsidR="004D62A1" w:rsidRPr="004D62A1">
        <w:rPr>
          <w:rFonts w:ascii="Times New Roman" w:hAnsi="Times New Roman" w:cs="Times New Roman"/>
        </w:rPr>
        <w:t xml:space="preserve">Dan GA. Foreword: Acute optimization of heart rate in atrial fibrillation: landiolol as a first line therapy. </w:t>
      </w:r>
      <w:proofErr w:type="spellStart"/>
      <w:r w:rsidR="004D62A1" w:rsidRPr="004D62A1">
        <w:rPr>
          <w:rFonts w:ascii="Times New Roman" w:hAnsi="Times New Roman" w:cs="Times New Roman"/>
        </w:rPr>
        <w:t>Eur</w:t>
      </w:r>
      <w:proofErr w:type="spellEnd"/>
      <w:r w:rsidR="004D62A1" w:rsidRPr="004D62A1">
        <w:rPr>
          <w:rFonts w:ascii="Times New Roman" w:hAnsi="Times New Roman" w:cs="Times New Roman"/>
        </w:rPr>
        <w:t xml:space="preserve"> Heart J </w:t>
      </w:r>
      <w:proofErr w:type="spellStart"/>
      <w:r w:rsidR="004D62A1" w:rsidRPr="004D62A1">
        <w:rPr>
          <w:rFonts w:ascii="Times New Roman" w:hAnsi="Times New Roman" w:cs="Times New Roman"/>
        </w:rPr>
        <w:t>Suppl</w:t>
      </w:r>
      <w:proofErr w:type="spellEnd"/>
      <w:r w:rsidR="004D62A1" w:rsidRPr="004D62A1">
        <w:rPr>
          <w:rFonts w:ascii="Times New Roman" w:hAnsi="Times New Roman" w:cs="Times New Roman"/>
        </w:rPr>
        <w:t xml:space="preserve"> 2022;24 </w:t>
      </w:r>
      <w:proofErr w:type="spellStart"/>
      <w:r w:rsidR="004D62A1" w:rsidRPr="004D62A1">
        <w:rPr>
          <w:rFonts w:ascii="Times New Roman" w:hAnsi="Times New Roman" w:cs="Times New Roman"/>
        </w:rPr>
        <w:t>Suppl</w:t>
      </w:r>
      <w:proofErr w:type="spellEnd"/>
      <w:r w:rsidR="004D62A1" w:rsidRPr="004D62A1">
        <w:rPr>
          <w:rFonts w:ascii="Times New Roman" w:hAnsi="Times New Roman" w:cs="Times New Roman"/>
        </w:rPr>
        <w:t xml:space="preserve"> </w:t>
      </w:r>
      <w:proofErr w:type="gramStart"/>
      <w:r w:rsidR="004D62A1" w:rsidRPr="004D62A1">
        <w:rPr>
          <w:rFonts w:ascii="Times New Roman" w:hAnsi="Times New Roman" w:cs="Times New Roman"/>
        </w:rPr>
        <w:t>D:D</w:t>
      </w:r>
      <w:proofErr w:type="gramEnd"/>
      <w:r w:rsidR="004D62A1" w:rsidRPr="004D62A1">
        <w:rPr>
          <w:rFonts w:ascii="Times New Roman" w:hAnsi="Times New Roman" w:cs="Times New Roman"/>
        </w:rPr>
        <w:t xml:space="preserve">1-D2.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10.1093/</w:t>
      </w:r>
      <w:proofErr w:type="spellStart"/>
      <w:r w:rsidR="004D62A1" w:rsidRPr="004D62A1">
        <w:rPr>
          <w:rFonts w:ascii="Times New Roman" w:hAnsi="Times New Roman" w:cs="Times New Roman"/>
        </w:rPr>
        <w:t>eurheartjsupp</w:t>
      </w:r>
      <w:proofErr w:type="spellEnd"/>
      <w:r w:rsidR="004D62A1" w:rsidRPr="004D62A1">
        <w:rPr>
          <w:rFonts w:ascii="Times New Roman" w:hAnsi="Times New Roman" w:cs="Times New Roman"/>
        </w:rPr>
        <w:t>/suac028.</w:t>
      </w:r>
    </w:p>
    <w:p w14:paraId="4F7B5122" w14:textId="77777777" w:rsidR="005C655F" w:rsidRPr="00D30F6D" w:rsidRDefault="005C655F" w:rsidP="000574B9">
      <w:pPr>
        <w:spacing w:after="0" w:line="240" w:lineRule="auto"/>
        <w:jc w:val="both"/>
        <w:rPr>
          <w:rFonts w:ascii="Times New Roman" w:hAnsi="Times New Roman" w:cs="Times New Roman"/>
        </w:rPr>
      </w:pPr>
    </w:p>
    <w:p w14:paraId="66A2C18F" w14:textId="1ADB55A7" w:rsidR="000C26ED" w:rsidRPr="00D30F6D" w:rsidRDefault="000C26ED" w:rsidP="000574B9">
      <w:pPr>
        <w:spacing w:after="0" w:line="240" w:lineRule="auto"/>
        <w:jc w:val="both"/>
        <w:rPr>
          <w:rFonts w:ascii="Times New Roman" w:hAnsi="Times New Roman" w:cs="Times New Roman"/>
        </w:rPr>
      </w:pPr>
      <w:r w:rsidRPr="004D62A1">
        <w:rPr>
          <w:rFonts w:ascii="Times New Roman" w:hAnsi="Times New Roman" w:cs="Times New Roman"/>
          <w:lang w:val="it-IT"/>
        </w:rPr>
        <w:t xml:space="preserve">19. </w:t>
      </w:r>
      <w:r w:rsidR="004D62A1" w:rsidRPr="004D62A1">
        <w:rPr>
          <w:rFonts w:ascii="Times New Roman" w:hAnsi="Times New Roman" w:cs="Times New Roman"/>
          <w:lang w:val="it-IT"/>
        </w:rPr>
        <w:t xml:space="preserve">Ditali V, Garatti L, Morici N, Villanova L, Colombo C, Oliva F, et al. </w:t>
      </w:r>
      <w:r w:rsidR="004D62A1" w:rsidRPr="004D62A1">
        <w:rPr>
          <w:rFonts w:ascii="Times New Roman" w:hAnsi="Times New Roman" w:cs="Times New Roman"/>
          <w:lang w:val="en-US"/>
        </w:rPr>
        <w:t xml:space="preserve">Effect of landiolol in patients with tachyarrhythmias and acute decompensated heart failure (ADHF): a case series. ESC Heart Fail. 2022;9(1):766-70. </w:t>
      </w:r>
      <w:proofErr w:type="spellStart"/>
      <w:r w:rsidR="004D62A1" w:rsidRPr="004D62A1">
        <w:rPr>
          <w:rFonts w:ascii="Times New Roman" w:hAnsi="Times New Roman" w:cs="Times New Roman"/>
          <w:lang w:val="en-US"/>
        </w:rPr>
        <w:t>doi</w:t>
      </w:r>
      <w:proofErr w:type="spellEnd"/>
      <w:r w:rsidR="004D62A1" w:rsidRPr="004D62A1">
        <w:rPr>
          <w:rFonts w:ascii="Times New Roman" w:hAnsi="Times New Roman" w:cs="Times New Roman"/>
          <w:lang w:val="en-US"/>
        </w:rPr>
        <w:t>: 10.1002/ehf2.13763.</w:t>
      </w:r>
    </w:p>
    <w:p w14:paraId="5A2047AF" w14:textId="0CE879FF" w:rsidR="005B02A4" w:rsidRPr="00D30F6D" w:rsidRDefault="005B02A4" w:rsidP="000574B9">
      <w:pPr>
        <w:spacing w:after="0" w:line="240" w:lineRule="auto"/>
        <w:jc w:val="both"/>
        <w:rPr>
          <w:rFonts w:ascii="Times New Roman" w:hAnsi="Times New Roman" w:cs="Times New Roman"/>
        </w:rPr>
      </w:pPr>
    </w:p>
    <w:p w14:paraId="3412E230" w14:textId="2C6EC3BA" w:rsidR="005B02A4" w:rsidRDefault="000C26ED" w:rsidP="000574B9">
      <w:pPr>
        <w:spacing w:after="0" w:line="240" w:lineRule="auto"/>
        <w:jc w:val="both"/>
        <w:rPr>
          <w:rFonts w:ascii="Times New Roman" w:hAnsi="Times New Roman" w:cs="Times New Roman"/>
        </w:rPr>
      </w:pPr>
      <w:r w:rsidRPr="00D30F6D">
        <w:rPr>
          <w:rFonts w:ascii="Times New Roman" w:hAnsi="Times New Roman" w:cs="Times New Roman"/>
        </w:rPr>
        <w:t>20</w:t>
      </w:r>
      <w:r w:rsidR="005B02A4" w:rsidRPr="00D30F6D">
        <w:rPr>
          <w:rFonts w:ascii="Times New Roman" w:hAnsi="Times New Roman" w:cs="Times New Roman"/>
        </w:rPr>
        <w:t>.</w:t>
      </w:r>
      <w:r w:rsidR="007638E7" w:rsidRPr="00D30F6D">
        <w:rPr>
          <w:rFonts w:ascii="Times New Roman" w:hAnsi="Times New Roman" w:cs="Times New Roman"/>
        </w:rPr>
        <w:t xml:space="preserve"> </w:t>
      </w:r>
      <w:r w:rsidR="004D62A1" w:rsidRPr="004D62A1">
        <w:rPr>
          <w:rFonts w:ascii="Times New Roman" w:hAnsi="Times New Roman" w:cs="Times New Roman"/>
        </w:rPr>
        <w:t xml:space="preserve">Shibata SC, Uchiyama A, Ohta N, Fujino Y. Efficacy and Safety of Landiolol Compared to Amiodarone for the Management of Postoperative Atrial Fibrillation in Intensive Care Patients. J </w:t>
      </w:r>
      <w:proofErr w:type="spellStart"/>
      <w:r w:rsidR="004D62A1" w:rsidRPr="004D62A1">
        <w:rPr>
          <w:rFonts w:ascii="Times New Roman" w:hAnsi="Times New Roman" w:cs="Times New Roman"/>
        </w:rPr>
        <w:t>Cardiothorac</w:t>
      </w:r>
      <w:proofErr w:type="spellEnd"/>
      <w:r w:rsidR="004D62A1" w:rsidRPr="004D62A1">
        <w:rPr>
          <w:rFonts w:ascii="Times New Roman" w:hAnsi="Times New Roman" w:cs="Times New Roman"/>
        </w:rPr>
        <w:t xml:space="preserve"> </w:t>
      </w:r>
      <w:proofErr w:type="spellStart"/>
      <w:r w:rsidR="004D62A1" w:rsidRPr="004D62A1">
        <w:rPr>
          <w:rFonts w:ascii="Times New Roman" w:hAnsi="Times New Roman" w:cs="Times New Roman"/>
        </w:rPr>
        <w:t>Vasc</w:t>
      </w:r>
      <w:proofErr w:type="spellEnd"/>
      <w:r w:rsidR="004D62A1" w:rsidRPr="004D62A1">
        <w:rPr>
          <w:rFonts w:ascii="Times New Roman" w:hAnsi="Times New Roman" w:cs="Times New Roman"/>
        </w:rPr>
        <w:t xml:space="preserve"> Anesth. 2016;30(2):418-22. </w:t>
      </w:r>
      <w:proofErr w:type="spellStart"/>
      <w:r w:rsidR="004D62A1" w:rsidRPr="004D62A1">
        <w:rPr>
          <w:rFonts w:ascii="Times New Roman" w:hAnsi="Times New Roman" w:cs="Times New Roman"/>
        </w:rPr>
        <w:t>doi</w:t>
      </w:r>
      <w:proofErr w:type="spellEnd"/>
      <w:r w:rsidR="004D62A1" w:rsidRPr="004D62A1">
        <w:rPr>
          <w:rFonts w:ascii="Times New Roman" w:hAnsi="Times New Roman" w:cs="Times New Roman"/>
        </w:rPr>
        <w:t>: 10.1053/j.jvca.2015.09.007.</w:t>
      </w:r>
    </w:p>
    <w:p w14:paraId="26A7574B" w14:textId="77777777" w:rsidR="005C655F" w:rsidRPr="00D30F6D" w:rsidRDefault="005C655F" w:rsidP="000574B9">
      <w:pPr>
        <w:spacing w:after="0" w:line="240" w:lineRule="auto"/>
        <w:jc w:val="both"/>
        <w:rPr>
          <w:rFonts w:ascii="Times New Roman" w:hAnsi="Times New Roman" w:cs="Times New Roman"/>
        </w:rPr>
      </w:pPr>
    </w:p>
    <w:p w14:paraId="74571A02" w14:textId="210CA733"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21.</w:t>
      </w:r>
      <w:r w:rsidR="009A5125" w:rsidRPr="00262D09">
        <w:rPr>
          <w:rFonts w:ascii="Times New Roman" w:hAnsi="Times New Roman" w:cs="Times New Roman"/>
          <w:lang w:val="en-US"/>
        </w:rPr>
        <w:t xml:space="preserve"> </w:t>
      </w:r>
      <w:r w:rsidR="004D62A1" w:rsidRPr="004D62A1">
        <w:rPr>
          <w:rFonts w:ascii="Times New Roman" w:hAnsi="Times New Roman" w:cs="Times New Roman"/>
          <w:lang w:val="en-US"/>
        </w:rPr>
        <w:t xml:space="preserve">Brown SM, Beesley SJ, </w:t>
      </w:r>
      <w:proofErr w:type="spellStart"/>
      <w:r w:rsidR="004D62A1" w:rsidRPr="004D62A1">
        <w:rPr>
          <w:rFonts w:ascii="Times New Roman" w:hAnsi="Times New Roman" w:cs="Times New Roman"/>
          <w:lang w:val="en-US"/>
        </w:rPr>
        <w:t>Lanspa</w:t>
      </w:r>
      <w:proofErr w:type="spellEnd"/>
      <w:r w:rsidR="004D62A1" w:rsidRPr="004D62A1">
        <w:rPr>
          <w:rFonts w:ascii="Times New Roman" w:hAnsi="Times New Roman" w:cs="Times New Roman"/>
          <w:lang w:val="en-US"/>
        </w:rPr>
        <w:t xml:space="preserve"> MJ, Grissom CK, Wilson EL, Parikh SM, et al. Esmolol infusion in patients with septic shock and tachycardia: a prospective, single-arm, feasibility study. Pilot Feasibility </w:t>
      </w:r>
      <w:proofErr w:type="spellStart"/>
      <w:r w:rsidR="004D62A1" w:rsidRPr="004D62A1">
        <w:rPr>
          <w:rFonts w:ascii="Times New Roman" w:hAnsi="Times New Roman" w:cs="Times New Roman"/>
          <w:lang w:val="en-US"/>
        </w:rPr>
        <w:t>Stud</w:t>
      </w:r>
      <w:proofErr w:type="spellEnd"/>
      <w:r w:rsidR="004D62A1" w:rsidRPr="004D62A1">
        <w:rPr>
          <w:rFonts w:ascii="Times New Roman" w:hAnsi="Times New Roman" w:cs="Times New Roman"/>
          <w:lang w:val="en-US"/>
        </w:rPr>
        <w:t>. 2018;4:132. doi:10.1186/s40814-018-0321-5.</w:t>
      </w:r>
    </w:p>
    <w:p w14:paraId="7E1D3FB5" w14:textId="77777777" w:rsidR="005C655F" w:rsidRPr="00D30F6D" w:rsidRDefault="005C655F" w:rsidP="000574B9">
      <w:pPr>
        <w:spacing w:after="0" w:line="240" w:lineRule="auto"/>
        <w:jc w:val="both"/>
        <w:rPr>
          <w:rFonts w:ascii="Times New Roman" w:hAnsi="Times New Roman" w:cs="Times New Roman"/>
        </w:rPr>
      </w:pPr>
    </w:p>
    <w:p w14:paraId="276073EC" w14:textId="75F8A191" w:rsidR="007638E7" w:rsidRPr="004D62A1" w:rsidRDefault="007638E7" w:rsidP="000574B9">
      <w:pPr>
        <w:spacing w:after="0" w:line="240" w:lineRule="auto"/>
        <w:jc w:val="both"/>
        <w:rPr>
          <w:rFonts w:ascii="Times New Roman" w:hAnsi="Times New Roman" w:cs="Times New Roman"/>
          <w:lang w:val="it-IT"/>
        </w:rPr>
      </w:pPr>
      <w:r w:rsidRPr="00D30F6D">
        <w:rPr>
          <w:rFonts w:ascii="Times New Roman" w:hAnsi="Times New Roman" w:cs="Times New Roman"/>
        </w:rPr>
        <w:t>22.</w:t>
      </w:r>
      <w:r w:rsidR="00B37656" w:rsidRPr="00D30F6D">
        <w:rPr>
          <w:rFonts w:ascii="Times New Roman" w:hAnsi="Times New Roman" w:cs="Times New Roman"/>
        </w:rPr>
        <w:t xml:space="preserve"> </w:t>
      </w:r>
      <w:r w:rsidR="004D62A1" w:rsidRPr="004D62A1">
        <w:rPr>
          <w:rFonts w:ascii="Times New Roman" w:hAnsi="Times New Roman" w:cs="Times New Roman"/>
        </w:rPr>
        <w:t xml:space="preserve">Cocchi MN, Dargin J, Chase M, Patel PV, </w:t>
      </w:r>
      <w:proofErr w:type="spellStart"/>
      <w:r w:rsidR="004D62A1" w:rsidRPr="004D62A1">
        <w:rPr>
          <w:rFonts w:ascii="Times New Roman" w:hAnsi="Times New Roman" w:cs="Times New Roman"/>
        </w:rPr>
        <w:t>Grossestreuer</w:t>
      </w:r>
      <w:proofErr w:type="spellEnd"/>
      <w:r w:rsidR="004D62A1" w:rsidRPr="004D62A1">
        <w:rPr>
          <w:rFonts w:ascii="Times New Roman" w:hAnsi="Times New Roman" w:cs="Times New Roman"/>
        </w:rPr>
        <w:t xml:space="preserve"> A, Balaji L, et al. Esmolol to Treat the Hemodynamic Effects of Septic Shock: A Randomized Controlled Trial. </w:t>
      </w:r>
      <w:r w:rsidR="004D62A1" w:rsidRPr="004D62A1">
        <w:rPr>
          <w:rFonts w:ascii="Times New Roman" w:hAnsi="Times New Roman" w:cs="Times New Roman"/>
          <w:lang w:val="it-IT"/>
        </w:rPr>
        <w:t xml:space="preserve">Shock. 2022;57(4):508-17. </w:t>
      </w:r>
      <w:proofErr w:type="spellStart"/>
      <w:r w:rsidR="004D62A1" w:rsidRPr="004D62A1">
        <w:rPr>
          <w:rFonts w:ascii="Times New Roman" w:hAnsi="Times New Roman" w:cs="Times New Roman"/>
          <w:lang w:val="it-IT"/>
        </w:rPr>
        <w:t>doi</w:t>
      </w:r>
      <w:proofErr w:type="spellEnd"/>
      <w:r w:rsidR="004D62A1" w:rsidRPr="004D62A1">
        <w:rPr>
          <w:rFonts w:ascii="Times New Roman" w:hAnsi="Times New Roman" w:cs="Times New Roman"/>
          <w:lang w:val="it-IT"/>
        </w:rPr>
        <w:t>: 10.1097/SHK.0000000000001905.</w:t>
      </w:r>
    </w:p>
    <w:p w14:paraId="47A50788" w14:textId="77777777" w:rsidR="005C655F" w:rsidRPr="004D62A1" w:rsidRDefault="005C655F" w:rsidP="000574B9">
      <w:pPr>
        <w:spacing w:after="0" w:line="240" w:lineRule="auto"/>
        <w:jc w:val="both"/>
        <w:rPr>
          <w:rFonts w:ascii="Times New Roman" w:hAnsi="Times New Roman" w:cs="Times New Roman"/>
          <w:lang w:val="it-IT"/>
        </w:rPr>
      </w:pPr>
    </w:p>
    <w:p w14:paraId="32EABAE3" w14:textId="34A83F15" w:rsidR="007638E7" w:rsidRPr="00101EDE" w:rsidRDefault="007638E7" w:rsidP="000574B9">
      <w:pPr>
        <w:spacing w:after="0" w:line="240" w:lineRule="auto"/>
        <w:jc w:val="both"/>
        <w:rPr>
          <w:rFonts w:ascii="Times New Roman" w:hAnsi="Times New Roman" w:cs="Times New Roman"/>
          <w:lang w:val="it-IT"/>
        </w:rPr>
      </w:pPr>
      <w:r w:rsidRPr="004D62A1">
        <w:rPr>
          <w:rFonts w:ascii="Times New Roman" w:hAnsi="Times New Roman" w:cs="Times New Roman"/>
          <w:lang w:val="it-IT"/>
        </w:rPr>
        <w:t>23.</w:t>
      </w:r>
      <w:r w:rsidR="00BE6775" w:rsidRPr="004D62A1">
        <w:rPr>
          <w:rFonts w:ascii="Times New Roman" w:hAnsi="Times New Roman" w:cs="Times New Roman"/>
          <w:lang w:val="it-IT"/>
        </w:rPr>
        <w:t xml:space="preserve"> </w:t>
      </w:r>
      <w:r w:rsidR="004D62A1" w:rsidRPr="004D62A1">
        <w:rPr>
          <w:rFonts w:ascii="Times New Roman" w:hAnsi="Times New Roman" w:cs="Times New Roman"/>
          <w:lang w:val="it-IT"/>
        </w:rPr>
        <w:t xml:space="preserve">Levy B, Fritz C, Piona C, Duarte K, Morelli A, Guerci P, et al. </w:t>
      </w:r>
      <w:r w:rsidR="004D62A1" w:rsidRPr="004D62A1">
        <w:rPr>
          <w:rFonts w:ascii="Times New Roman" w:hAnsi="Times New Roman" w:cs="Times New Roman"/>
          <w:lang w:val="en-US"/>
        </w:rPr>
        <w:t xml:space="preserve">Hemodynamic and anti-inflammatory effects of early esmolol use in hyperkinetic septic shock: a pilot study. </w:t>
      </w:r>
      <w:r w:rsidR="004D62A1" w:rsidRPr="004D62A1">
        <w:rPr>
          <w:rFonts w:ascii="Times New Roman" w:hAnsi="Times New Roman" w:cs="Times New Roman"/>
          <w:lang w:val="it-IT"/>
        </w:rPr>
        <w:t xml:space="preserve">Crit Care. 2021;25(1):21. </w:t>
      </w:r>
      <w:proofErr w:type="spellStart"/>
      <w:r w:rsidR="004D62A1" w:rsidRPr="004D62A1">
        <w:rPr>
          <w:rFonts w:ascii="Times New Roman" w:hAnsi="Times New Roman" w:cs="Times New Roman"/>
          <w:lang w:val="it-IT"/>
        </w:rPr>
        <w:t>doi</w:t>
      </w:r>
      <w:proofErr w:type="spellEnd"/>
      <w:r w:rsidR="004D62A1" w:rsidRPr="004D62A1">
        <w:rPr>
          <w:rFonts w:ascii="Times New Roman" w:hAnsi="Times New Roman" w:cs="Times New Roman"/>
          <w:lang w:val="it-IT"/>
        </w:rPr>
        <w:t>: 10.1186/s13054-020-03445-w.</w:t>
      </w:r>
      <w:r w:rsidR="00BE6775" w:rsidRPr="00101EDE">
        <w:rPr>
          <w:rFonts w:ascii="Times New Roman" w:hAnsi="Times New Roman" w:cs="Times New Roman"/>
          <w:lang w:val="it-IT"/>
        </w:rPr>
        <w:t xml:space="preserve"> </w:t>
      </w:r>
    </w:p>
    <w:p w14:paraId="67948659" w14:textId="77777777" w:rsidR="005C655F" w:rsidRPr="00101EDE" w:rsidRDefault="005C655F" w:rsidP="000574B9">
      <w:pPr>
        <w:spacing w:after="0" w:line="240" w:lineRule="auto"/>
        <w:jc w:val="both"/>
        <w:rPr>
          <w:rFonts w:ascii="Times New Roman" w:hAnsi="Times New Roman" w:cs="Times New Roman"/>
          <w:lang w:val="it-IT"/>
        </w:rPr>
      </w:pPr>
    </w:p>
    <w:p w14:paraId="0D5369C3" w14:textId="20926A54" w:rsidR="007638E7" w:rsidRDefault="007638E7" w:rsidP="000574B9">
      <w:pPr>
        <w:spacing w:after="0" w:line="240" w:lineRule="auto"/>
        <w:jc w:val="both"/>
        <w:rPr>
          <w:rFonts w:ascii="Times New Roman" w:hAnsi="Times New Roman" w:cs="Times New Roman"/>
        </w:rPr>
      </w:pPr>
      <w:r w:rsidRPr="00101EDE">
        <w:rPr>
          <w:rFonts w:ascii="Times New Roman" w:hAnsi="Times New Roman" w:cs="Times New Roman"/>
          <w:lang w:val="it-IT"/>
        </w:rPr>
        <w:t>24.</w:t>
      </w:r>
      <w:r w:rsidR="00BB7F60" w:rsidRPr="00101EDE">
        <w:rPr>
          <w:rFonts w:ascii="Times New Roman" w:hAnsi="Times New Roman" w:cs="Times New Roman"/>
          <w:lang w:val="it-IT"/>
        </w:rPr>
        <w:t xml:space="preserve"> </w:t>
      </w:r>
      <w:r w:rsidR="00101EDE" w:rsidRPr="00101EDE">
        <w:rPr>
          <w:rFonts w:ascii="Times New Roman" w:hAnsi="Times New Roman" w:cs="Times New Roman"/>
          <w:lang w:val="it-IT"/>
        </w:rPr>
        <w:t xml:space="preserve">Guarracino F, Cortegiani A, Antonelli M, Behr A, Biancofiore G, Del Gaudio A, et al. </w:t>
      </w:r>
      <w:r w:rsidR="00101EDE" w:rsidRPr="00101EDE">
        <w:rPr>
          <w:rFonts w:ascii="Times New Roman" w:hAnsi="Times New Roman" w:cs="Times New Roman"/>
          <w:lang w:val="en-US"/>
        </w:rPr>
        <w:t xml:space="preserve">The role of beta-blocker drugs in critically ill patients: a SIAARTI expert consensus statement. J </w:t>
      </w:r>
      <w:proofErr w:type="spellStart"/>
      <w:r w:rsidR="00101EDE" w:rsidRPr="00101EDE">
        <w:rPr>
          <w:rFonts w:ascii="Times New Roman" w:hAnsi="Times New Roman" w:cs="Times New Roman"/>
          <w:lang w:val="en-US"/>
        </w:rPr>
        <w:t>Anesth</w:t>
      </w:r>
      <w:proofErr w:type="spellEnd"/>
      <w:r w:rsidR="00101EDE" w:rsidRPr="00101EDE">
        <w:rPr>
          <w:rFonts w:ascii="Times New Roman" w:hAnsi="Times New Roman" w:cs="Times New Roman"/>
          <w:lang w:val="en-US"/>
        </w:rPr>
        <w:t xml:space="preserve"> </w:t>
      </w:r>
      <w:proofErr w:type="spellStart"/>
      <w:r w:rsidR="00101EDE" w:rsidRPr="00101EDE">
        <w:rPr>
          <w:rFonts w:ascii="Times New Roman" w:hAnsi="Times New Roman" w:cs="Times New Roman"/>
          <w:lang w:val="en-US"/>
        </w:rPr>
        <w:t>Analg</w:t>
      </w:r>
      <w:proofErr w:type="spellEnd"/>
      <w:r w:rsidR="00101EDE" w:rsidRPr="00101EDE">
        <w:rPr>
          <w:rFonts w:ascii="Times New Roman" w:hAnsi="Times New Roman" w:cs="Times New Roman"/>
          <w:lang w:val="en-US"/>
        </w:rPr>
        <w:t xml:space="preserve"> Crit Care. 2023;3(1):41. </w:t>
      </w:r>
      <w:proofErr w:type="spellStart"/>
      <w:r w:rsidR="00101EDE" w:rsidRPr="00101EDE">
        <w:rPr>
          <w:rFonts w:ascii="Times New Roman" w:hAnsi="Times New Roman" w:cs="Times New Roman"/>
          <w:lang w:val="en-US"/>
        </w:rPr>
        <w:t>doi</w:t>
      </w:r>
      <w:proofErr w:type="spellEnd"/>
      <w:r w:rsidR="00101EDE" w:rsidRPr="00101EDE">
        <w:rPr>
          <w:rFonts w:ascii="Times New Roman" w:hAnsi="Times New Roman" w:cs="Times New Roman"/>
          <w:lang w:val="en-US"/>
        </w:rPr>
        <w:t>: 10.1186/s44158-023-00126-2.</w:t>
      </w:r>
    </w:p>
    <w:p w14:paraId="336884C5" w14:textId="77777777" w:rsidR="005C655F" w:rsidRPr="00D30F6D" w:rsidRDefault="005C655F" w:rsidP="000574B9">
      <w:pPr>
        <w:spacing w:after="0" w:line="240" w:lineRule="auto"/>
        <w:jc w:val="both"/>
        <w:rPr>
          <w:rFonts w:ascii="Times New Roman" w:hAnsi="Times New Roman" w:cs="Times New Roman"/>
        </w:rPr>
      </w:pPr>
    </w:p>
    <w:p w14:paraId="0B9BEF09" w14:textId="33861B12" w:rsidR="007638E7" w:rsidRDefault="007638E7" w:rsidP="000574B9">
      <w:pPr>
        <w:spacing w:after="0" w:line="240" w:lineRule="auto"/>
        <w:jc w:val="both"/>
        <w:rPr>
          <w:rFonts w:ascii="Times New Roman" w:hAnsi="Times New Roman" w:cs="Times New Roman"/>
        </w:rPr>
      </w:pPr>
      <w:r w:rsidRPr="004363E6">
        <w:rPr>
          <w:rFonts w:ascii="Times New Roman" w:hAnsi="Times New Roman" w:cs="Times New Roman"/>
          <w:lang w:val="en-US"/>
        </w:rPr>
        <w:t>25.</w:t>
      </w:r>
      <w:r w:rsidR="00B60986" w:rsidRPr="004363E6">
        <w:rPr>
          <w:rFonts w:ascii="Times New Roman" w:hAnsi="Times New Roman" w:cs="Times New Roman"/>
          <w:lang w:val="en-US"/>
        </w:rPr>
        <w:t xml:space="preserve"> </w:t>
      </w:r>
      <w:r w:rsidR="00101EDE" w:rsidRPr="004363E6">
        <w:rPr>
          <w:rFonts w:ascii="Times New Roman" w:hAnsi="Times New Roman" w:cs="Times New Roman"/>
          <w:lang w:val="en-US"/>
        </w:rPr>
        <w:t xml:space="preserve">O'Brien B, Burrage PS, Ngai JY, </w:t>
      </w:r>
      <w:proofErr w:type="spellStart"/>
      <w:r w:rsidR="00101EDE" w:rsidRPr="004363E6">
        <w:rPr>
          <w:rFonts w:ascii="Times New Roman" w:hAnsi="Times New Roman" w:cs="Times New Roman"/>
          <w:lang w:val="en-US"/>
        </w:rPr>
        <w:t>Prutkin</w:t>
      </w:r>
      <w:proofErr w:type="spellEnd"/>
      <w:r w:rsidR="00101EDE" w:rsidRPr="004363E6">
        <w:rPr>
          <w:rFonts w:ascii="Times New Roman" w:hAnsi="Times New Roman" w:cs="Times New Roman"/>
          <w:lang w:val="en-US"/>
        </w:rPr>
        <w:t xml:space="preserve"> JM, Huang CC, Xu X, et al. </w:t>
      </w:r>
      <w:r w:rsidR="00101EDE" w:rsidRPr="00101EDE">
        <w:rPr>
          <w:rFonts w:ascii="Times New Roman" w:hAnsi="Times New Roman" w:cs="Times New Roman"/>
        </w:rPr>
        <w:t xml:space="preserve">Society of Cardiovascular </w:t>
      </w:r>
      <w:proofErr w:type="spellStart"/>
      <w:r w:rsidR="00101EDE" w:rsidRPr="00101EDE">
        <w:rPr>
          <w:rFonts w:ascii="Times New Roman" w:hAnsi="Times New Roman" w:cs="Times New Roman"/>
        </w:rPr>
        <w:t>Anesthesiologists</w:t>
      </w:r>
      <w:proofErr w:type="spellEnd"/>
      <w:r w:rsidR="00101EDE" w:rsidRPr="00101EDE">
        <w:rPr>
          <w:rFonts w:ascii="Times New Roman" w:hAnsi="Times New Roman" w:cs="Times New Roman"/>
        </w:rPr>
        <w:t xml:space="preserve">/European Association of Cardiothoracic Anaesthetists Practice Advisory for the Management of Perioperative Atrial Fibrillation in Patients Undergoing Cardiac Surgery. J </w:t>
      </w:r>
      <w:proofErr w:type="spellStart"/>
      <w:r w:rsidR="00101EDE" w:rsidRPr="00101EDE">
        <w:rPr>
          <w:rFonts w:ascii="Times New Roman" w:hAnsi="Times New Roman" w:cs="Times New Roman"/>
        </w:rPr>
        <w:t>Cardiothorac</w:t>
      </w:r>
      <w:proofErr w:type="spellEnd"/>
      <w:r w:rsidR="00101EDE" w:rsidRPr="00101EDE">
        <w:rPr>
          <w:rFonts w:ascii="Times New Roman" w:hAnsi="Times New Roman" w:cs="Times New Roman"/>
        </w:rPr>
        <w:t xml:space="preserve"> </w:t>
      </w:r>
      <w:proofErr w:type="spellStart"/>
      <w:r w:rsidR="00101EDE" w:rsidRPr="00101EDE">
        <w:rPr>
          <w:rFonts w:ascii="Times New Roman" w:hAnsi="Times New Roman" w:cs="Times New Roman"/>
        </w:rPr>
        <w:t>Vasc</w:t>
      </w:r>
      <w:proofErr w:type="spellEnd"/>
      <w:r w:rsidR="00101EDE" w:rsidRPr="00101EDE">
        <w:rPr>
          <w:rFonts w:ascii="Times New Roman" w:hAnsi="Times New Roman" w:cs="Times New Roman"/>
        </w:rPr>
        <w:t xml:space="preserve"> Anesth. 2019;33(1):12-26.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10.1053/j.jvca.2018.09.039.</w:t>
      </w:r>
    </w:p>
    <w:p w14:paraId="0FC6F37D" w14:textId="77777777" w:rsidR="005C655F" w:rsidRPr="00D30F6D" w:rsidRDefault="005C655F" w:rsidP="000574B9">
      <w:pPr>
        <w:spacing w:after="0" w:line="240" w:lineRule="auto"/>
        <w:jc w:val="both"/>
        <w:rPr>
          <w:rFonts w:ascii="Times New Roman" w:hAnsi="Times New Roman" w:cs="Times New Roman"/>
        </w:rPr>
      </w:pPr>
    </w:p>
    <w:p w14:paraId="29CE4922" w14:textId="3CC61E94" w:rsidR="007638E7" w:rsidRDefault="00B60986" w:rsidP="000574B9">
      <w:pPr>
        <w:spacing w:after="0" w:line="240" w:lineRule="auto"/>
        <w:jc w:val="both"/>
        <w:rPr>
          <w:rFonts w:ascii="Times New Roman" w:hAnsi="Times New Roman" w:cs="Times New Roman"/>
        </w:rPr>
      </w:pPr>
      <w:r w:rsidRPr="00D30F6D">
        <w:rPr>
          <w:rFonts w:ascii="Times New Roman" w:hAnsi="Times New Roman" w:cs="Times New Roman"/>
        </w:rPr>
        <w:t>2</w:t>
      </w:r>
      <w:r w:rsidR="007638E7" w:rsidRPr="00D30F6D">
        <w:rPr>
          <w:rFonts w:ascii="Times New Roman" w:hAnsi="Times New Roman" w:cs="Times New Roman"/>
        </w:rPr>
        <w:t>6.</w:t>
      </w:r>
      <w:r w:rsidR="00E474E8" w:rsidRPr="00D30F6D">
        <w:rPr>
          <w:rFonts w:ascii="Times New Roman" w:hAnsi="Times New Roman" w:cs="Times New Roman"/>
        </w:rPr>
        <w:t xml:space="preserve"> </w:t>
      </w:r>
      <w:proofErr w:type="spellStart"/>
      <w:r w:rsidR="00101EDE" w:rsidRPr="00101EDE">
        <w:rPr>
          <w:rFonts w:ascii="Times New Roman" w:hAnsi="Times New Roman" w:cs="Times New Roman"/>
        </w:rPr>
        <w:t>Kakihana</w:t>
      </w:r>
      <w:proofErr w:type="spellEnd"/>
      <w:r w:rsidR="00101EDE" w:rsidRPr="00101EDE">
        <w:rPr>
          <w:rFonts w:ascii="Times New Roman" w:hAnsi="Times New Roman" w:cs="Times New Roman"/>
        </w:rPr>
        <w:t xml:space="preserve"> Y, Nishida O, Taniguchi T, Okajima M, </w:t>
      </w:r>
      <w:proofErr w:type="spellStart"/>
      <w:r w:rsidR="00101EDE" w:rsidRPr="00101EDE">
        <w:rPr>
          <w:rFonts w:ascii="Times New Roman" w:hAnsi="Times New Roman" w:cs="Times New Roman"/>
        </w:rPr>
        <w:t>Morimatsu</w:t>
      </w:r>
      <w:proofErr w:type="spellEnd"/>
      <w:r w:rsidR="00101EDE" w:rsidRPr="00101EDE">
        <w:rPr>
          <w:rFonts w:ascii="Times New Roman" w:hAnsi="Times New Roman" w:cs="Times New Roman"/>
        </w:rPr>
        <w:t xml:space="preserve"> H, Ogura H, et al. Efficacy and safety of landiolol, an ultra-short-acting β1-selective antagonist, for treatment of sepsis-related tachyarrhythmia (J-Land 3S): a multicentre, open-label, randomised controlled trial. The Lancet Respiratory Medicine. 2020;8(9):863-72.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10.1016/S2213-2600(20)30037-0.</w:t>
      </w:r>
    </w:p>
    <w:p w14:paraId="478FA2B0" w14:textId="77777777" w:rsidR="005C655F" w:rsidRPr="00D30F6D" w:rsidRDefault="005C655F" w:rsidP="000574B9">
      <w:pPr>
        <w:spacing w:after="0" w:line="240" w:lineRule="auto"/>
        <w:jc w:val="both"/>
        <w:rPr>
          <w:rFonts w:ascii="Times New Roman" w:hAnsi="Times New Roman" w:cs="Times New Roman"/>
        </w:rPr>
      </w:pPr>
    </w:p>
    <w:p w14:paraId="12ED4C7B" w14:textId="6FA03F65"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27.</w:t>
      </w:r>
      <w:r w:rsidR="007B040A" w:rsidRPr="00D30F6D">
        <w:rPr>
          <w:rFonts w:ascii="Times New Roman" w:hAnsi="Times New Roman" w:cs="Times New Roman"/>
        </w:rPr>
        <w:t xml:space="preserve"> </w:t>
      </w:r>
      <w:r w:rsidR="00101EDE" w:rsidRPr="00101EDE">
        <w:rPr>
          <w:rFonts w:ascii="Times New Roman" w:hAnsi="Times New Roman" w:cs="Times New Roman"/>
        </w:rPr>
        <w:t xml:space="preserve">Okajima M, Takamura M, Taniguchi T. Landiolol, an ultra-short-acting β1-blocker, is useful for managing supraventricular tachyarrhythmias in sepsis. World J Crit Care Med. 2015;4(3):251-7.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10.5492/</w:t>
      </w:r>
      <w:proofErr w:type="gramStart"/>
      <w:r w:rsidR="00101EDE" w:rsidRPr="00101EDE">
        <w:rPr>
          <w:rFonts w:ascii="Times New Roman" w:hAnsi="Times New Roman" w:cs="Times New Roman"/>
        </w:rPr>
        <w:t>wjccm.v4.i</w:t>
      </w:r>
      <w:proofErr w:type="gramEnd"/>
      <w:r w:rsidR="00101EDE" w:rsidRPr="00101EDE">
        <w:rPr>
          <w:rFonts w:ascii="Times New Roman" w:hAnsi="Times New Roman" w:cs="Times New Roman"/>
        </w:rPr>
        <w:t>3.251.</w:t>
      </w:r>
    </w:p>
    <w:p w14:paraId="566724A1" w14:textId="77777777" w:rsidR="005C655F" w:rsidRPr="00D30F6D" w:rsidRDefault="005C655F" w:rsidP="000574B9">
      <w:pPr>
        <w:spacing w:after="0" w:line="240" w:lineRule="auto"/>
        <w:jc w:val="both"/>
        <w:rPr>
          <w:rFonts w:ascii="Times New Roman" w:hAnsi="Times New Roman" w:cs="Times New Roman"/>
        </w:rPr>
      </w:pPr>
    </w:p>
    <w:p w14:paraId="4FF9A7DE" w14:textId="4BFA8127"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28.</w:t>
      </w:r>
      <w:r w:rsidR="00AD7467" w:rsidRPr="00D30F6D">
        <w:rPr>
          <w:rFonts w:ascii="Times New Roman" w:hAnsi="Times New Roman" w:cs="Times New Roman"/>
        </w:rPr>
        <w:t xml:space="preserve"> </w:t>
      </w:r>
      <w:r w:rsidR="00101EDE" w:rsidRPr="00101EDE">
        <w:rPr>
          <w:rFonts w:ascii="Times New Roman" w:hAnsi="Times New Roman" w:cs="Times New Roman"/>
        </w:rPr>
        <w:t xml:space="preserve">Matsuda N, Nishida O, Taniguchi T, Okajima M, </w:t>
      </w:r>
      <w:proofErr w:type="spellStart"/>
      <w:r w:rsidR="00101EDE" w:rsidRPr="00101EDE">
        <w:rPr>
          <w:rFonts w:ascii="Times New Roman" w:hAnsi="Times New Roman" w:cs="Times New Roman"/>
        </w:rPr>
        <w:t>Morimatsu</w:t>
      </w:r>
      <w:proofErr w:type="spellEnd"/>
      <w:r w:rsidR="00101EDE" w:rsidRPr="00101EDE">
        <w:rPr>
          <w:rFonts w:ascii="Times New Roman" w:hAnsi="Times New Roman" w:cs="Times New Roman"/>
        </w:rPr>
        <w:t xml:space="preserve"> H, Ogura H, et al. Impact of patient characteristics on the efficacy and safety of landiolol in patients with sepsis-related tachyarrhythmia: </w:t>
      </w:r>
      <w:proofErr w:type="spellStart"/>
      <w:r w:rsidR="00101EDE" w:rsidRPr="00101EDE">
        <w:rPr>
          <w:rFonts w:ascii="Times New Roman" w:hAnsi="Times New Roman" w:cs="Times New Roman"/>
        </w:rPr>
        <w:t>Subanalysis</w:t>
      </w:r>
      <w:proofErr w:type="spellEnd"/>
      <w:r w:rsidR="00101EDE" w:rsidRPr="00101EDE">
        <w:rPr>
          <w:rFonts w:ascii="Times New Roman" w:hAnsi="Times New Roman" w:cs="Times New Roman"/>
        </w:rPr>
        <w:t xml:space="preserve"> of the J-Land 3S randomised controlled study. </w:t>
      </w:r>
      <w:proofErr w:type="spellStart"/>
      <w:r w:rsidR="00101EDE" w:rsidRPr="00101EDE">
        <w:rPr>
          <w:rFonts w:ascii="Times New Roman" w:hAnsi="Times New Roman" w:cs="Times New Roman"/>
        </w:rPr>
        <w:t>EClinicalMedicine</w:t>
      </w:r>
      <w:proofErr w:type="spellEnd"/>
      <w:r w:rsidR="00101EDE" w:rsidRPr="00101EDE">
        <w:rPr>
          <w:rFonts w:ascii="Times New Roman" w:hAnsi="Times New Roman" w:cs="Times New Roman"/>
        </w:rPr>
        <w:t xml:space="preserve">. </w:t>
      </w:r>
      <w:proofErr w:type="gramStart"/>
      <w:r w:rsidR="00101EDE" w:rsidRPr="00101EDE">
        <w:rPr>
          <w:rFonts w:ascii="Times New Roman" w:hAnsi="Times New Roman" w:cs="Times New Roman"/>
        </w:rPr>
        <w:t>2020;28:100571</w:t>
      </w:r>
      <w:proofErr w:type="gramEnd"/>
      <w:r w:rsidR="00101EDE" w:rsidRPr="00101EDE">
        <w:rPr>
          <w:rFonts w:ascii="Times New Roman" w:hAnsi="Times New Roman" w:cs="Times New Roman"/>
        </w:rPr>
        <w:t xml:space="preserve">. </w:t>
      </w:r>
      <w:proofErr w:type="gramStart"/>
      <w:r w:rsidR="00101EDE" w:rsidRPr="00101EDE">
        <w:rPr>
          <w:rFonts w:ascii="Times New Roman" w:hAnsi="Times New Roman" w:cs="Times New Roman"/>
        </w:rPr>
        <w:t>doi:10.1016/j.eclinm</w:t>
      </w:r>
      <w:proofErr w:type="gramEnd"/>
      <w:r w:rsidR="00101EDE" w:rsidRPr="00101EDE">
        <w:rPr>
          <w:rFonts w:ascii="Times New Roman" w:hAnsi="Times New Roman" w:cs="Times New Roman"/>
        </w:rPr>
        <w:t>.2020.100571.</w:t>
      </w:r>
    </w:p>
    <w:p w14:paraId="0A30EAC3" w14:textId="77777777" w:rsidR="005C655F" w:rsidRPr="00D30F6D" w:rsidRDefault="005C655F" w:rsidP="000574B9">
      <w:pPr>
        <w:spacing w:after="0" w:line="240" w:lineRule="auto"/>
        <w:jc w:val="both"/>
        <w:rPr>
          <w:rFonts w:ascii="Times New Roman" w:hAnsi="Times New Roman" w:cs="Times New Roman"/>
        </w:rPr>
      </w:pPr>
    </w:p>
    <w:p w14:paraId="169334AD" w14:textId="0DC386B4"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29.</w:t>
      </w:r>
      <w:r w:rsidR="00D948D0" w:rsidRPr="00D30F6D">
        <w:rPr>
          <w:rFonts w:ascii="Times New Roman" w:hAnsi="Times New Roman" w:cs="Times New Roman"/>
        </w:rPr>
        <w:t xml:space="preserve"> </w:t>
      </w:r>
      <w:r w:rsidR="00101EDE" w:rsidRPr="00101EDE">
        <w:rPr>
          <w:rFonts w:ascii="Times New Roman" w:hAnsi="Times New Roman" w:cs="Times New Roman"/>
        </w:rPr>
        <w:t xml:space="preserve">Rehberg S, Frank S, Černý V, Cihlar R, </w:t>
      </w:r>
      <w:proofErr w:type="spellStart"/>
      <w:r w:rsidR="00101EDE" w:rsidRPr="00101EDE">
        <w:rPr>
          <w:rFonts w:ascii="Times New Roman" w:hAnsi="Times New Roman" w:cs="Times New Roman"/>
        </w:rPr>
        <w:t>Borgstedt</w:t>
      </w:r>
      <w:proofErr w:type="spellEnd"/>
      <w:r w:rsidR="00101EDE" w:rsidRPr="00101EDE">
        <w:rPr>
          <w:rFonts w:ascii="Times New Roman" w:hAnsi="Times New Roman" w:cs="Times New Roman"/>
        </w:rPr>
        <w:t xml:space="preserve"> R, Biancofiore G, et al. Landiolol for heart rate control in patients with septic shock and persistent tachycardia. A </w:t>
      </w:r>
      <w:proofErr w:type="spellStart"/>
      <w:r w:rsidR="00101EDE" w:rsidRPr="00101EDE">
        <w:rPr>
          <w:rFonts w:ascii="Times New Roman" w:hAnsi="Times New Roman" w:cs="Times New Roman"/>
        </w:rPr>
        <w:t>multicenter</w:t>
      </w:r>
      <w:proofErr w:type="spellEnd"/>
      <w:r w:rsidR="00101EDE" w:rsidRPr="00101EDE">
        <w:rPr>
          <w:rFonts w:ascii="Times New Roman" w:hAnsi="Times New Roman" w:cs="Times New Roman"/>
        </w:rPr>
        <w:t xml:space="preserve"> randomized clinical trial (Landi-SEP). Intensive Care Med. 2024;50(10):1622-34. doi:10.1007/s00134-024-07587-1.</w:t>
      </w:r>
    </w:p>
    <w:p w14:paraId="290F52EB" w14:textId="77777777" w:rsidR="005C655F" w:rsidRPr="00D30F6D" w:rsidRDefault="005C655F" w:rsidP="000574B9">
      <w:pPr>
        <w:spacing w:after="0" w:line="240" w:lineRule="auto"/>
        <w:jc w:val="both"/>
        <w:rPr>
          <w:rFonts w:ascii="Times New Roman" w:hAnsi="Times New Roman" w:cs="Times New Roman"/>
        </w:rPr>
      </w:pPr>
    </w:p>
    <w:p w14:paraId="2595B37C" w14:textId="1E87F7D0" w:rsidR="007638E7" w:rsidRDefault="007638E7" w:rsidP="000574B9">
      <w:pPr>
        <w:spacing w:after="0" w:line="240" w:lineRule="auto"/>
        <w:jc w:val="both"/>
        <w:rPr>
          <w:rFonts w:ascii="Times New Roman" w:hAnsi="Times New Roman" w:cs="Times New Roman"/>
        </w:rPr>
      </w:pPr>
      <w:r w:rsidRPr="00D30F6D">
        <w:rPr>
          <w:rFonts w:ascii="Times New Roman" w:hAnsi="Times New Roman" w:cs="Times New Roman"/>
        </w:rPr>
        <w:t>30.</w:t>
      </w:r>
      <w:r w:rsidR="00BA7BAB" w:rsidRPr="00D30F6D">
        <w:rPr>
          <w:rFonts w:ascii="Times New Roman" w:hAnsi="Times New Roman" w:cs="Times New Roman"/>
        </w:rPr>
        <w:t xml:space="preserve"> </w:t>
      </w:r>
      <w:r w:rsidR="00101EDE" w:rsidRPr="00101EDE">
        <w:rPr>
          <w:rFonts w:ascii="Times New Roman" w:hAnsi="Times New Roman" w:cs="Times New Roman"/>
        </w:rPr>
        <w:t xml:space="preserve">Iwahashi N, Takahashi H, Abe T, Okada K, Akiyama E, Matsuzawa Y, et al. Urgent Control of Rapid Atrial Fibrillation by Landiolol in Patients </w:t>
      </w:r>
      <w:proofErr w:type="gramStart"/>
      <w:r w:rsidR="00101EDE" w:rsidRPr="00101EDE">
        <w:rPr>
          <w:rFonts w:ascii="Times New Roman" w:hAnsi="Times New Roman" w:cs="Times New Roman"/>
        </w:rPr>
        <w:t>With</w:t>
      </w:r>
      <w:proofErr w:type="gramEnd"/>
      <w:r w:rsidR="00101EDE" w:rsidRPr="00101EDE">
        <w:rPr>
          <w:rFonts w:ascii="Times New Roman" w:hAnsi="Times New Roman" w:cs="Times New Roman"/>
        </w:rPr>
        <w:t xml:space="preserve"> Acute Decompensated Heart Failure </w:t>
      </w:r>
      <w:proofErr w:type="gramStart"/>
      <w:r w:rsidR="00101EDE" w:rsidRPr="00101EDE">
        <w:rPr>
          <w:rFonts w:ascii="Times New Roman" w:hAnsi="Times New Roman" w:cs="Times New Roman"/>
        </w:rPr>
        <w:t>With</w:t>
      </w:r>
      <w:proofErr w:type="gramEnd"/>
      <w:r w:rsidR="00101EDE" w:rsidRPr="00101EDE">
        <w:rPr>
          <w:rFonts w:ascii="Times New Roman" w:hAnsi="Times New Roman" w:cs="Times New Roman"/>
        </w:rPr>
        <w:t xml:space="preserve"> Severely Reduced Ejection Fraction. Circulation Reports. 2019;1(10):422-30.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10.1253/circrep.CR-19-0076.</w:t>
      </w:r>
    </w:p>
    <w:p w14:paraId="0B3F3DA5" w14:textId="77777777" w:rsidR="005C655F" w:rsidRPr="00D30F6D" w:rsidRDefault="005C655F" w:rsidP="000574B9">
      <w:pPr>
        <w:spacing w:after="0" w:line="240" w:lineRule="auto"/>
        <w:jc w:val="both"/>
        <w:rPr>
          <w:rFonts w:ascii="Times New Roman" w:hAnsi="Times New Roman" w:cs="Times New Roman"/>
        </w:rPr>
      </w:pPr>
    </w:p>
    <w:p w14:paraId="6F3AF50A" w14:textId="6275EAEF" w:rsidR="00BB031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31.</w:t>
      </w:r>
      <w:r w:rsidR="00F9221D" w:rsidRPr="00D30F6D">
        <w:rPr>
          <w:rFonts w:ascii="Times New Roman" w:hAnsi="Times New Roman" w:cs="Times New Roman"/>
        </w:rPr>
        <w:t xml:space="preserve"> </w:t>
      </w:r>
      <w:r w:rsidR="00101EDE" w:rsidRPr="00101EDE">
        <w:rPr>
          <w:rFonts w:ascii="Times New Roman" w:hAnsi="Times New Roman" w:cs="Times New Roman"/>
        </w:rPr>
        <w:t xml:space="preserve">Kinugawa K, Nagai R, Inoue H, </w:t>
      </w:r>
      <w:proofErr w:type="spellStart"/>
      <w:r w:rsidR="00101EDE" w:rsidRPr="00101EDE">
        <w:rPr>
          <w:rFonts w:ascii="Times New Roman" w:hAnsi="Times New Roman" w:cs="Times New Roman"/>
        </w:rPr>
        <w:t>Atarashi</w:t>
      </w:r>
      <w:proofErr w:type="spellEnd"/>
      <w:r w:rsidR="00101EDE" w:rsidRPr="00101EDE">
        <w:rPr>
          <w:rFonts w:ascii="Times New Roman" w:hAnsi="Times New Roman" w:cs="Times New Roman"/>
        </w:rPr>
        <w:t xml:space="preserve"> H, Seino Y, Yamashita T, et al. Impacts of patient characteristics on the effectiveness of landiolol in AF/AFL patients complicated with LV dysfunction: Subgroup analysis of the J-Land study. Adv Ther. 2014;31(4):426-39.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10.1007/s12325-014-0111-2.</w:t>
      </w:r>
      <w:r w:rsidR="00F9221D" w:rsidRPr="00D30F6D">
        <w:rPr>
          <w:rFonts w:ascii="Times New Roman" w:hAnsi="Times New Roman" w:cs="Times New Roman"/>
        </w:rPr>
        <w:t xml:space="preserve"> </w:t>
      </w:r>
    </w:p>
    <w:p w14:paraId="54181630" w14:textId="77777777" w:rsidR="005C655F" w:rsidRPr="00D30F6D" w:rsidRDefault="005C655F" w:rsidP="000574B9">
      <w:pPr>
        <w:spacing w:after="0" w:line="240" w:lineRule="auto"/>
        <w:jc w:val="both"/>
        <w:rPr>
          <w:rFonts w:ascii="Times New Roman" w:hAnsi="Times New Roman" w:cs="Times New Roman"/>
        </w:rPr>
      </w:pPr>
    </w:p>
    <w:p w14:paraId="4EB26EEC" w14:textId="2B242AC0"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32.</w:t>
      </w:r>
      <w:r w:rsidR="00B00631" w:rsidRPr="00D30F6D">
        <w:rPr>
          <w:rFonts w:ascii="Times New Roman" w:hAnsi="Times New Roman" w:cs="Times New Roman"/>
        </w:rPr>
        <w:t xml:space="preserve"> </w:t>
      </w:r>
      <w:r w:rsidR="00101EDE" w:rsidRPr="00101EDE">
        <w:rPr>
          <w:rFonts w:ascii="Times New Roman" w:hAnsi="Times New Roman" w:cs="Times New Roman"/>
        </w:rPr>
        <w:t xml:space="preserve">Nagai R, Kinugawa K, Inoue H, </w:t>
      </w:r>
      <w:proofErr w:type="spellStart"/>
      <w:r w:rsidR="00101EDE" w:rsidRPr="00101EDE">
        <w:rPr>
          <w:rFonts w:ascii="Times New Roman" w:hAnsi="Times New Roman" w:cs="Times New Roman"/>
        </w:rPr>
        <w:t>Atarashi</w:t>
      </w:r>
      <w:proofErr w:type="spellEnd"/>
      <w:r w:rsidR="00101EDE" w:rsidRPr="00101EDE">
        <w:rPr>
          <w:rFonts w:ascii="Times New Roman" w:hAnsi="Times New Roman" w:cs="Times New Roman"/>
        </w:rPr>
        <w:t xml:space="preserve"> H, Seino Y, Yamashita T, et al. Urgent management of rapid heart rate in patients with atrial fibrillation/flutter and left ventricular dysfunction: comparison of the ultra-short-acting β1-selective blocker landiolol with digoxin (J-Land Study). </w:t>
      </w:r>
      <w:proofErr w:type="spellStart"/>
      <w:r w:rsidR="00101EDE" w:rsidRPr="00101EDE">
        <w:rPr>
          <w:rFonts w:ascii="Times New Roman" w:hAnsi="Times New Roman" w:cs="Times New Roman"/>
        </w:rPr>
        <w:t>Circ</w:t>
      </w:r>
      <w:proofErr w:type="spellEnd"/>
      <w:r w:rsidR="00101EDE" w:rsidRPr="00101EDE">
        <w:rPr>
          <w:rFonts w:ascii="Times New Roman" w:hAnsi="Times New Roman" w:cs="Times New Roman"/>
        </w:rPr>
        <w:t xml:space="preserve"> J. 2013;77(4):908-16.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w:t>
      </w:r>
      <w:proofErr w:type="gramStart"/>
      <w:r w:rsidR="00101EDE" w:rsidRPr="00101EDE">
        <w:rPr>
          <w:rFonts w:ascii="Times New Roman" w:hAnsi="Times New Roman" w:cs="Times New Roman"/>
        </w:rPr>
        <w:t>circj.cj</w:t>
      </w:r>
      <w:proofErr w:type="gramEnd"/>
      <w:r w:rsidR="00101EDE" w:rsidRPr="00101EDE">
        <w:rPr>
          <w:rFonts w:ascii="Times New Roman" w:hAnsi="Times New Roman" w:cs="Times New Roman"/>
        </w:rPr>
        <w:t>-12-1618.</w:t>
      </w:r>
    </w:p>
    <w:p w14:paraId="63CC8FCD" w14:textId="77777777" w:rsidR="005C655F" w:rsidRPr="00D30F6D" w:rsidRDefault="005C655F" w:rsidP="000574B9">
      <w:pPr>
        <w:spacing w:after="0" w:line="240" w:lineRule="auto"/>
        <w:jc w:val="both"/>
        <w:rPr>
          <w:rFonts w:ascii="Times New Roman" w:hAnsi="Times New Roman" w:cs="Times New Roman"/>
        </w:rPr>
      </w:pPr>
    </w:p>
    <w:p w14:paraId="20FE066F" w14:textId="62CA20A2"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33.</w:t>
      </w:r>
      <w:r w:rsidR="001A6165" w:rsidRPr="00D30F6D">
        <w:rPr>
          <w:rFonts w:ascii="Times New Roman" w:hAnsi="Times New Roman" w:cs="Times New Roman"/>
        </w:rPr>
        <w:t xml:space="preserve"> </w:t>
      </w:r>
      <w:r w:rsidR="00101EDE" w:rsidRPr="00101EDE">
        <w:rPr>
          <w:rFonts w:ascii="Times New Roman" w:hAnsi="Times New Roman" w:cs="Times New Roman"/>
        </w:rPr>
        <w:t xml:space="preserve">Shinohara M, Wada R, Yano K, </w:t>
      </w:r>
      <w:proofErr w:type="spellStart"/>
      <w:r w:rsidR="00101EDE" w:rsidRPr="00101EDE">
        <w:rPr>
          <w:rFonts w:ascii="Times New Roman" w:hAnsi="Times New Roman" w:cs="Times New Roman"/>
        </w:rPr>
        <w:t>Akitsu</w:t>
      </w:r>
      <w:proofErr w:type="spellEnd"/>
      <w:r w:rsidR="00101EDE" w:rsidRPr="00101EDE">
        <w:rPr>
          <w:rFonts w:ascii="Times New Roman" w:hAnsi="Times New Roman" w:cs="Times New Roman"/>
        </w:rPr>
        <w:t xml:space="preserve"> K, Koike H, Kinoshita T, et al. Comparison of Landiolol and Digoxin as an Intravenous Drug for Controlling the Heart Rate in Patients with Atrial Fibrillation and Severely Depressed Left Ventricular Function. Int Heart J. 2020;61(5):944-50.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10.1536/ihj.20-256.</w:t>
      </w:r>
    </w:p>
    <w:p w14:paraId="65E6294B" w14:textId="77777777" w:rsidR="00690BB7" w:rsidRPr="00D30F6D" w:rsidRDefault="00690BB7" w:rsidP="000574B9">
      <w:pPr>
        <w:spacing w:after="0" w:line="240" w:lineRule="auto"/>
        <w:jc w:val="both"/>
        <w:rPr>
          <w:rFonts w:ascii="Times New Roman" w:hAnsi="Times New Roman" w:cs="Times New Roman"/>
        </w:rPr>
      </w:pPr>
    </w:p>
    <w:p w14:paraId="3A59614E" w14:textId="3161E8D5"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34.</w:t>
      </w:r>
      <w:r w:rsidR="00521A53" w:rsidRPr="00D30F6D">
        <w:rPr>
          <w:rFonts w:ascii="Times New Roman" w:hAnsi="Times New Roman" w:cs="Times New Roman"/>
        </w:rPr>
        <w:t xml:space="preserve"> </w:t>
      </w:r>
      <w:r w:rsidR="00101EDE" w:rsidRPr="00101EDE">
        <w:rPr>
          <w:rFonts w:ascii="Times New Roman" w:hAnsi="Times New Roman" w:cs="Times New Roman"/>
        </w:rPr>
        <w:t xml:space="preserve">Yamashita T, </w:t>
      </w:r>
      <w:proofErr w:type="spellStart"/>
      <w:r w:rsidR="00101EDE" w:rsidRPr="00101EDE">
        <w:rPr>
          <w:rFonts w:ascii="Times New Roman" w:hAnsi="Times New Roman" w:cs="Times New Roman"/>
        </w:rPr>
        <w:t>Nakasu</w:t>
      </w:r>
      <w:proofErr w:type="spellEnd"/>
      <w:r w:rsidR="00101EDE" w:rsidRPr="00101EDE">
        <w:rPr>
          <w:rFonts w:ascii="Times New Roman" w:hAnsi="Times New Roman" w:cs="Times New Roman"/>
        </w:rPr>
        <w:t xml:space="preserve"> Y, Mizutani H, </w:t>
      </w:r>
      <w:proofErr w:type="spellStart"/>
      <w:r w:rsidR="00101EDE" w:rsidRPr="00101EDE">
        <w:rPr>
          <w:rFonts w:ascii="Times New Roman" w:hAnsi="Times New Roman" w:cs="Times New Roman"/>
        </w:rPr>
        <w:t>Sumitani</w:t>
      </w:r>
      <w:proofErr w:type="spellEnd"/>
      <w:r w:rsidR="00101EDE" w:rsidRPr="00101EDE">
        <w:rPr>
          <w:rFonts w:ascii="Times New Roman" w:hAnsi="Times New Roman" w:cs="Times New Roman"/>
        </w:rPr>
        <w:t xml:space="preserve"> K. A prospective observational survey on landiolol in atrial fibrillation/atrial flutter patients with chronic heart failure - AF-CHF landiolol survey. J Cardiol. 2019;74(5):418-25.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10.1016/j.jjcc.2019.05.012.</w:t>
      </w:r>
    </w:p>
    <w:p w14:paraId="20538138" w14:textId="77777777" w:rsidR="005C655F" w:rsidRPr="00D30F6D" w:rsidRDefault="005C655F" w:rsidP="000574B9">
      <w:pPr>
        <w:spacing w:after="0" w:line="240" w:lineRule="auto"/>
        <w:jc w:val="both"/>
        <w:rPr>
          <w:rFonts w:ascii="Times New Roman" w:hAnsi="Times New Roman" w:cs="Times New Roman"/>
        </w:rPr>
      </w:pPr>
    </w:p>
    <w:p w14:paraId="05992EA4" w14:textId="6DA5C19A" w:rsidR="009D665D" w:rsidRDefault="009D665D" w:rsidP="000574B9">
      <w:pPr>
        <w:spacing w:after="0" w:line="240" w:lineRule="auto"/>
        <w:jc w:val="both"/>
        <w:rPr>
          <w:rFonts w:ascii="Times New Roman" w:hAnsi="Times New Roman" w:cs="Times New Roman"/>
        </w:rPr>
      </w:pPr>
      <w:r w:rsidRPr="00D30F6D">
        <w:rPr>
          <w:rFonts w:ascii="Times New Roman" w:hAnsi="Times New Roman" w:cs="Times New Roman"/>
        </w:rPr>
        <w:t>35.</w:t>
      </w:r>
      <w:r w:rsidR="00111914" w:rsidRPr="00D30F6D">
        <w:rPr>
          <w:rFonts w:ascii="Times New Roman" w:hAnsi="Times New Roman" w:cs="Times New Roman"/>
        </w:rPr>
        <w:t xml:space="preserve"> </w:t>
      </w:r>
      <w:r w:rsidR="00101EDE" w:rsidRPr="00101EDE">
        <w:rPr>
          <w:rFonts w:ascii="Times New Roman" w:hAnsi="Times New Roman" w:cs="Times New Roman"/>
        </w:rPr>
        <w:t xml:space="preserve">Yamashita T, </w:t>
      </w:r>
      <w:proofErr w:type="spellStart"/>
      <w:r w:rsidR="00101EDE" w:rsidRPr="00101EDE">
        <w:rPr>
          <w:rFonts w:ascii="Times New Roman" w:hAnsi="Times New Roman" w:cs="Times New Roman"/>
        </w:rPr>
        <w:t>Nakasu</w:t>
      </w:r>
      <w:proofErr w:type="spellEnd"/>
      <w:r w:rsidR="00101EDE" w:rsidRPr="00101EDE">
        <w:rPr>
          <w:rFonts w:ascii="Times New Roman" w:hAnsi="Times New Roman" w:cs="Times New Roman"/>
        </w:rPr>
        <w:t xml:space="preserve"> Y, Mizutani H, </w:t>
      </w:r>
      <w:proofErr w:type="spellStart"/>
      <w:r w:rsidR="00101EDE" w:rsidRPr="00101EDE">
        <w:rPr>
          <w:rFonts w:ascii="Times New Roman" w:hAnsi="Times New Roman" w:cs="Times New Roman"/>
        </w:rPr>
        <w:t>Sumitani</w:t>
      </w:r>
      <w:proofErr w:type="spellEnd"/>
      <w:r w:rsidR="00101EDE" w:rsidRPr="00101EDE">
        <w:rPr>
          <w:rFonts w:ascii="Times New Roman" w:hAnsi="Times New Roman" w:cs="Times New Roman"/>
        </w:rPr>
        <w:t xml:space="preserve"> K. Mid-Term Prognosis After Landiolol Treatment in Atrial Fibrillation/Atrial Flutter Patients </w:t>
      </w:r>
      <w:proofErr w:type="gramStart"/>
      <w:r w:rsidR="00101EDE" w:rsidRPr="00101EDE">
        <w:rPr>
          <w:rFonts w:ascii="Times New Roman" w:hAnsi="Times New Roman" w:cs="Times New Roman"/>
        </w:rPr>
        <w:t>With</w:t>
      </w:r>
      <w:proofErr w:type="gramEnd"/>
      <w:r w:rsidR="00101EDE" w:rsidRPr="00101EDE">
        <w:rPr>
          <w:rFonts w:ascii="Times New Roman" w:hAnsi="Times New Roman" w:cs="Times New Roman"/>
        </w:rPr>
        <w:t xml:space="preserve"> Chronic Heart Failure - A Prospective Observational Survey (AF-CHF Landiolol Survey). </w:t>
      </w:r>
      <w:proofErr w:type="spellStart"/>
      <w:r w:rsidR="00101EDE" w:rsidRPr="00101EDE">
        <w:rPr>
          <w:rFonts w:ascii="Times New Roman" w:hAnsi="Times New Roman" w:cs="Times New Roman"/>
        </w:rPr>
        <w:t>Circ</w:t>
      </w:r>
      <w:proofErr w:type="spellEnd"/>
      <w:r w:rsidR="00101EDE" w:rsidRPr="00101EDE">
        <w:rPr>
          <w:rFonts w:ascii="Times New Roman" w:hAnsi="Times New Roman" w:cs="Times New Roman"/>
        </w:rPr>
        <w:t xml:space="preserve"> Rep. 2020;3(1):34-43.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10.1253/circrep.CR-20-0119.</w:t>
      </w:r>
    </w:p>
    <w:p w14:paraId="401AA463" w14:textId="77777777" w:rsidR="005C655F" w:rsidRPr="00D30F6D" w:rsidRDefault="005C655F" w:rsidP="000574B9">
      <w:pPr>
        <w:spacing w:after="0" w:line="240" w:lineRule="auto"/>
        <w:jc w:val="both"/>
        <w:rPr>
          <w:rFonts w:ascii="Times New Roman" w:hAnsi="Times New Roman" w:cs="Times New Roman"/>
        </w:rPr>
      </w:pPr>
    </w:p>
    <w:p w14:paraId="009CC15B" w14:textId="666E96FD" w:rsidR="0029691C" w:rsidRDefault="0029691C" w:rsidP="000574B9">
      <w:pPr>
        <w:spacing w:after="0" w:line="240" w:lineRule="auto"/>
        <w:jc w:val="both"/>
        <w:rPr>
          <w:rFonts w:ascii="Times New Roman" w:hAnsi="Times New Roman" w:cs="Times New Roman"/>
        </w:rPr>
      </w:pPr>
      <w:r w:rsidRPr="00D30F6D">
        <w:rPr>
          <w:rFonts w:ascii="Times New Roman" w:hAnsi="Times New Roman" w:cs="Times New Roman"/>
        </w:rPr>
        <w:lastRenderedPageBreak/>
        <w:t xml:space="preserve">36. </w:t>
      </w:r>
      <w:r w:rsidR="00997147" w:rsidRPr="00D30F6D">
        <w:rPr>
          <w:rFonts w:ascii="Times New Roman" w:hAnsi="Times New Roman" w:cs="Times New Roman"/>
        </w:rPr>
        <w:t>N</w:t>
      </w:r>
      <w:r w:rsidR="00101EDE" w:rsidRPr="00101EDE">
        <w:t xml:space="preserve"> </w:t>
      </w:r>
      <w:r w:rsidR="00101EDE" w:rsidRPr="00101EDE">
        <w:rPr>
          <w:rFonts w:ascii="Times New Roman" w:hAnsi="Times New Roman" w:cs="Times New Roman"/>
        </w:rPr>
        <w:t xml:space="preserve">Naidu SS, Baran DA, </w:t>
      </w:r>
      <w:proofErr w:type="spellStart"/>
      <w:r w:rsidR="00101EDE" w:rsidRPr="00101EDE">
        <w:rPr>
          <w:rFonts w:ascii="Times New Roman" w:hAnsi="Times New Roman" w:cs="Times New Roman"/>
        </w:rPr>
        <w:t>Jentzer</w:t>
      </w:r>
      <w:proofErr w:type="spellEnd"/>
      <w:r w:rsidR="00101EDE" w:rsidRPr="00101EDE">
        <w:rPr>
          <w:rFonts w:ascii="Times New Roman" w:hAnsi="Times New Roman" w:cs="Times New Roman"/>
        </w:rPr>
        <w:t xml:space="preserve"> JC, Hollenberg SM, van Diepen S, Basir MB, et al. SCAI SHOCK Stage Classification Expert Consensus Update: A Review and Incorporation of Validation Studies: This statement was endorsed by the American College of Cardiology (ACC), American College of Emergency Physicians (ACEP), American Heart Association (AHA), European Society of Cardiology (ESC) Association for Acute Cardiovascular Care (ACVC), International Society for Heart and Lung Transplantation (ISHLT), Society of Critical Care Medicine (SCCM), and Society of Thoracic Surgeons (STS) in December 2021. J Am Coll </w:t>
      </w:r>
      <w:proofErr w:type="spellStart"/>
      <w:r w:rsidR="00101EDE" w:rsidRPr="00101EDE">
        <w:rPr>
          <w:rFonts w:ascii="Times New Roman" w:hAnsi="Times New Roman" w:cs="Times New Roman"/>
        </w:rPr>
        <w:t>Cardiol</w:t>
      </w:r>
      <w:proofErr w:type="spellEnd"/>
      <w:r w:rsidR="00101EDE" w:rsidRPr="00101EDE">
        <w:rPr>
          <w:rFonts w:ascii="Times New Roman" w:hAnsi="Times New Roman" w:cs="Times New Roman"/>
        </w:rPr>
        <w:t xml:space="preserve">. 2022;79(9):933-46.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10.1016/j.jacc.2022.01.018.</w:t>
      </w:r>
    </w:p>
    <w:p w14:paraId="5B9A0DC1" w14:textId="77777777" w:rsidR="005C655F" w:rsidRPr="00D30F6D" w:rsidRDefault="005C655F" w:rsidP="000574B9">
      <w:pPr>
        <w:spacing w:after="0" w:line="240" w:lineRule="auto"/>
        <w:jc w:val="both"/>
        <w:rPr>
          <w:rFonts w:ascii="Times New Roman" w:hAnsi="Times New Roman" w:cs="Times New Roman"/>
        </w:rPr>
      </w:pPr>
    </w:p>
    <w:p w14:paraId="4145CD8B" w14:textId="6AA68334" w:rsidR="00DD0A39" w:rsidRDefault="00DD0A39" w:rsidP="000574B9">
      <w:pPr>
        <w:spacing w:after="0" w:line="240" w:lineRule="auto"/>
        <w:jc w:val="both"/>
        <w:rPr>
          <w:rFonts w:ascii="Times New Roman" w:hAnsi="Times New Roman" w:cs="Times New Roman"/>
        </w:rPr>
      </w:pPr>
      <w:r w:rsidRPr="00D30F6D">
        <w:rPr>
          <w:rFonts w:ascii="Times New Roman" w:hAnsi="Times New Roman" w:cs="Times New Roman"/>
        </w:rPr>
        <w:t xml:space="preserve">37. </w:t>
      </w:r>
      <w:r w:rsidR="00101EDE" w:rsidRPr="00101EDE">
        <w:rPr>
          <w:rFonts w:ascii="Times New Roman" w:hAnsi="Times New Roman" w:cs="Times New Roman"/>
        </w:rPr>
        <w:t xml:space="preserve">Schurtz G, </w:t>
      </w:r>
      <w:proofErr w:type="spellStart"/>
      <w:r w:rsidR="00101EDE" w:rsidRPr="00101EDE">
        <w:rPr>
          <w:rFonts w:ascii="Times New Roman" w:hAnsi="Times New Roman" w:cs="Times New Roman"/>
        </w:rPr>
        <w:t>Mewton</w:t>
      </w:r>
      <w:proofErr w:type="spellEnd"/>
      <w:r w:rsidR="00101EDE" w:rsidRPr="00101EDE">
        <w:rPr>
          <w:rFonts w:ascii="Times New Roman" w:hAnsi="Times New Roman" w:cs="Times New Roman"/>
        </w:rPr>
        <w:t xml:space="preserve"> N, </w:t>
      </w:r>
      <w:proofErr w:type="spellStart"/>
      <w:r w:rsidR="00101EDE" w:rsidRPr="00101EDE">
        <w:rPr>
          <w:rFonts w:ascii="Times New Roman" w:hAnsi="Times New Roman" w:cs="Times New Roman"/>
        </w:rPr>
        <w:t>Lemesle</w:t>
      </w:r>
      <w:proofErr w:type="spellEnd"/>
      <w:r w:rsidR="00101EDE" w:rsidRPr="00101EDE">
        <w:rPr>
          <w:rFonts w:ascii="Times New Roman" w:hAnsi="Times New Roman" w:cs="Times New Roman"/>
        </w:rPr>
        <w:t xml:space="preserve"> G, Delmas C, Levy B, </w:t>
      </w:r>
      <w:proofErr w:type="spellStart"/>
      <w:r w:rsidR="00101EDE" w:rsidRPr="00101EDE">
        <w:rPr>
          <w:rFonts w:ascii="Times New Roman" w:hAnsi="Times New Roman" w:cs="Times New Roman"/>
        </w:rPr>
        <w:t>Puymirat</w:t>
      </w:r>
      <w:proofErr w:type="spellEnd"/>
      <w:r w:rsidR="00101EDE" w:rsidRPr="00101EDE">
        <w:rPr>
          <w:rFonts w:ascii="Times New Roman" w:hAnsi="Times New Roman" w:cs="Times New Roman"/>
        </w:rPr>
        <w:t xml:space="preserve"> E, et al. Beta-blocker management in patients admitted for acute heart failure and reduced ejection fraction: a review and expert consensus opinion. Front Cardiovasc Med. </w:t>
      </w:r>
      <w:proofErr w:type="gramStart"/>
      <w:r w:rsidR="00101EDE" w:rsidRPr="00101EDE">
        <w:rPr>
          <w:rFonts w:ascii="Times New Roman" w:hAnsi="Times New Roman" w:cs="Times New Roman"/>
        </w:rPr>
        <w:t>2023;10:1263482</w:t>
      </w:r>
      <w:proofErr w:type="gramEnd"/>
      <w:r w:rsidR="00101EDE" w:rsidRPr="00101EDE">
        <w:rPr>
          <w:rFonts w:ascii="Times New Roman" w:hAnsi="Times New Roman" w:cs="Times New Roman"/>
        </w:rPr>
        <w:t xml:space="preserve">.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10.3389/fcvm.2023.1263482.</w:t>
      </w:r>
    </w:p>
    <w:p w14:paraId="50AE2142" w14:textId="77777777" w:rsidR="005C655F" w:rsidRPr="00D30F6D" w:rsidRDefault="005C655F" w:rsidP="000574B9">
      <w:pPr>
        <w:spacing w:after="0" w:line="240" w:lineRule="auto"/>
        <w:jc w:val="both"/>
        <w:rPr>
          <w:rFonts w:ascii="Times New Roman" w:hAnsi="Times New Roman" w:cs="Times New Roman"/>
        </w:rPr>
      </w:pPr>
    </w:p>
    <w:p w14:paraId="13B31E7E" w14:textId="3F854AF2" w:rsidR="00921E46" w:rsidRPr="00101EDE" w:rsidRDefault="00921E46" w:rsidP="000574B9">
      <w:pPr>
        <w:spacing w:after="0" w:line="240" w:lineRule="auto"/>
        <w:jc w:val="both"/>
        <w:rPr>
          <w:rFonts w:ascii="Times New Roman" w:hAnsi="Times New Roman" w:cs="Times New Roman"/>
          <w:lang w:val="it-IT"/>
        </w:rPr>
      </w:pPr>
      <w:r w:rsidRPr="00D30F6D">
        <w:rPr>
          <w:rFonts w:ascii="Times New Roman" w:hAnsi="Times New Roman" w:cs="Times New Roman"/>
        </w:rPr>
        <w:t>38.</w:t>
      </w:r>
      <w:r w:rsidR="00FE03E8" w:rsidRPr="00D30F6D">
        <w:rPr>
          <w:rFonts w:ascii="Times New Roman" w:hAnsi="Times New Roman" w:cs="Times New Roman"/>
        </w:rPr>
        <w:t xml:space="preserve"> </w:t>
      </w:r>
      <w:r w:rsidR="00101EDE" w:rsidRPr="00101EDE">
        <w:rPr>
          <w:rFonts w:ascii="Times New Roman" w:hAnsi="Times New Roman" w:cs="Times New Roman"/>
        </w:rPr>
        <w:t xml:space="preserve">Guarracino F, Bertini P, Pinsky MR. Management of cardiovascular insufficiency in ICU: the BEAT approach. </w:t>
      </w:r>
      <w:r w:rsidR="00101EDE" w:rsidRPr="00101EDE">
        <w:rPr>
          <w:rFonts w:ascii="Times New Roman" w:hAnsi="Times New Roman" w:cs="Times New Roman"/>
          <w:lang w:val="it-IT"/>
        </w:rPr>
        <w:t xml:space="preserve">Minerva Anestesiol. 2021;87(4):476-80. </w:t>
      </w:r>
      <w:proofErr w:type="spellStart"/>
      <w:r w:rsidR="00101EDE" w:rsidRPr="00101EDE">
        <w:rPr>
          <w:rFonts w:ascii="Times New Roman" w:hAnsi="Times New Roman" w:cs="Times New Roman"/>
          <w:lang w:val="it-IT"/>
        </w:rPr>
        <w:t>doi</w:t>
      </w:r>
      <w:proofErr w:type="spellEnd"/>
      <w:r w:rsidR="00101EDE" w:rsidRPr="00101EDE">
        <w:rPr>
          <w:rFonts w:ascii="Times New Roman" w:hAnsi="Times New Roman" w:cs="Times New Roman"/>
          <w:lang w:val="it-IT"/>
        </w:rPr>
        <w:t>: 10.23736/S0375-9393.20.14613-3.</w:t>
      </w:r>
    </w:p>
    <w:p w14:paraId="6E677D8F" w14:textId="77777777" w:rsidR="005C655F" w:rsidRPr="00101EDE" w:rsidRDefault="005C655F" w:rsidP="000574B9">
      <w:pPr>
        <w:spacing w:after="0" w:line="240" w:lineRule="auto"/>
        <w:jc w:val="both"/>
        <w:rPr>
          <w:rFonts w:ascii="Times New Roman" w:hAnsi="Times New Roman" w:cs="Times New Roman"/>
          <w:lang w:val="it-IT"/>
        </w:rPr>
      </w:pPr>
    </w:p>
    <w:p w14:paraId="5BDA6964" w14:textId="72767C6B" w:rsidR="00FE03E8" w:rsidRDefault="00FE03E8" w:rsidP="000574B9">
      <w:pPr>
        <w:spacing w:after="0" w:line="240" w:lineRule="auto"/>
        <w:jc w:val="both"/>
        <w:rPr>
          <w:rFonts w:ascii="Times New Roman" w:hAnsi="Times New Roman" w:cs="Times New Roman"/>
        </w:rPr>
      </w:pPr>
      <w:r w:rsidRPr="00101EDE">
        <w:rPr>
          <w:rFonts w:ascii="Times New Roman" w:hAnsi="Times New Roman" w:cs="Times New Roman"/>
          <w:lang w:val="it-IT"/>
        </w:rPr>
        <w:t xml:space="preserve">39. </w:t>
      </w:r>
      <w:r w:rsidR="00101EDE" w:rsidRPr="00101EDE">
        <w:rPr>
          <w:rFonts w:ascii="Times New Roman" w:hAnsi="Times New Roman" w:cs="Times New Roman"/>
          <w:lang w:val="it-IT"/>
        </w:rPr>
        <w:t xml:space="preserve">Levy B, Slama M, </w:t>
      </w:r>
      <w:proofErr w:type="spellStart"/>
      <w:r w:rsidR="00101EDE" w:rsidRPr="00101EDE">
        <w:rPr>
          <w:rFonts w:ascii="Times New Roman" w:hAnsi="Times New Roman" w:cs="Times New Roman"/>
          <w:lang w:val="it-IT"/>
        </w:rPr>
        <w:t>Lakbar</w:t>
      </w:r>
      <w:proofErr w:type="spellEnd"/>
      <w:r w:rsidR="00101EDE" w:rsidRPr="00101EDE">
        <w:rPr>
          <w:rFonts w:ascii="Times New Roman" w:hAnsi="Times New Roman" w:cs="Times New Roman"/>
          <w:lang w:val="it-IT"/>
        </w:rPr>
        <w:t xml:space="preserve"> I, Maizel J, Kato H, Leone M, et al. </w:t>
      </w:r>
      <w:r w:rsidR="00101EDE" w:rsidRPr="00101EDE">
        <w:rPr>
          <w:rFonts w:ascii="Times New Roman" w:hAnsi="Times New Roman" w:cs="Times New Roman"/>
          <w:lang w:val="en-US"/>
        </w:rPr>
        <w:t xml:space="preserve">Landiolol for Treatment of New-Onset Atrial Fibrillation in Critical Care: A Systematic Review. </w:t>
      </w:r>
      <w:r w:rsidR="00101EDE" w:rsidRPr="004363E6">
        <w:rPr>
          <w:rFonts w:ascii="Times New Roman" w:hAnsi="Times New Roman" w:cs="Times New Roman"/>
          <w:lang w:val="en-US"/>
        </w:rPr>
        <w:t xml:space="preserve">J Clin Med. 2024;13(10):2951. </w:t>
      </w:r>
      <w:proofErr w:type="spellStart"/>
      <w:r w:rsidR="00101EDE" w:rsidRPr="004363E6">
        <w:rPr>
          <w:rFonts w:ascii="Times New Roman" w:hAnsi="Times New Roman" w:cs="Times New Roman"/>
          <w:lang w:val="en-US"/>
        </w:rPr>
        <w:t>doi</w:t>
      </w:r>
      <w:proofErr w:type="spellEnd"/>
      <w:r w:rsidR="00101EDE" w:rsidRPr="004363E6">
        <w:rPr>
          <w:rFonts w:ascii="Times New Roman" w:hAnsi="Times New Roman" w:cs="Times New Roman"/>
          <w:lang w:val="en-US"/>
        </w:rPr>
        <w:t>: 10.3390/jcm13102951.</w:t>
      </w:r>
    </w:p>
    <w:p w14:paraId="2129BBF3" w14:textId="77777777" w:rsidR="005C655F" w:rsidRPr="00D30F6D" w:rsidRDefault="005C655F" w:rsidP="000574B9">
      <w:pPr>
        <w:spacing w:after="0" w:line="240" w:lineRule="auto"/>
        <w:jc w:val="both"/>
        <w:rPr>
          <w:rFonts w:ascii="Times New Roman" w:hAnsi="Times New Roman" w:cs="Times New Roman"/>
        </w:rPr>
      </w:pPr>
    </w:p>
    <w:p w14:paraId="1006351B" w14:textId="29831A33" w:rsidR="00101EDE" w:rsidRPr="007C5D5C" w:rsidRDefault="00E87112" w:rsidP="00101EDE">
      <w:pPr>
        <w:spacing w:after="0" w:line="240" w:lineRule="auto"/>
        <w:jc w:val="both"/>
        <w:rPr>
          <w:rFonts w:ascii="Times New Roman" w:eastAsia="Times New Roman" w:hAnsi="Times New Roman" w:cs="Times New Roman"/>
        </w:rPr>
      </w:pPr>
      <w:r w:rsidRPr="007C5D5C">
        <w:rPr>
          <w:rFonts w:ascii="Times New Roman" w:hAnsi="Times New Roman" w:cs="Times New Roman"/>
        </w:rPr>
        <w:t xml:space="preserve">40. </w:t>
      </w:r>
      <w:r w:rsidR="00101EDE" w:rsidRPr="00101EDE">
        <w:rPr>
          <w:rFonts w:ascii="Times New Roman" w:eastAsia="Times New Roman" w:hAnsi="Times New Roman" w:cs="Times New Roman"/>
        </w:rPr>
        <w:t xml:space="preserve">Böhm M, Link A, Cai D, Nieminen MS, </w:t>
      </w:r>
      <w:proofErr w:type="spellStart"/>
      <w:r w:rsidR="00101EDE" w:rsidRPr="00101EDE">
        <w:rPr>
          <w:rFonts w:ascii="Times New Roman" w:eastAsia="Times New Roman" w:hAnsi="Times New Roman" w:cs="Times New Roman"/>
        </w:rPr>
        <w:t>Filippatos</w:t>
      </w:r>
      <w:proofErr w:type="spellEnd"/>
      <w:r w:rsidR="00101EDE" w:rsidRPr="00101EDE">
        <w:rPr>
          <w:rFonts w:ascii="Times New Roman" w:eastAsia="Times New Roman" w:hAnsi="Times New Roman" w:cs="Times New Roman"/>
        </w:rPr>
        <w:t xml:space="preserve"> GS, Salem R,</w:t>
      </w:r>
      <w:r w:rsidR="00101EDE">
        <w:rPr>
          <w:rFonts w:ascii="Times New Roman" w:eastAsia="Times New Roman" w:hAnsi="Times New Roman" w:cs="Times New Roman"/>
        </w:rPr>
        <w:t xml:space="preserve"> et al</w:t>
      </w:r>
      <w:r w:rsidR="00101EDE" w:rsidRPr="00101EDE">
        <w:rPr>
          <w:rFonts w:ascii="Times New Roman" w:eastAsia="Times New Roman" w:hAnsi="Times New Roman" w:cs="Times New Roman"/>
        </w:rPr>
        <w:t xml:space="preserve">. Beneficial association of β-blocker therapy on recovery from severe acute heart failure treatment: data from the Survival of Patients </w:t>
      </w:r>
      <w:proofErr w:type="gramStart"/>
      <w:r w:rsidR="00101EDE" w:rsidRPr="00101EDE">
        <w:rPr>
          <w:rFonts w:ascii="Times New Roman" w:eastAsia="Times New Roman" w:hAnsi="Times New Roman" w:cs="Times New Roman"/>
        </w:rPr>
        <w:t>With</w:t>
      </w:r>
      <w:proofErr w:type="gramEnd"/>
      <w:r w:rsidR="00101EDE" w:rsidRPr="00101EDE">
        <w:rPr>
          <w:rFonts w:ascii="Times New Roman" w:eastAsia="Times New Roman" w:hAnsi="Times New Roman" w:cs="Times New Roman"/>
        </w:rPr>
        <w:t xml:space="preserve"> Acute Heart Failure in Need of Intravenous Inotropic Support trial. Crit Care Med. 2011;39(5):940-4. </w:t>
      </w:r>
      <w:proofErr w:type="spellStart"/>
      <w:r w:rsidR="00101EDE" w:rsidRPr="00101EDE">
        <w:rPr>
          <w:rFonts w:ascii="Times New Roman" w:eastAsia="Times New Roman" w:hAnsi="Times New Roman" w:cs="Times New Roman"/>
        </w:rPr>
        <w:t>doi</w:t>
      </w:r>
      <w:proofErr w:type="spellEnd"/>
      <w:r w:rsidR="00101EDE" w:rsidRPr="00101EDE">
        <w:rPr>
          <w:rFonts w:ascii="Times New Roman" w:eastAsia="Times New Roman" w:hAnsi="Times New Roman" w:cs="Times New Roman"/>
        </w:rPr>
        <w:t xml:space="preserve">: 10.1097/CCM.0b013e31820a91ed. </w:t>
      </w:r>
    </w:p>
    <w:p w14:paraId="5C334CE7" w14:textId="77777777" w:rsidR="005C655F" w:rsidRPr="007C5D5C" w:rsidRDefault="005C655F" w:rsidP="000574B9">
      <w:pPr>
        <w:spacing w:after="0" w:line="240" w:lineRule="auto"/>
        <w:jc w:val="both"/>
        <w:rPr>
          <w:rFonts w:ascii="Times New Roman" w:eastAsia="Times New Roman" w:hAnsi="Times New Roman" w:cs="Times New Roman"/>
        </w:rPr>
      </w:pPr>
    </w:p>
    <w:p w14:paraId="6AA7BFB6" w14:textId="4EB4CF8D" w:rsidR="001B483C" w:rsidRPr="007C5D5C" w:rsidRDefault="001B483C" w:rsidP="000574B9">
      <w:pPr>
        <w:spacing w:after="0" w:line="240" w:lineRule="auto"/>
        <w:jc w:val="both"/>
        <w:rPr>
          <w:rFonts w:ascii="Times New Roman" w:hAnsi="Times New Roman" w:cs="Times New Roman"/>
        </w:rPr>
      </w:pPr>
      <w:r w:rsidRPr="004363E6">
        <w:rPr>
          <w:rFonts w:ascii="Times New Roman" w:eastAsia="Times New Roman" w:hAnsi="Times New Roman" w:cs="Times New Roman"/>
        </w:rPr>
        <w:t>41.</w:t>
      </w:r>
      <w:r w:rsidR="00AE70D5" w:rsidRPr="004363E6">
        <w:rPr>
          <w:rFonts w:ascii="Times New Roman" w:eastAsia="Times New Roman" w:hAnsi="Times New Roman" w:cs="Times New Roman"/>
        </w:rPr>
        <w:t xml:space="preserve"> </w:t>
      </w:r>
      <w:proofErr w:type="spellStart"/>
      <w:r w:rsidR="00101EDE" w:rsidRPr="004363E6">
        <w:rPr>
          <w:rFonts w:ascii="Times New Roman" w:eastAsia="Times New Roman" w:hAnsi="Times New Roman" w:cs="Times New Roman"/>
        </w:rPr>
        <w:t>Noveanu</w:t>
      </w:r>
      <w:proofErr w:type="spellEnd"/>
      <w:r w:rsidR="00101EDE" w:rsidRPr="004363E6">
        <w:rPr>
          <w:rFonts w:ascii="Times New Roman" w:eastAsia="Times New Roman" w:hAnsi="Times New Roman" w:cs="Times New Roman"/>
        </w:rPr>
        <w:t xml:space="preserve"> M, </w:t>
      </w:r>
      <w:proofErr w:type="spellStart"/>
      <w:r w:rsidR="00101EDE" w:rsidRPr="004363E6">
        <w:rPr>
          <w:rFonts w:ascii="Times New Roman" w:eastAsia="Times New Roman" w:hAnsi="Times New Roman" w:cs="Times New Roman"/>
        </w:rPr>
        <w:t>Breidthardt</w:t>
      </w:r>
      <w:proofErr w:type="spellEnd"/>
      <w:r w:rsidR="00101EDE" w:rsidRPr="004363E6">
        <w:rPr>
          <w:rFonts w:ascii="Times New Roman" w:eastAsia="Times New Roman" w:hAnsi="Times New Roman" w:cs="Times New Roman"/>
        </w:rPr>
        <w:t xml:space="preserve"> T, Reichlin T, Gayat E, Potocki M, </w:t>
      </w:r>
      <w:proofErr w:type="spellStart"/>
      <w:r w:rsidR="00101EDE" w:rsidRPr="004363E6">
        <w:rPr>
          <w:rFonts w:ascii="Times New Roman" w:eastAsia="Times New Roman" w:hAnsi="Times New Roman" w:cs="Times New Roman"/>
        </w:rPr>
        <w:t>Pargger</w:t>
      </w:r>
      <w:proofErr w:type="spellEnd"/>
      <w:r w:rsidR="00101EDE" w:rsidRPr="004363E6">
        <w:rPr>
          <w:rFonts w:ascii="Times New Roman" w:eastAsia="Times New Roman" w:hAnsi="Times New Roman" w:cs="Times New Roman"/>
        </w:rPr>
        <w:t xml:space="preserve"> H, et al. </w:t>
      </w:r>
      <w:r w:rsidR="00101EDE" w:rsidRPr="00101EDE">
        <w:rPr>
          <w:rFonts w:ascii="Times New Roman" w:eastAsia="Times New Roman" w:hAnsi="Times New Roman" w:cs="Times New Roman"/>
          <w:lang w:val="en-US"/>
        </w:rPr>
        <w:t xml:space="preserve">Effect of oral </w:t>
      </w:r>
      <w:r w:rsidR="00101EDE" w:rsidRPr="00101EDE">
        <w:rPr>
          <w:rFonts w:ascii="Times New Roman" w:eastAsia="Times New Roman" w:hAnsi="Times New Roman" w:cs="Times New Roman"/>
          <w:lang w:val="fr-FR"/>
        </w:rPr>
        <w:t>β</w:t>
      </w:r>
      <w:r w:rsidR="00101EDE" w:rsidRPr="00101EDE">
        <w:rPr>
          <w:rFonts w:ascii="Times New Roman" w:eastAsia="Times New Roman" w:hAnsi="Times New Roman" w:cs="Times New Roman"/>
          <w:lang w:val="en-US"/>
        </w:rPr>
        <w:t xml:space="preserve">-blocker on short and long-term mortality in patients with acute respiratory failure: results from the BASEL-II-ICU study. Crit Care. 2010;14(6):R198. </w:t>
      </w:r>
      <w:proofErr w:type="spellStart"/>
      <w:r w:rsidR="00101EDE" w:rsidRPr="00101EDE">
        <w:rPr>
          <w:rFonts w:ascii="Times New Roman" w:eastAsia="Times New Roman" w:hAnsi="Times New Roman" w:cs="Times New Roman"/>
          <w:lang w:val="en-US"/>
        </w:rPr>
        <w:t>doi</w:t>
      </w:r>
      <w:proofErr w:type="spellEnd"/>
      <w:r w:rsidR="00101EDE" w:rsidRPr="00101EDE">
        <w:rPr>
          <w:rFonts w:ascii="Times New Roman" w:eastAsia="Times New Roman" w:hAnsi="Times New Roman" w:cs="Times New Roman"/>
          <w:lang w:val="en-US"/>
        </w:rPr>
        <w:t>: 10.1186/cc9317.</w:t>
      </w:r>
    </w:p>
    <w:p w14:paraId="5718FCA5" w14:textId="77777777" w:rsidR="005C655F" w:rsidRPr="007C5D5C" w:rsidRDefault="005C655F" w:rsidP="000574B9">
      <w:pPr>
        <w:spacing w:after="0" w:line="240" w:lineRule="auto"/>
        <w:jc w:val="both"/>
        <w:rPr>
          <w:rFonts w:ascii="Times New Roman" w:eastAsia="Times New Roman" w:hAnsi="Times New Roman" w:cs="Times New Roman"/>
        </w:rPr>
      </w:pPr>
    </w:p>
    <w:p w14:paraId="2F1D5004" w14:textId="2F61F778" w:rsidR="00101EDE" w:rsidRDefault="001B483C" w:rsidP="00101EDE">
      <w:pPr>
        <w:spacing w:after="0" w:line="240" w:lineRule="auto"/>
        <w:jc w:val="both"/>
        <w:rPr>
          <w:rFonts w:ascii="Times New Roman" w:hAnsi="Times New Roman" w:cs="Times New Roman"/>
        </w:rPr>
      </w:pPr>
      <w:r w:rsidRPr="007C5D5C">
        <w:rPr>
          <w:rFonts w:ascii="Times New Roman" w:eastAsia="Times New Roman" w:hAnsi="Times New Roman" w:cs="Times New Roman"/>
        </w:rPr>
        <w:t>42.</w:t>
      </w:r>
      <w:r w:rsidR="004C149B" w:rsidRPr="007C5D5C">
        <w:rPr>
          <w:rFonts w:ascii="Times New Roman" w:hAnsi="Times New Roman" w:cs="Times New Roman"/>
          <w:lang w:val="nl-NL"/>
        </w:rPr>
        <w:t xml:space="preserve"> </w:t>
      </w:r>
      <w:r w:rsidR="00101EDE" w:rsidRPr="00101EDE">
        <w:rPr>
          <w:rFonts w:ascii="Times New Roman" w:hAnsi="Times New Roman" w:cs="Times New Roman"/>
        </w:rPr>
        <w:t xml:space="preserve">Kobayashi S, Susa T, </w:t>
      </w:r>
      <w:proofErr w:type="spellStart"/>
      <w:r w:rsidR="00101EDE" w:rsidRPr="00101EDE">
        <w:rPr>
          <w:rFonts w:ascii="Times New Roman" w:hAnsi="Times New Roman" w:cs="Times New Roman"/>
        </w:rPr>
        <w:t>Ishiguchi</w:t>
      </w:r>
      <w:proofErr w:type="spellEnd"/>
      <w:r w:rsidR="00101EDE" w:rsidRPr="00101EDE">
        <w:rPr>
          <w:rFonts w:ascii="Times New Roman" w:hAnsi="Times New Roman" w:cs="Times New Roman"/>
        </w:rPr>
        <w:t xml:space="preserve"> H, </w:t>
      </w:r>
      <w:proofErr w:type="spellStart"/>
      <w:r w:rsidR="00101EDE" w:rsidRPr="00101EDE">
        <w:rPr>
          <w:rFonts w:ascii="Times New Roman" w:hAnsi="Times New Roman" w:cs="Times New Roman"/>
        </w:rPr>
        <w:t>Myoren</w:t>
      </w:r>
      <w:proofErr w:type="spellEnd"/>
      <w:r w:rsidR="00101EDE" w:rsidRPr="00101EDE">
        <w:rPr>
          <w:rFonts w:ascii="Times New Roman" w:hAnsi="Times New Roman" w:cs="Times New Roman"/>
        </w:rPr>
        <w:t xml:space="preserve"> T, Murakami W, Kato T, </w:t>
      </w:r>
      <w:r w:rsidR="00101EDE">
        <w:rPr>
          <w:rFonts w:ascii="Times New Roman" w:hAnsi="Times New Roman" w:cs="Times New Roman"/>
        </w:rPr>
        <w:t xml:space="preserve">et al. </w:t>
      </w:r>
      <w:r w:rsidR="00101EDE" w:rsidRPr="00101EDE">
        <w:rPr>
          <w:rFonts w:ascii="Times New Roman" w:hAnsi="Times New Roman" w:cs="Times New Roman"/>
        </w:rPr>
        <w:t xml:space="preserve">A low-dose β1-blocker in combination with milrinone improves intracellular Ca2+ handling in failing cardiomyocytes by inhibition of milrinone-induced diastolic Ca2+ leakage from the sarcoplasmic reticulum. </w:t>
      </w:r>
      <w:proofErr w:type="spellStart"/>
      <w:r w:rsidR="00101EDE" w:rsidRPr="00101EDE">
        <w:rPr>
          <w:rFonts w:ascii="Times New Roman" w:hAnsi="Times New Roman" w:cs="Times New Roman"/>
        </w:rPr>
        <w:t>PLoS</w:t>
      </w:r>
      <w:proofErr w:type="spellEnd"/>
      <w:r w:rsidR="00101EDE" w:rsidRPr="00101EDE">
        <w:rPr>
          <w:rFonts w:ascii="Times New Roman" w:hAnsi="Times New Roman" w:cs="Times New Roman"/>
        </w:rPr>
        <w:t xml:space="preserve"> One. 2015;10(1</w:t>
      </w:r>
      <w:proofErr w:type="gramStart"/>
      <w:r w:rsidR="00101EDE" w:rsidRPr="00101EDE">
        <w:rPr>
          <w:rFonts w:ascii="Times New Roman" w:hAnsi="Times New Roman" w:cs="Times New Roman"/>
        </w:rPr>
        <w:t>):e</w:t>
      </w:r>
      <w:proofErr w:type="gramEnd"/>
      <w:r w:rsidR="00101EDE" w:rsidRPr="00101EDE">
        <w:rPr>
          <w:rFonts w:ascii="Times New Roman" w:hAnsi="Times New Roman" w:cs="Times New Roman"/>
        </w:rPr>
        <w:t xml:space="preserve">0114314.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10.1371/journal.pone.0114314.</w:t>
      </w:r>
    </w:p>
    <w:p w14:paraId="16CA4637" w14:textId="77777777" w:rsidR="005C655F" w:rsidRPr="00D30F6D" w:rsidRDefault="005C655F" w:rsidP="000574B9">
      <w:pPr>
        <w:spacing w:after="0" w:line="240" w:lineRule="auto"/>
        <w:jc w:val="both"/>
        <w:rPr>
          <w:rFonts w:ascii="Times New Roman" w:eastAsia="Times New Roman" w:hAnsi="Times New Roman" w:cs="Times New Roman"/>
        </w:rPr>
      </w:pPr>
    </w:p>
    <w:p w14:paraId="4884C3DE" w14:textId="508197AB" w:rsidR="001B483C" w:rsidRDefault="001B483C" w:rsidP="000574B9">
      <w:pPr>
        <w:spacing w:after="0" w:line="240" w:lineRule="auto"/>
        <w:jc w:val="both"/>
        <w:rPr>
          <w:rFonts w:ascii="Times New Roman" w:hAnsi="Times New Roman" w:cs="Times New Roman"/>
        </w:rPr>
      </w:pPr>
      <w:r w:rsidRPr="00D30F6D">
        <w:rPr>
          <w:rFonts w:ascii="Times New Roman" w:eastAsia="Times New Roman" w:hAnsi="Times New Roman" w:cs="Times New Roman"/>
        </w:rPr>
        <w:t>43.</w:t>
      </w:r>
      <w:r w:rsidR="00B15CFB" w:rsidRPr="00D30F6D">
        <w:rPr>
          <w:rFonts w:ascii="Times New Roman" w:hAnsi="Times New Roman" w:cs="Times New Roman"/>
        </w:rPr>
        <w:t xml:space="preserve"> </w:t>
      </w:r>
      <w:r w:rsidR="00101EDE" w:rsidRPr="00101EDE">
        <w:rPr>
          <w:rFonts w:ascii="Times New Roman" w:hAnsi="Times New Roman" w:cs="Times New Roman"/>
        </w:rPr>
        <w:t xml:space="preserve">Kobayashi S, Susa T, Tanaka T, Murakami W, </w:t>
      </w:r>
      <w:proofErr w:type="spellStart"/>
      <w:r w:rsidR="00101EDE" w:rsidRPr="00101EDE">
        <w:rPr>
          <w:rFonts w:ascii="Times New Roman" w:hAnsi="Times New Roman" w:cs="Times New Roman"/>
        </w:rPr>
        <w:t>Fukuta</w:t>
      </w:r>
      <w:proofErr w:type="spellEnd"/>
      <w:r w:rsidR="00101EDE" w:rsidRPr="00101EDE">
        <w:rPr>
          <w:rFonts w:ascii="Times New Roman" w:hAnsi="Times New Roman" w:cs="Times New Roman"/>
        </w:rPr>
        <w:t xml:space="preserve"> S, Okuda S, et al. </w:t>
      </w:r>
      <w:proofErr w:type="gramStart"/>
      <w:r w:rsidR="00101EDE" w:rsidRPr="00101EDE">
        <w:rPr>
          <w:rFonts w:ascii="Times New Roman" w:hAnsi="Times New Roman" w:cs="Times New Roman"/>
        </w:rPr>
        <w:t>Low-dose</w:t>
      </w:r>
      <w:proofErr w:type="gramEnd"/>
      <w:r w:rsidR="00101EDE" w:rsidRPr="00101EDE">
        <w:rPr>
          <w:rFonts w:ascii="Times New Roman" w:hAnsi="Times New Roman" w:cs="Times New Roman"/>
        </w:rPr>
        <w:t xml:space="preserve"> β blocker in combination with milrinone safely improves cardiac function and eliminates pulsus alternans in patients with acute decompensated heart failure. </w:t>
      </w:r>
      <w:proofErr w:type="spellStart"/>
      <w:r w:rsidR="00101EDE" w:rsidRPr="00101EDE">
        <w:rPr>
          <w:rFonts w:ascii="Times New Roman" w:hAnsi="Times New Roman" w:cs="Times New Roman"/>
        </w:rPr>
        <w:t>Circ</w:t>
      </w:r>
      <w:proofErr w:type="spellEnd"/>
      <w:r w:rsidR="00101EDE" w:rsidRPr="00101EDE">
        <w:rPr>
          <w:rFonts w:ascii="Times New Roman" w:hAnsi="Times New Roman" w:cs="Times New Roman"/>
        </w:rPr>
        <w:t xml:space="preserve"> J. 2012;76(7):1646-53.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10.1253/</w:t>
      </w:r>
      <w:proofErr w:type="gramStart"/>
      <w:r w:rsidR="00101EDE" w:rsidRPr="00101EDE">
        <w:rPr>
          <w:rFonts w:ascii="Times New Roman" w:hAnsi="Times New Roman" w:cs="Times New Roman"/>
        </w:rPr>
        <w:t>circj.cj</w:t>
      </w:r>
      <w:proofErr w:type="gramEnd"/>
      <w:r w:rsidR="00101EDE" w:rsidRPr="00101EDE">
        <w:rPr>
          <w:rFonts w:ascii="Times New Roman" w:hAnsi="Times New Roman" w:cs="Times New Roman"/>
        </w:rPr>
        <w:t>-12-0033.</w:t>
      </w:r>
    </w:p>
    <w:p w14:paraId="38946A1C" w14:textId="77777777" w:rsidR="005C655F" w:rsidRPr="00D30F6D" w:rsidRDefault="005C655F" w:rsidP="000574B9">
      <w:pPr>
        <w:spacing w:after="0" w:line="240" w:lineRule="auto"/>
        <w:jc w:val="both"/>
        <w:rPr>
          <w:rFonts w:ascii="Times New Roman" w:eastAsia="Times New Roman" w:hAnsi="Times New Roman" w:cs="Times New Roman"/>
        </w:rPr>
      </w:pPr>
    </w:p>
    <w:p w14:paraId="661C2CCA" w14:textId="4798F30D" w:rsidR="001B483C" w:rsidRDefault="001B483C" w:rsidP="000574B9">
      <w:pPr>
        <w:spacing w:after="0" w:line="240" w:lineRule="auto"/>
        <w:jc w:val="both"/>
        <w:rPr>
          <w:rFonts w:ascii="Times New Roman" w:hAnsi="Times New Roman" w:cs="Times New Roman"/>
        </w:rPr>
      </w:pPr>
      <w:r w:rsidRPr="00D30F6D">
        <w:rPr>
          <w:rFonts w:ascii="Times New Roman" w:hAnsi="Times New Roman" w:cs="Times New Roman"/>
        </w:rPr>
        <w:t>44</w:t>
      </w:r>
      <w:r w:rsidR="00BD40E9" w:rsidRPr="00D30F6D">
        <w:rPr>
          <w:rFonts w:ascii="Times New Roman" w:hAnsi="Times New Roman" w:cs="Times New Roman"/>
        </w:rPr>
        <w:t xml:space="preserve">. </w:t>
      </w:r>
      <w:r w:rsidR="006C18BF" w:rsidRPr="00D30F6D">
        <w:rPr>
          <w:rFonts w:ascii="Times New Roman" w:hAnsi="Times New Roman" w:cs="Times New Roman"/>
        </w:rPr>
        <w:t xml:space="preserve"> </w:t>
      </w:r>
      <w:r w:rsidR="00101EDE" w:rsidRPr="00101EDE">
        <w:rPr>
          <w:rFonts w:ascii="Times New Roman" w:hAnsi="Times New Roman" w:cs="Times New Roman"/>
        </w:rPr>
        <w:t xml:space="preserve">Hifumi T, Kato H, </w:t>
      </w:r>
      <w:proofErr w:type="spellStart"/>
      <w:r w:rsidR="00101EDE" w:rsidRPr="00101EDE">
        <w:rPr>
          <w:rFonts w:ascii="Times New Roman" w:hAnsi="Times New Roman" w:cs="Times New Roman"/>
        </w:rPr>
        <w:t>Koido</w:t>
      </w:r>
      <w:proofErr w:type="spellEnd"/>
      <w:r w:rsidR="00101EDE" w:rsidRPr="00101EDE">
        <w:rPr>
          <w:rFonts w:ascii="Times New Roman" w:hAnsi="Times New Roman" w:cs="Times New Roman"/>
        </w:rPr>
        <w:t xml:space="preserve"> Y, Kawakita K, Kuroda Y. Safety and effective use of landiolol in the ICU. J Intensive Care. 2014;2(1):16.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10.1186/2052-0492-2-16.</w:t>
      </w:r>
    </w:p>
    <w:p w14:paraId="7A55BBC4" w14:textId="77777777" w:rsidR="005C655F" w:rsidRPr="00D30F6D" w:rsidRDefault="005C655F" w:rsidP="000574B9">
      <w:pPr>
        <w:spacing w:after="0" w:line="240" w:lineRule="auto"/>
        <w:jc w:val="both"/>
        <w:rPr>
          <w:rFonts w:ascii="Times New Roman" w:hAnsi="Times New Roman" w:cs="Times New Roman"/>
        </w:rPr>
      </w:pPr>
    </w:p>
    <w:p w14:paraId="5DB50590" w14:textId="2605C77A" w:rsidR="001B483C" w:rsidRPr="00D30F6D" w:rsidRDefault="001B483C" w:rsidP="000574B9">
      <w:pPr>
        <w:spacing w:after="0" w:line="240" w:lineRule="auto"/>
        <w:jc w:val="both"/>
        <w:rPr>
          <w:rFonts w:ascii="Times New Roman" w:hAnsi="Times New Roman" w:cs="Times New Roman"/>
        </w:rPr>
      </w:pPr>
      <w:r w:rsidRPr="00D30F6D">
        <w:rPr>
          <w:rFonts w:ascii="Times New Roman" w:hAnsi="Times New Roman" w:cs="Times New Roman"/>
        </w:rPr>
        <w:t>45.</w:t>
      </w:r>
      <w:r w:rsidR="00BD40E9" w:rsidRPr="00D30F6D">
        <w:rPr>
          <w:rFonts w:ascii="Times New Roman" w:hAnsi="Times New Roman" w:cs="Times New Roman"/>
        </w:rPr>
        <w:t xml:space="preserve"> </w:t>
      </w:r>
      <w:r w:rsidR="00101EDE" w:rsidRPr="00101EDE">
        <w:rPr>
          <w:rFonts w:ascii="Times New Roman" w:hAnsi="Times New Roman" w:cs="Times New Roman"/>
        </w:rPr>
        <w:t xml:space="preserve">Schortgen F, </w:t>
      </w:r>
      <w:proofErr w:type="spellStart"/>
      <w:r w:rsidR="00101EDE" w:rsidRPr="00101EDE">
        <w:rPr>
          <w:rFonts w:ascii="Times New Roman" w:hAnsi="Times New Roman" w:cs="Times New Roman"/>
        </w:rPr>
        <w:t>Clabault</w:t>
      </w:r>
      <w:proofErr w:type="spellEnd"/>
      <w:r w:rsidR="00101EDE" w:rsidRPr="00101EDE">
        <w:rPr>
          <w:rFonts w:ascii="Times New Roman" w:hAnsi="Times New Roman" w:cs="Times New Roman"/>
        </w:rPr>
        <w:t xml:space="preserve"> K, </w:t>
      </w:r>
      <w:proofErr w:type="spellStart"/>
      <w:r w:rsidR="00101EDE" w:rsidRPr="00101EDE">
        <w:rPr>
          <w:rFonts w:ascii="Times New Roman" w:hAnsi="Times New Roman" w:cs="Times New Roman"/>
        </w:rPr>
        <w:t>Katsahian</w:t>
      </w:r>
      <w:proofErr w:type="spellEnd"/>
      <w:r w:rsidR="00101EDE" w:rsidRPr="00101EDE">
        <w:rPr>
          <w:rFonts w:ascii="Times New Roman" w:hAnsi="Times New Roman" w:cs="Times New Roman"/>
        </w:rPr>
        <w:t xml:space="preserve"> S, </w:t>
      </w:r>
      <w:proofErr w:type="spellStart"/>
      <w:r w:rsidR="00101EDE" w:rsidRPr="00101EDE">
        <w:rPr>
          <w:rFonts w:ascii="Times New Roman" w:hAnsi="Times New Roman" w:cs="Times New Roman"/>
        </w:rPr>
        <w:t>Devaquet</w:t>
      </w:r>
      <w:proofErr w:type="spellEnd"/>
      <w:r w:rsidR="00101EDE" w:rsidRPr="00101EDE">
        <w:rPr>
          <w:rFonts w:ascii="Times New Roman" w:hAnsi="Times New Roman" w:cs="Times New Roman"/>
        </w:rPr>
        <w:t xml:space="preserve"> J, Mercat A, Deye N, et al. Fever control using external cooling in septic shock: a randomized controlled trial. Am J Respir Crit Care Med. 2012;185(10):1088-95. </w:t>
      </w:r>
      <w:proofErr w:type="spellStart"/>
      <w:r w:rsidR="00101EDE" w:rsidRPr="00101EDE">
        <w:rPr>
          <w:rFonts w:ascii="Times New Roman" w:hAnsi="Times New Roman" w:cs="Times New Roman"/>
        </w:rPr>
        <w:t>doi</w:t>
      </w:r>
      <w:proofErr w:type="spellEnd"/>
      <w:r w:rsidR="00101EDE" w:rsidRPr="00101EDE">
        <w:rPr>
          <w:rFonts w:ascii="Times New Roman" w:hAnsi="Times New Roman" w:cs="Times New Roman"/>
        </w:rPr>
        <w:t>: 10.1164/rccm.201110-1820OC.</w:t>
      </w:r>
    </w:p>
    <w:sectPr w:rsidR="001B483C" w:rsidRPr="00D30F6D" w:rsidSect="0041699A">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580"/>
    <w:multiLevelType w:val="hybridMultilevel"/>
    <w:tmpl w:val="E6CEE9AC"/>
    <w:lvl w:ilvl="0" w:tplc="0E3C5414">
      <w:start w:val="1"/>
      <w:numFmt w:val="bullet"/>
      <w:lvlText w:val="•"/>
      <w:lvlJc w:val="left"/>
      <w:pPr>
        <w:tabs>
          <w:tab w:val="num" w:pos="720"/>
        </w:tabs>
        <w:ind w:left="720" w:hanging="360"/>
      </w:pPr>
      <w:rPr>
        <w:rFonts w:ascii="Arial" w:hAnsi="Arial" w:hint="default"/>
      </w:rPr>
    </w:lvl>
    <w:lvl w:ilvl="1" w:tplc="03925254" w:tentative="1">
      <w:start w:val="1"/>
      <w:numFmt w:val="bullet"/>
      <w:lvlText w:val="•"/>
      <w:lvlJc w:val="left"/>
      <w:pPr>
        <w:tabs>
          <w:tab w:val="num" w:pos="1440"/>
        </w:tabs>
        <w:ind w:left="1440" w:hanging="360"/>
      </w:pPr>
      <w:rPr>
        <w:rFonts w:ascii="Arial" w:hAnsi="Arial" w:hint="default"/>
      </w:rPr>
    </w:lvl>
    <w:lvl w:ilvl="2" w:tplc="B6DA6520" w:tentative="1">
      <w:start w:val="1"/>
      <w:numFmt w:val="bullet"/>
      <w:lvlText w:val="•"/>
      <w:lvlJc w:val="left"/>
      <w:pPr>
        <w:tabs>
          <w:tab w:val="num" w:pos="2160"/>
        </w:tabs>
        <w:ind w:left="2160" w:hanging="360"/>
      </w:pPr>
      <w:rPr>
        <w:rFonts w:ascii="Arial" w:hAnsi="Arial" w:hint="default"/>
      </w:rPr>
    </w:lvl>
    <w:lvl w:ilvl="3" w:tplc="F26CAA02" w:tentative="1">
      <w:start w:val="1"/>
      <w:numFmt w:val="bullet"/>
      <w:lvlText w:val="•"/>
      <w:lvlJc w:val="left"/>
      <w:pPr>
        <w:tabs>
          <w:tab w:val="num" w:pos="2880"/>
        </w:tabs>
        <w:ind w:left="2880" w:hanging="360"/>
      </w:pPr>
      <w:rPr>
        <w:rFonts w:ascii="Arial" w:hAnsi="Arial" w:hint="default"/>
      </w:rPr>
    </w:lvl>
    <w:lvl w:ilvl="4" w:tplc="A746A164" w:tentative="1">
      <w:start w:val="1"/>
      <w:numFmt w:val="bullet"/>
      <w:lvlText w:val="•"/>
      <w:lvlJc w:val="left"/>
      <w:pPr>
        <w:tabs>
          <w:tab w:val="num" w:pos="3600"/>
        </w:tabs>
        <w:ind w:left="3600" w:hanging="360"/>
      </w:pPr>
      <w:rPr>
        <w:rFonts w:ascii="Arial" w:hAnsi="Arial" w:hint="default"/>
      </w:rPr>
    </w:lvl>
    <w:lvl w:ilvl="5" w:tplc="165E656E" w:tentative="1">
      <w:start w:val="1"/>
      <w:numFmt w:val="bullet"/>
      <w:lvlText w:val="•"/>
      <w:lvlJc w:val="left"/>
      <w:pPr>
        <w:tabs>
          <w:tab w:val="num" w:pos="4320"/>
        </w:tabs>
        <w:ind w:left="4320" w:hanging="360"/>
      </w:pPr>
      <w:rPr>
        <w:rFonts w:ascii="Arial" w:hAnsi="Arial" w:hint="default"/>
      </w:rPr>
    </w:lvl>
    <w:lvl w:ilvl="6" w:tplc="8C4481F4" w:tentative="1">
      <w:start w:val="1"/>
      <w:numFmt w:val="bullet"/>
      <w:lvlText w:val="•"/>
      <w:lvlJc w:val="left"/>
      <w:pPr>
        <w:tabs>
          <w:tab w:val="num" w:pos="5040"/>
        </w:tabs>
        <w:ind w:left="5040" w:hanging="360"/>
      </w:pPr>
      <w:rPr>
        <w:rFonts w:ascii="Arial" w:hAnsi="Arial" w:hint="default"/>
      </w:rPr>
    </w:lvl>
    <w:lvl w:ilvl="7" w:tplc="06EE4AE4" w:tentative="1">
      <w:start w:val="1"/>
      <w:numFmt w:val="bullet"/>
      <w:lvlText w:val="•"/>
      <w:lvlJc w:val="left"/>
      <w:pPr>
        <w:tabs>
          <w:tab w:val="num" w:pos="5760"/>
        </w:tabs>
        <w:ind w:left="5760" w:hanging="360"/>
      </w:pPr>
      <w:rPr>
        <w:rFonts w:ascii="Arial" w:hAnsi="Arial" w:hint="default"/>
      </w:rPr>
    </w:lvl>
    <w:lvl w:ilvl="8" w:tplc="7DF0BE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31EE72"/>
    <w:multiLevelType w:val="hybridMultilevel"/>
    <w:tmpl w:val="7B0E49E0"/>
    <w:lvl w:ilvl="0" w:tplc="A6661200">
      <w:start w:val="1"/>
      <w:numFmt w:val="decimal"/>
      <w:lvlText w:val="•"/>
      <w:lvlJc w:val="left"/>
      <w:pPr>
        <w:ind w:left="720" w:hanging="360"/>
      </w:pPr>
    </w:lvl>
    <w:lvl w:ilvl="1" w:tplc="D1FAF90A">
      <w:start w:val="1"/>
      <w:numFmt w:val="lowerLetter"/>
      <w:lvlText w:val="%2."/>
      <w:lvlJc w:val="left"/>
      <w:pPr>
        <w:ind w:left="1440" w:hanging="360"/>
      </w:pPr>
    </w:lvl>
    <w:lvl w:ilvl="2" w:tplc="9F66A1B2">
      <w:start w:val="1"/>
      <w:numFmt w:val="lowerRoman"/>
      <w:lvlText w:val="%3."/>
      <w:lvlJc w:val="right"/>
      <w:pPr>
        <w:ind w:left="2160" w:hanging="180"/>
      </w:pPr>
    </w:lvl>
    <w:lvl w:ilvl="3" w:tplc="B05A1DCA">
      <w:start w:val="1"/>
      <w:numFmt w:val="decimal"/>
      <w:lvlText w:val="%4."/>
      <w:lvlJc w:val="left"/>
      <w:pPr>
        <w:ind w:left="2880" w:hanging="360"/>
      </w:pPr>
    </w:lvl>
    <w:lvl w:ilvl="4" w:tplc="441C4954">
      <w:start w:val="1"/>
      <w:numFmt w:val="lowerLetter"/>
      <w:lvlText w:val="%5."/>
      <w:lvlJc w:val="left"/>
      <w:pPr>
        <w:ind w:left="3600" w:hanging="360"/>
      </w:pPr>
    </w:lvl>
    <w:lvl w:ilvl="5" w:tplc="758E243C">
      <w:start w:val="1"/>
      <w:numFmt w:val="lowerRoman"/>
      <w:lvlText w:val="%6."/>
      <w:lvlJc w:val="right"/>
      <w:pPr>
        <w:ind w:left="4320" w:hanging="180"/>
      </w:pPr>
    </w:lvl>
    <w:lvl w:ilvl="6" w:tplc="600AF0BC">
      <w:start w:val="1"/>
      <w:numFmt w:val="decimal"/>
      <w:lvlText w:val="%7."/>
      <w:lvlJc w:val="left"/>
      <w:pPr>
        <w:ind w:left="5040" w:hanging="360"/>
      </w:pPr>
    </w:lvl>
    <w:lvl w:ilvl="7" w:tplc="E7F2C85A">
      <w:start w:val="1"/>
      <w:numFmt w:val="lowerLetter"/>
      <w:lvlText w:val="%8."/>
      <w:lvlJc w:val="left"/>
      <w:pPr>
        <w:ind w:left="5760" w:hanging="360"/>
      </w:pPr>
    </w:lvl>
    <w:lvl w:ilvl="8" w:tplc="C2BEAEF0">
      <w:start w:val="1"/>
      <w:numFmt w:val="lowerRoman"/>
      <w:lvlText w:val="%9."/>
      <w:lvlJc w:val="right"/>
      <w:pPr>
        <w:ind w:left="6480" w:hanging="180"/>
      </w:pPr>
    </w:lvl>
  </w:abstractNum>
  <w:num w:numId="1" w16cid:durableId="1226990312">
    <w:abstractNumId w:val="1"/>
  </w:num>
  <w:num w:numId="2" w16cid:durableId="181345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9A"/>
    <w:rsid w:val="000069A8"/>
    <w:rsid w:val="00012B1C"/>
    <w:rsid w:val="0001434D"/>
    <w:rsid w:val="000169E1"/>
    <w:rsid w:val="0002000B"/>
    <w:rsid w:val="00020ED6"/>
    <w:rsid w:val="0002698C"/>
    <w:rsid w:val="000574B9"/>
    <w:rsid w:val="000627D9"/>
    <w:rsid w:val="00066FED"/>
    <w:rsid w:val="00071554"/>
    <w:rsid w:val="000808DC"/>
    <w:rsid w:val="00083922"/>
    <w:rsid w:val="0008575C"/>
    <w:rsid w:val="000908D4"/>
    <w:rsid w:val="00095B6C"/>
    <w:rsid w:val="000977F9"/>
    <w:rsid w:val="000A021B"/>
    <w:rsid w:val="000A5A22"/>
    <w:rsid w:val="000C26ED"/>
    <w:rsid w:val="000D090D"/>
    <w:rsid w:val="000D3996"/>
    <w:rsid w:val="000D56DE"/>
    <w:rsid w:val="000D5947"/>
    <w:rsid w:val="000D5F05"/>
    <w:rsid w:val="000D741E"/>
    <w:rsid w:val="000E30CD"/>
    <w:rsid w:val="000E75E5"/>
    <w:rsid w:val="000F0537"/>
    <w:rsid w:val="000F0CE6"/>
    <w:rsid w:val="000F625E"/>
    <w:rsid w:val="000F70F0"/>
    <w:rsid w:val="000F72FB"/>
    <w:rsid w:val="00100AFE"/>
    <w:rsid w:val="00101EDE"/>
    <w:rsid w:val="001022FD"/>
    <w:rsid w:val="00102AB3"/>
    <w:rsid w:val="00110DF3"/>
    <w:rsid w:val="00111914"/>
    <w:rsid w:val="00114D91"/>
    <w:rsid w:val="00131474"/>
    <w:rsid w:val="001374E8"/>
    <w:rsid w:val="00141036"/>
    <w:rsid w:val="001417B7"/>
    <w:rsid w:val="00153FF9"/>
    <w:rsid w:val="0015529C"/>
    <w:rsid w:val="00160311"/>
    <w:rsid w:val="00160475"/>
    <w:rsid w:val="001750B7"/>
    <w:rsid w:val="001779EA"/>
    <w:rsid w:val="00180B8D"/>
    <w:rsid w:val="00180BF1"/>
    <w:rsid w:val="0018503E"/>
    <w:rsid w:val="00187881"/>
    <w:rsid w:val="00192306"/>
    <w:rsid w:val="00193A64"/>
    <w:rsid w:val="001A07AC"/>
    <w:rsid w:val="001A130B"/>
    <w:rsid w:val="001A6165"/>
    <w:rsid w:val="001A6D6A"/>
    <w:rsid w:val="001B483C"/>
    <w:rsid w:val="001B64BB"/>
    <w:rsid w:val="001B6507"/>
    <w:rsid w:val="001C336E"/>
    <w:rsid w:val="001C3D60"/>
    <w:rsid w:val="001C6A90"/>
    <w:rsid w:val="001C7243"/>
    <w:rsid w:val="001C7D1B"/>
    <w:rsid w:val="001D750D"/>
    <w:rsid w:val="001F1688"/>
    <w:rsid w:val="001F1CF5"/>
    <w:rsid w:val="001F413F"/>
    <w:rsid w:val="002002E8"/>
    <w:rsid w:val="00203190"/>
    <w:rsid w:val="00203F62"/>
    <w:rsid w:val="002127AF"/>
    <w:rsid w:val="002168DC"/>
    <w:rsid w:val="00216DE8"/>
    <w:rsid w:val="00230956"/>
    <w:rsid w:val="00230CDA"/>
    <w:rsid w:val="00232C24"/>
    <w:rsid w:val="00235F89"/>
    <w:rsid w:val="00241D8B"/>
    <w:rsid w:val="00241F81"/>
    <w:rsid w:val="002421E6"/>
    <w:rsid w:val="00242646"/>
    <w:rsid w:val="00244D39"/>
    <w:rsid w:val="00246685"/>
    <w:rsid w:val="002474A8"/>
    <w:rsid w:val="00247AC8"/>
    <w:rsid w:val="00252E9D"/>
    <w:rsid w:val="00253885"/>
    <w:rsid w:val="0026248A"/>
    <w:rsid w:val="00262D09"/>
    <w:rsid w:val="0026465C"/>
    <w:rsid w:val="00266E6D"/>
    <w:rsid w:val="00276F30"/>
    <w:rsid w:val="002817BB"/>
    <w:rsid w:val="002923BB"/>
    <w:rsid w:val="0029691C"/>
    <w:rsid w:val="002A753E"/>
    <w:rsid w:val="002B0BF2"/>
    <w:rsid w:val="002C00D2"/>
    <w:rsid w:val="002C330F"/>
    <w:rsid w:val="002F7D56"/>
    <w:rsid w:val="00302143"/>
    <w:rsid w:val="00303B7D"/>
    <w:rsid w:val="00304DA8"/>
    <w:rsid w:val="00305F22"/>
    <w:rsid w:val="0030602A"/>
    <w:rsid w:val="00306CB1"/>
    <w:rsid w:val="00307899"/>
    <w:rsid w:val="00316494"/>
    <w:rsid w:val="00320EC1"/>
    <w:rsid w:val="003221C4"/>
    <w:rsid w:val="00327F5C"/>
    <w:rsid w:val="00330EB7"/>
    <w:rsid w:val="00346333"/>
    <w:rsid w:val="0035056E"/>
    <w:rsid w:val="003572A3"/>
    <w:rsid w:val="00357DF5"/>
    <w:rsid w:val="003878AE"/>
    <w:rsid w:val="0039376D"/>
    <w:rsid w:val="00394576"/>
    <w:rsid w:val="00395148"/>
    <w:rsid w:val="0039613A"/>
    <w:rsid w:val="003A52D6"/>
    <w:rsid w:val="003A6C24"/>
    <w:rsid w:val="003A70EC"/>
    <w:rsid w:val="003B0104"/>
    <w:rsid w:val="003B715E"/>
    <w:rsid w:val="003C45FF"/>
    <w:rsid w:val="003D4AEA"/>
    <w:rsid w:val="003D7160"/>
    <w:rsid w:val="003E724E"/>
    <w:rsid w:val="003F4478"/>
    <w:rsid w:val="00404877"/>
    <w:rsid w:val="00407643"/>
    <w:rsid w:val="00414D41"/>
    <w:rsid w:val="00415C24"/>
    <w:rsid w:val="004161BE"/>
    <w:rsid w:val="0041699A"/>
    <w:rsid w:val="00416DFC"/>
    <w:rsid w:val="004174B7"/>
    <w:rsid w:val="00423956"/>
    <w:rsid w:val="0043284A"/>
    <w:rsid w:val="00435769"/>
    <w:rsid w:val="004363E6"/>
    <w:rsid w:val="00441268"/>
    <w:rsid w:val="00442DF2"/>
    <w:rsid w:val="00447AEA"/>
    <w:rsid w:val="00451D71"/>
    <w:rsid w:val="00463636"/>
    <w:rsid w:val="0047105C"/>
    <w:rsid w:val="004724DC"/>
    <w:rsid w:val="004748C6"/>
    <w:rsid w:val="0047739A"/>
    <w:rsid w:val="00482533"/>
    <w:rsid w:val="00487AAD"/>
    <w:rsid w:val="0049033A"/>
    <w:rsid w:val="0049491E"/>
    <w:rsid w:val="004A7CB2"/>
    <w:rsid w:val="004A7F85"/>
    <w:rsid w:val="004C149B"/>
    <w:rsid w:val="004D00B9"/>
    <w:rsid w:val="004D0397"/>
    <w:rsid w:val="004D17E3"/>
    <w:rsid w:val="004D497B"/>
    <w:rsid w:val="004D62A1"/>
    <w:rsid w:val="004E078C"/>
    <w:rsid w:val="004E567A"/>
    <w:rsid w:val="004E7F97"/>
    <w:rsid w:val="004F260B"/>
    <w:rsid w:val="004F2C8A"/>
    <w:rsid w:val="004F61DC"/>
    <w:rsid w:val="00504AD7"/>
    <w:rsid w:val="00510595"/>
    <w:rsid w:val="00510C2E"/>
    <w:rsid w:val="00521A53"/>
    <w:rsid w:val="00525421"/>
    <w:rsid w:val="00525CEA"/>
    <w:rsid w:val="00526447"/>
    <w:rsid w:val="0053710F"/>
    <w:rsid w:val="0054424A"/>
    <w:rsid w:val="00564809"/>
    <w:rsid w:val="00565DFE"/>
    <w:rsid w:val="00566BAC"/>
    <w:rsid w:val="005A52F8"/>
    <w:rsid w:val="005B02A4"/>
    <w:rsid w:val="005B0EF1"/>
    <w:rsid w:val="005B5AF6"/>
    <w:rsid w:val="005B6C9A"/>
    <w:rsid w:val="005C1606"/>
    <w:rsid w:val="005C3F95"/>
    <w:rsid w:val="005C655F"/>
    <w:rsid w:val="005D346B"/>
    <w:rsid w:val="005D3551"/>
    <w:rsid w:val="005E6556"/>
    <w:rsid w:val="005F5C25"/>
    <w:rsid w:val="00606678"/>
    <w:rsid w:val="006153EA"/>
    <w:rsid w:val="006169A4"/>
    <w:rsid w:val="00621C3C"/>
    <w:rsid w:val="00622078"/>
    <w:rsid w:val="00625E21"/>
    <w:rsid w:val="0063373A"/>
    <w:rsid w:val="00642AE4"/>
    <w:rsid w:val="006469FB"/>
    <w:rsid w:val="006659B5"/>
    <w:rsid w:val="006727F6"/>
    <w:rsid w:val="0067326C"/>
    <w:rsid w:val="0067605E"/>
    <w:rsid w:val="00676B31"/>
    <w:rsid w:val="00682408"/>
    <w:rsid w:val="00690BB7"/>
    <w:rsid w:val="006A0C45"/>
    <w:rsid w:val="006A3BE7"/>
    <w:rsid w:val="006B3E7C"/>
    <w:rsid w:val="006B7880"/>
    <w:rsid w:val="006B7906"/>
    <w:rsid w:val="006C18BF"/>
    <w:rsid w:val="006C19E6"/>
    <w:rsid w:val="006C6BF6"/>
    <w:rsid w:val="006E19B5"/>
    <w:rsid w:val="006E2376"/>
    <w:rsid w:val="006E54F7"/>
    <w:rsid w:val="006F070E"/>
    <w:rsid w:val="006F17EE"/>
    <w:rsid w:val="006F5E50"/>
    <w:rsid w:val="00702C50"/>
    <w:rsid w:val="00702C99"/>
    <w:rsid w:val="007079C0"/>
    <w:rsid w:val="00711C9F"/>
    <w:rsid w:val="007122C7"/>
    <w:rsid w:val="00720872"/>
    <w:rsid w:val="00730583"/>
    <w:rsid w:val="007373D4"/>
    <w:rsid w:val="007443BE"/>
    <w:rsid w:val="00746FB2"/>
    <w:rsid w:val="00750A97"/>
    <w:rsid w:val="00756DFF"/>
    <w:rsid w:val="00757B14"/>
    <w:rsid w:val="00763770"/>
    <w:rsid w:val="007638E7"/>
    <w:rsid w:val="007712A4"/>
    <w:rsid w:val="007719AC"/>
    <w:rsid w:val="00782B95"/>
    <w:rsid w:val="0078389D"/>
    <w:rsid w:val="007841AD"/>
    <w:rsid w:val="00797807"/>
    <w:rsid w:val="00797EC1"/>
    <w:rsid w:val="007A079A"/>
    <w:rsid w:val="007A4B16"/>
    <w:rsid w:val="007A5C10"/>
    <w:rsid w:val="007B040A"/>
    <w:rsid w:val="007B287E"/>
    <w:rsid w:val="007B696E"/>
    <w:rsid w:val="007C0121"/>
    <w:rsid w:val="007C07CA"/>
    <w:rsid w:val="007C5D5C"/>
    <w:rsid w:val="007C7DD1"/>
    <w:rsid w:val="007D0060"/>
    <w:rsid w:val="007D0A32"/>
    <w:rsid w:val="007D2C7C"/>
    <w:rsid w:val="007D5BA6"/>
    <w:rsid w:val="007D784F"/>
    <w:rsid w:val="007F14B2"/>
    <w:rsid w:val="007F22B4"/>
    <w:rsid w:val="007F241C"/>
    <w:rsid w:val="007F34E9"/>
    <w:rsid w:val="007F4732"/>
    <w:rsid w:val="007F4EFA"/>
    <w:rsid w:val="007F56B4"/>
    <w:rsid w:val="0080087F"/>
    <w:rsid w:val="008130DB"/>
    <w:rsid w:val="00816239"/>
    <w:rsid w:val="00820B7B"/>
    <w:rsid w:val="00825BA4"/>
    <w:rsid w:val="0082773D"/>
    <w:rsid w:val="00831582"/>
    <w:rsid w:val="00832E6B"/>
    <w:rsid w:val="00834507"/>
    <w:rsid w:val="00836815"/>
    <w:rsid w:val="008502F1"/>
    <w:rsid w:val="00851A63"/>
    <w:rsid w:val="00856DEF"/>
    <w:rsid w:val="00862087"/>
    <w:rsid w:val="008820BA"/>
    <w:rsid w:val="00887F3A"/>
    <w:rsid w:val="00892B78"/>
    <w:rsid w:val="00893183"/>
    <w:rsid w:val="008A0038"/>
    <w:rsid w:val="008A3BA9"/>
    <w:rsid w:val="008B676E"/>
    <w:rsid w:val="008C25BA"/>
    <w:rsid w:val="008C2869"/>
    <w:rsid w:val="008D04D8"/>
    <w:rsid w:val="008D572D"/>
    <w:rsid w:val="008D584F"/>
    <w:rsid w:val="008D6FE2"/>
    <w:rsid w:val="008F2F0B"/>
    <w:rsid w:val="008F2F62"/>
    <w:rsid w:val="008F336F"/>
    <w:rsid w:val="009107B9"/>
    <w:rsid w:val="00912DBE"/>
    <w:rsid w:val="00921E46"/>
    <w:rsid w:val="00922306"/>
    <w:rsid w:val="009229C4"/>
    <w:rsid w:val="00925B7F"/>
    <w:rsid w:val="009346C0"/>
    <w:rsid w:val="00935E2B"/>
    <w:rsid w:val="009422AF"/>
    <w:rsid w:val="0094330E"/>
    <w:rsid w:val="00953F9B"/>
    <w:rsid w:val="00955321"/>
    <w:rsid w:val="0096246E"/>
    <w:rsid w:val="00963399"/>
    <w:rsid w:val="0096650C"/>
    <w:rsid w:val="009745E8"/>
    <w:rsid w:val="00981CBF"/>
    <w:rsid w:val="00982591"/>
    <w:rsid w:val="00983E7F"/>
    <w:rsid w:val="00991B11"/>
    <w:rsid w:val="00995B7A"/>
    <w:rsid w:val="0099684C"/>
    <w:rsid w:val="00997147"/>
    <w:rsid w:val="009A0792"/>
    <w:rsid w:val="009A5125"/>
    <w:rsid w:val="009A6514"/>
    <w:rsid w:val="009C4271"/>
    <w:rsid w:val="009C4B4A"/>
    <w:rsid w:val="009C51E2"/>
    <w:rsid w:val="009D0C7E"/>
    <w:rsid w:val="009D665D"/>
    <w:rsid w:val="009E042F"/>
    <w:rsid w:val="009E1651"/>
    <w:rsid w:val="009E2E82"/>
    <w:rsid w:val="009E7F1B"/>
    <w:rsid w:val="00A15A15"/>
    <w:rsid w:val="00A15B5E"/>
    <w:rsid w:val="00A26AEA"/>
    <w:rsid w:val="00A34878"/>
    <w:rsid w:val="00A349B6"/>
    <w:rsid w:val="00A41133"/>
    <w:rsid w:val="00A4692B"/>
    <w:rsid w:val="00A50A0A"/>
    <w:rsid w:val="00A54DB2"/>
    <w:rsid w:val="00A5575D"/>
    <w:rsid w:val="00A57B6E"/>
    <w:rsid w:val="00A62321"/>
    <w:rsid w:val="00A6302C"/>
    <w:rsid w:val="00A704C7"/>
    <w:rsid w:val="00A73C44"/>
    <w:rsid w:val="00A76732"/>
    <w:rsid w:val="00A8012A"/>
    <w:rsid w:val="00A86063"/>
    <w:rsid w:val="00A872F5"/>
    <w:rsid w:val="00A97B88"/>
    <w:rsid w:val="00AA4EAF"/>
    <w:rsid w:val="00AB5608"/>
    <w:rsid w:val="00AC111E"/>
    <w:rsid w:val="00AC37EA"/>
    <w:rsid w:val="00AC5D7C"/>
    <w:rsid w:val="00AD7467"/>
    <w:rsid w:val="00AE0BA0"/>
    <w:rsid w:val="00AE1C04"/>
    <w:rsid w:val="00AE59C9"/>
    <w:rsid w:val="00AE6F1F"/>
    <w:rsid w:val="00AE70D5"/>
    <w:rsid w:val="00AF08EA"/>
    <w:rsid w:val="00AF0B5F"/>
    <w:rsid w:val="00AF22C5"/>
    <w:rsid w:val="00AF6213"/>
    <w:rsid w:val="00AF73ED"/>
    <w:rsid w:val="00B00631"/>
    <w:rsid w:val="00B00F01"/>
    <w:rsid w:val="00B07EF9"/>
    <w:rsid w:val="00B10264"/>
    <w:rsid w:val="00B15CFB"/>
    <w:rsid w:val="00B176F1"/>
    <w:rsid w:val="00B23E2E"/>
    <w:rsid w:val="00B25955"/>
    <w:rsid w:val="00B30FEB"/>
    <w:rsid w:val="00B329ED"/>
    <w:rsid w:val="00B3494D"/>
    <w:rsid w:val="00B35C91"/>
    <w:rsid w:val="00B37656"/>
    <w:rsid w:val="00B378C3"/>
    <w:rsid w:val="00B449E5"/>
    <w:rsid w:val="00B56164"/>
    <w:rsid w:val="00B60986"/>
    <w:rsid w:val="00B64139"/>
    <w:rsid w:val="00B6675A"/>
    <w:rsid w:val="00B85144"/>
    <w:rsid w:val="00B91707"/>
    <w:rsid w:val="00B934FC"/>
    <w:rsid w:val="00BA7BAB"/>
    <w:rsid w:val="00BB031D"/>
    <w:rsid w:val="00BB087F"/>
    <w:rsid w:val="00BB3829"/>
    <w:rsid w:val="00BB7F60"/>
    <w:rsid w:val="00BC0CAA"/>
    <w:rsid w:val="00BD03C8"/>
    <w:rsid w:val="00BD1467"/>
    <w:rsid w:val="00BD40E9"/>
    <w:rsid w:val="00BE2F5D"/>
    <w:rsid w:val="00BE6775"/>
    <w:rsid w:val="00BF1C96"/>
    <w:rsid w:val="00BF2428"/>
    <w:rsid w:val="00BF44B4"/>
    <w:rsid w:val="00BF598F"/>
    <w:rsid w:val="00C15498"/>
    <w:rsid w:val="00C1781E"/>
    <w:rsid w:val="00C178DC"/>
    <w:rsid w:val="00C231A1"/>
    <w:rsid w:val="00C23B20"/>
    <w:rsid w:val="00C325B8"/>
    <w:rsid w:val="00C33DE3"/>
    <w:rsid w:val="00C3466D"/>
    <w:rsid w:val="00C56746"/>
    <w:rsid w:val="00C66D1F"/>
    <w:rsid w:val="00C74CCE"/>
    <w:rsid w:val="00C75516"/>
    <w:rsid w:val="00C75627"/>
    <w:rsid w:val="00C867A7"/>
    <w:rsid w:val="00CB33FD"/>
    <w:rsid w:val="00CB4ADA"/>
    <w:rsid w:val="00CB577C"/>
    <w:rsid w:val="00CB5A66"/>
    <w:rsid w:val="00CD4BEA"/>
    <w:rsid w:val="00CE05BD"/>
    <w:rsid w:val="00CF06FC"/>
    <w:rsid w:val="00CF0D92"/>
    <w:rsid w:val="00D04829"/>
    <w:rsid w:val="00D129FE"/>
    <w:rsid w:val="00D142F5"/>
    <w:rsid w:val="00D17422"/>
    <w:rsid w:val="00D17BF8"/>
    <w:rsid w:val="00D27FA4"/>
    <w:rsid w:val="00D30F6D"/>
    <w:rsid w:val="00D3396B"/>
    <w:rsid w:val="00D3524C"/>
    <w:rsid w:val="00D35C55"/>
    <w:rsid w:val="00D35F64"/>
    <w:rsid w:val="00D50B03"/>
    <w:rsid w:val="00D53C02"/>
    <w:rsid w:val="00D6020A"/>
    <w:rsid w:val="00D654A5"/>
    <w:rsid w:val="00D70D4B"/>
    <w:rsid w:val="00D717A2"/>
    <w:rsid w:val="00D73561"/>
    <w:rsid w:val="00D820AE"/>
    <w:rsid w:val="00D82C1B"/>
    <w:rsid w:val="00D84B29"/>
    <w:rsid w:val="00D9179B"/>
    <w:rsid w:val="00D948D0"/>
    <w:rsid w:val="00DB7FE7"/>
    <w:rsid w:val="00DC3AC0"/>
    <w:rsid w:val="00DC538E"/>
    <w:rsid w:val="00DC6E08"/>
    <w:rsid w:val="00DC70E7"/>
    <w:rsid w:val="00DD0A39"/>
    <w:rsid w:val="00DD16F0"/>
    <w:rsid w:val="00DD55F8"/>
    <w:rsid w:val="00DD638C"/>
    <w:rsid w:val="00DE6A6F"/>
    <w:rsid w:val="00E0424E"/>
    <w:rsid w:val="00E12594"/>
    <w:rsid w:val="00E13AA2"/>
    <w:rsid w:val="00E1474C"/>
    <w:rsid w:val="00E202DE"/>
    <w:rsid w:val="00E23FD2"/>
    <w:rsid w:val="00E314C0"/>
    <w:rsid w:val="00E33242"/>
    <w:rsid w:val="00E33479"/>
    <w:rsid w:val="00E35A31"/>
    <w:rsid w:val="00E36CA3"/>
    <w:rsid w:val="00E377E4"/>
    <w:rsid w:val="00E413C5"/>
    <w:rsid w:val="00E4147B"/>
    <w:rsid w:val="00E42F5B"/>
    <w:rsid w:val="00E474E8"/>
    <w:rsid w:val="00E55F58"/>
    <w:rsid w:val="00E57978"/>
    <w:rsid w:val="00E639AC"/>
    <w:rsid w:val="00E66007"/>
    <w:rsid w:val="00E67567"/>
    <w:rsid w:val="00E70ECB"/>
    <w:rsid w:val="00E803F3"/>
    <w:rsid w:val="00E87112"/>
    <w:rsid w:val="00E91561"/>
    <w:rsid w:val="00E9240F"/>
    <w:rsid w:val="00E92C25"/>
    <w:rsid w:val="00EB1BBC"/>
    <w:rsid w:val="00EB4A42"/>
    <w:rsid w:val="00EB7C7E"/>
    <w:rsid w:val="00EC32D4"/>
    <w:rsid w:val="00EC71F0"/>
    <w:rsid w:val="00ED1C76"/>
    <w:rsid w:val="00ED3731"/>
    <w:rsid w:val="00EE1AA1"/>
    <w:rsid w:val="00EE7015"/>
    <w:rsid w:val="00EE7BFF"/>
    <w:rsid w:val="00EF10B5"/>
    <w:rsid w:val="00EF1EC4"/>
    <w:rsid w:val="00EF365F"/>
    <w:rsid w:val="00F02996"/>
    <w:rsid w:val="00F04962"/>
    <w:rsid w:val="00F06B72"/>
    <w:rsid w:val="00F15EA0"/>
    <w:rsid w:val="00F2453A"/>
    <w:rsid w:val="00F27990"/>
    <w:rsid w:val="00F36C4A"/>
    <w:rsid w:val="00F45F93"/>
    <w:rsid w:val="00F534F5"/>
    <w:rsid w:val="00F55FB7"/>
    <w:rsid w:val="00F640DB"/>
    <w:rsid w:val="00F64D20"/>
    <w:rsid w:val="00F6746C"/>
    <w:rsid w:val="00F67A96"/>
    <w:rsid w:val="00F72B59"/>
    <w:rsid w:val="00F73FAC"/>
    <w:rsid w:val="00F76963"/>
    <w:rsid w:val="00F83B41"/>
    <w:rsid w:val="00F9221D"/>
    <w:rsid w:val="00F92E3D"/>
    <w:rsid w:val="00FA3BF2"/>
    <w:rsid w:val="00FA5073"/>
    <w:rsid w:val="00FB030B"/>
    <w:rsid w:val="00FB5518"/>
    <w:rsid w:val="00FC01C5"/>
    <w:rsid w:val="00FC556E"/>
    <w:rsid w:val="00FC59FB"/>
    <w:rsid w:val="00FD24B7"/>
    <w:rsid w:val="00FE03E8"/>
    <w:rsid w:val="00FE3938"/>
    <w:rsid w:val="00FE5A2C"/>
    <w:rsid w:val="00FF14CE"/>
    <w:rsid w:val="00FF64C2"/>
    <w:rsid w:val="01BF19A3"/>
    <w:rsid w:val="08E00098"/>
    <w:rsid w:val="0F112B3A"/>
    <w:rsid w:val="0F849A4D"/>
    <w:rsid w:val="10635BE8"/>
    <w:rsid w:val="116C28B7"/>
    <w:rsid w:val="13BD70A3"/>
    <w:rsid w:val="1AB9E560"/>
    <w:rsid w:val="1BA34A4C"/>
    <w:rsid w:val="1C0291E2"/>
    <w:rsid w:val="1FD6F870"/>
    <w:rsid w:val="21131F7D"/>
    <w:rsid w:val="22CADF0D"/>
    <w:rsid w:val="2676E291"/>
    <w:rsid w:val="29990B9A"/>
    <w:rsid w:val="2CE827C6"/>
    <w:rsid w:val="2E5E7E52"/>
    <w:rsid w:val="34C32C13"/>
    <w:rsid w:val="3A5EDA45"/>
    <w:rsid w:val="3D24255F"/>
    <w:rsid w:val="3E8723EA"/>
    <w:rsid w:val="406FABB3"/>
    <w:rsid w:val="41A33668"/>
    <w:rsid w:val="42CED1B0"/>
    <w:rsid w:val="46AD1494"/>
    <w:rsid w:val="4764B538"/>
    <w:rsid w:val="4B543852"/>
    <w:rsid w:val="4E8A1902"/>
    <w:rsid w:val="51810BAC"/>
    <w:rsid w:val="51CF993A"/>
    <w:rsid w:val="52681F8F"/>
    <w:rsid w:val="552D2546"/>
    <w:rsid w:val="58992F09"/>
    <w:rsid w:val="6644C75E"/>
    <w:rsid w:val="68AD788A"/>
    <w:rsid w:val="68D8A2F0"/>
    <w:rsid w:val="68FB4C7A"/>
    <w:rsid w:val="70C7E40C"/>
    <w:rsid w:val="73FED502"/>
    <w:rsid w:val="75E1E3B5"/>
    <w:rsid w:val="78450C60"/>
    <w:rsid w:val="7AB7CEA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EFCF"/>
  <w15:chartTrackingRefBased/>
  <w15:docId w15:val="{38128124-FFCF-4B12-9CB0-FCDB292C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16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16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169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69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69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69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69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69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69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69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169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169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169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69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69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69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69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69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6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69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69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69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69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699A"/>
    <w:rPr>
      <w:i/>
      <w:iCs/>
      <w:color w:val="404040" w:themeColor="text1" w:themeTint="BF"/>
    </w:rPr>
  </w:style>
  <w:style w:type="paragraph" w:styleId="Paragrafoelenco">
    <w:name w:val="List Paragraph"/>
    <w:basedOn w:val="Normale"/>
    <w:uiPriority w:val="34"/>
    <w:qFormat/>
    <w:rsid w:val="0041699A"/>
    <w:pPr>
      <w:ind w:left="720"/>
      <w:contextualSpacing/>
    </w:pPr>
  </w:style>
  <w:style w:type="character" w:styleId="Enfasiintensa">
    <w:name w:val="Intense Emphasis"/>
    <w:basedOn w:val="Carpredefinitoparagrafo"/>
    <w:uiPriority w:val="21"/>
    <w:qFormat/>
    <w:rsid w:val="0041699A"/>
    <w:rPr>
      <w:i/>
      <w:iCs/>
      <w:color w:val="0F4761" w:themeColor="accent1" w:themeShade="BF"/>
    </w:rPr>
  </w:style>
  <w:style w:type="paragraph" w:styleId="Citazioneintensa">
    <w:name w:val="Intense Quote"/>
    <w:basedOn w:val="Normale"/>
    <w:next w:val="Normale"/>
    <w:link w:val="CitazioneintensaCarattere"/>
    <w:uiPriority w:val="30"/>
    <w:qFormat/>
    <w:rsid w:val="00416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699A"/>
    <w:rPr>
      <w:i/>
      <w:iCs/>
      <w:color w:val="0F4761" w:themeColor="accent1" w:themeShade="BF"/>
    </w:rPr>
  </w:style>
  <w:style w:type="character" w:styleId="Riferimentointenso">
    <w:name w:val="Intense Reference"/>
    <w:basedOn w:val="Carpredefinitoparagrafo"/>
    <w:uiPriority w:val="32"/>
    <w:qFormat/>
    <w:rsid w:val="0041699A"/>
    <w:rPr>
      <w:b/>
      <w:bCs/>
      <w:smallCaps/>
      <w:color w:val="0F4761" w:themeColor="accent1" w:themeShade="BF"/>
      <w:spacing w:val="5"/>
    </w:rPr>
  </w:style>
  <w:style w:type="table" w:styleId="Grigliatabella">
    <w:name w:val="Table Grid"/>
    <w:basedOn w:val="Tabellanormale"/>
    <w:uiPriority w:val="39"/>
    <w:rsid w:val="00416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C556E"/>
    <w:rPr>
      <w:color w:val="467886" w:themeColor="hyperlink"/>
      <w:u w:val="single"/>
    </w:rPr>
  </w:style>
  <w:style w:type="character" w:styleId="Menzionenonrisolta">
    <w:name w:val="Unresolved Mention"/>
    <w:basedOn w:val="Carpredefinitoparagrafo"/>
    <w:uiPriority w:val="99"/>
    <w:semiHidden/>
    <w:unhideWhenUsed/>
    <w:rsid w:val="00FC556E"/>
    <w:rPr>
      <w:color w:val="605E5C"/>
      <w:shd w:val="clear" w:color="auto" w:fill="E1DFDD"/>
    </w:rPr>
  </w:style>
  <w:style w:type="character" w:styleId="Rimandocommento">
    <w:name w:val="annotation reference"/>
    <w:basedOn w:val="Carpredefinitoparagrafo"/>
    <w:uiPriority w:val="99"/>
    <w:semiHidden/>
    <w:unhideWhenUsed/>
    <w:rsid w:val="00682408"/>
    <w:rPr>
      <w:sz w:val="16"/>
      <w:szCs w:val="16"/>
    </w:rPr>
  </w:style>
  <w:style w:type="paragraph" w:styleId="Testocommento">
    <w:name w:val="annotation text"/>
    <w:basedOn w:val="Normale"/>
    <w:link w:val="TestocommentoCarattere"/>
    <w:uiPriority w:val="99"/>
    <w:unhideWhenUsed/>
    <w:rsid w:val="00682408"/>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2408"/>
    <w:rPr>
      <w:sz w:val="20"/>
      <w:szCs w:val="20"/>
    </w:rPr>
  </w:style>
  <w:style w:type="paragraph" w:styleId="Soggettocommento">
    <w:name w:val="annotation subject"/>
    <w:basedOn w:val="Testocommento"/>
    <w:next w:val="Testocommento"/>
    <w:link w:val="SoggettocommentoCarattere"/>
    <w:uiPriority w:val="99"/>
    <w:semiHidden/>
    <w:unhideWhenUsed/>
    <w:rsid w:val="00682408"/>
    <w:rPr>
      <w:b/>
      <w:bCs/>
    </w:rPr>
  </w:style>
  <w:style w:type="character" w:customStyle="1" w:styleId="SoggettocommentoCarattere">
    <w:name w:val="Soggetto commento Carattere"/>
    <w:basedOn w:val="TestocommentoCarattere"/>
    <w:link w:val="Soggettocommento"/>
    <w:uiPriority w:val="99"/>
    <w:semiHidden/>
    <w:rsid w:val="00682408"/>
    <w:rPr>
      <w:b/>
      <w:bCs/>
      <w:sz w:val="20"/>
      <w:szCs w:val="20"/>
    </w:rPr>
  </w:style>
  <w:style w:type="paragraph" w:styleId="Revisione">
    <w:name w:val="Revision"/>
    <w:hidden/>
    <w:uiPriority w:val="99"/>
    <w:semiHidden/>
    <w:rsid w:val="00AC3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9564F29ACBC4481C28043B7BDF4F1" ma:contentTypeVersion="21" ma:contentTypeDescription="Create a new document." ma:contentTypeScope="" ma:versionID="1950e7ce999701ca76d9c5f25a1766be">
  <xsd:schema xmlns:xsd="http://www.w3.org/2001/XMLSchema" xmlns:xs="http://www.w3.org/2001/XMLSchema" xmlns:p="http://schemas.microsoft.com/office/2006/metadata/properties" xmlns:ns2="4f62d9cf-b3af-4fc4-9e30-7b4955302c48" xmlns:ns3="153ac1fb-c370-478c-a564-cdf742559d23" targetNamespace="http://schemas.microsoft.com/office/2006/metadata/properties" ma:root="true" ma:fieldsID="9d1beef9efbeeb87673ebaf099256cab" ns2:_="" ns3:_="">
    <xsd:import namespace="4f62d9cf-b3af-4fc4-9e30-7b4955302c48"/>
    <xsd:import namespace="153ac1fb-c370-478c-a564-cdf742559d2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Tag" minOccurs="0"/>
                <xsd:element ref="ns2:Not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2d9cf-b3af-4fc4-9e30-7b495530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ag" ma:index="18" nillable="true" ma:displayName="Tag" ma:format="Dropdown" ma:internalName="Tag">
      <xsd:simpleType>
        <xsd:restriction base="dms:Text">
          <xsd:maxLength value="255"/>
        </xsd:restriction>
      </xsd:simpleType>
    </xsd:element>
    <xsd:element name="Note" ma:index="19" nillable="true" ma:displayName="Note" ma:format="Dropdown" ma:internalName="Note">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1addf5-33b0-44d8-8cb5-cf6d89ac4c6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ac1fb-c370-478c-a564-cdf742559d2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0a4ab00-6183-4835-b793-66a7b157a1fd}" ma:internalName="TaxCatchAll" ma:showField="CatchAllData" ma:web="153ac1fb-c370-478c-a564-cdf742559d2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3ac1fb-c370-478c-a564-cdf742559d23" xsi:nil="true"/>
    <Tag xmlns="4f62d9cf-b3af-4fc4-9e30-7b4955302c48" xsi:nil="true"/>
    <lcf76f155ced4ddcb4097134ff3c332f xmlns="4f62d9cf-b3af-4fc4-9e30-7b4955302c48">
      <Terms xmlns="http://schemas.microsoft.com/office/infopath/2007/PartnerControls"/>
    </lcf76f155ced4ddcb4097134ff3c332f>
    <Note xmlns="4f62d9cf-b3af-4fc4-9e30-7b4955302c48" xsi:nil="true"/>
  </documentManagement>
</p:properties>
</file>

<file path=customXml/itemProps1.xml><?xml version="1.0" encoding="utf-8"?>
<ds:datastoreItem xmlns:ds="http://schemas.openxmlformats.org/officeDocument/2006/customXml" ds:itemID="{7CB420B7-91FF-4C05-998A-2829395F0F01}">
  <ds:schemaRefs>
    <ds:schemaRef ds:uri="http://schemas.microsoft.com/sharepoint/v3/contenttype/forms"/>
  </ds:schemaRefs>
</ds:datastoreItem>
</file>

<file path=customXml/itemProps2.xml><?xml version="1.0" encoding="utf-8"?>
<ds:datastoreItem xmlns:ds="http://schemas.openxmlformats.org/officeDocument/2006/customXml" ds:itemID="{4DB59699-87EA-4DA2-9FB6-846844D05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2d9cf-b3af-4fc4-9e30-7b4955302c48"/>
    <ds:schemaRef ds:uri="153ac1fb-c370-478c-a564-cdf74255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8CCB6-D4D2-4738-8A73-5196FA937C32}">
  <ds:schemaRefs>
    <ds:schemaRef ds:uri="http://schemas.openxmlformats.org/officeDocument/2006/bibliography"/>
  </ds:schemaRefs>
</ds:datastoreItem>
</file>

<file path=customXml/itemProps4.xml><?xml version="1.0" encoding="utf-8"?>
<ds:datastoreItem xmlns:ds="http://schemas.openxmlformats.org/officeDocument/2006/customXml" ds:itemID="{267CD007-7C48-462A-A947-ACED171FA1D7}">
  <ds:schemaRefs>
    <ds:schemaRef ds:uri="http://schemas.microsoft.com/office/2006/metadata/properties"/>
    <ds:schemaRef ds:uri="http://schemas.microsoft.com/office/infopath/2007/PartnerControls"/>
    <ds:schemaRef ds:uri="153ac1fb-c370-478c-a564-cdf742559d23"/>
    <ds:schemaRef ds:uri="4f62d9cf-b3af-4fc4-9e30-7b4955302c48"/>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3041</Words>
  <Characters>17307</Characters>
  <Application>Microsoft Office Word</Application>
  <DocSecurity>0</DocSecurity>
  <Lines>824</Lines>
  <Paragraphs>496</Paragraphs>
  <ScaleCrop>false</ScaleCrop>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Macchi</dc:creator>
  <cp:keywords/>
  <dc:description/>
  <cp:lastModifiedBy>Valentina Altobelli</cp:lastModifiedBy>
  <cp:revision>359</cp:revision>
  <dcterms:created xsi:type="dcterms:W3CDTF">2025-08-05T16:35:00Z</dcterms:created>
  <dcterms:modified xsi:type="dcterms:W3CDTF">2026-03-30T14:39:00Z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0x0101001999564F29ACBC4481C28043B7BDF4F1</vt:lpwstr>
  </property>
</Properties>
</file>