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1045" w14:textId="77777777" w:rsidR="00046C2C" w:rsidRPr="00791F12" w:rsidRDefault="00046C2C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>SUPPLEMENT PART 1</w:t>
      </w:r>
    </w:p>
    <w:p w14:paraId="6A8CEA11" w14:textId="3E038506" w:rsidR="00C337C1" w:rsidRPr="00791F12" w:rsidRDefault="00C337C1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>MATERIALS AND METHODS</w:t>
      </w:r>
    </w:p>
    <w:p w14:paraId="3AFC8876" w14:textId="6E9921C5" w:rsidR="00C337C1" w:rsidRPr="00791F12" w:rsidRDefault="00C337C1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Study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Setting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Period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Ethics</w:t>
      </w:r>
      <w:proofErr w:type="spellEnd"/>
    </w:p>
    <w:p w14:paraId="050BDB21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Karadeniz Technical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Scientific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Ethics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(Protocol No: 2018/142)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retrospectively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ventilator-associated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(VAP)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intensive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unit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(ICU) of Karadeniz Technical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January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1, 2015,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30, 2018.</w:t>
      </w:r>
    </w:p>
    <w:p w14:paraId="32E246AC" w14:textId="48C2360B" w:rsidR="00C337C1" w:rsidRPr="00791F12" w:rsidRDefault="00C337C1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Study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Design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Data Collection</w:t>
      </w:r>
    </w:p>
    <w:p w14:paraId="2DBE0B7A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ICU of Karadeniz Technical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monitored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daily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rounds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member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Diseases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Microbiology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assistant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nurse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rounds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follow-up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charts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completed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assistant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nurse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6ECB1CBC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enrollment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follow-up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charts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daily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consultation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services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ICUs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Demographic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vital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signs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medication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mechanical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ventilation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(MV)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settings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progress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notes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consultation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chest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radiographs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retrospectively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reviewed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transferred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study-specific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Appendix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1). Post-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follow-up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consultation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notes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discharge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summaries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outpatient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clinic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011A5B33" w14:textId="60CB21C0" w:rsidR="00C337C1" w:rsidRPr="00791F12" w:rsidRDefault="00C337C1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Inclusion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Exclusion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</w:p>
    <w:p w14:paraId="6B297397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Inclusion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Centers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Disease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Control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Prevention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(CDC)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medical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:</w:t>
      </w:r>
    </w:p>
    <w:p w14:paraId="30444D50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aged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≥18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br/>
        <w:t xml:space="preserve">b)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time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intubation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developed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≥48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initiation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invasive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mechanical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ventilation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br/>
        <w:t xml:space="preserve">c) Presence of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least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two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:</w:t>
      </w:r>
    </w:p>
    <w:p w14:paraId="4756B2D4" w14:textId="77777777" w:rsidR="00C337C1" w:rsidRPr="00791F12" w:rsidRDefault="00C337C1" w:rsidP="00C337C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Fever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hypothermia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(oral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rectal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&gt;38°C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&lt;36°C)</w:t>
      </w:r>
    </w:p>
    <w:p w14:paraId="641754C4" w14:textId="77777777" w:rsidR="00C337C1" w:rsidRPr="00791F12" w:rsidRDefault="00C337C1" w:rsidP="00C337C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Leukocytosis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(&gt;12,000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/mm³)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leukopenia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(&lt;4,000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/mm³)</w:t>
      </w:r>
    </w:p>
    <w:p w14:paraId="6E1BD6AA" w14:textId="77777777" w:rsidR="00C337C1" w:rsidRPr="00791F12" w:rsidRDefault="00C337C1" w:rsidP="00C337C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Presence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purulent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secretions</w:t>
      </w:r>
      <w:proofErr w:type="spellEnd"/>
    </w:p>
    <w:p w14:paraId="3D073470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d) Presence of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least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:</w:t>
      </w:r>
    </w:p>
    <w:p w14:paraId="5873901E" w14:textId="77777777" w:rsidR="00C337C1" w:rsidRPr="00791F12" w:rsidRDefault="00C337C1" w:rsidP="00C337C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Hypoxemia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defined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arterial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partial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pressure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oxygen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₂) &lt;60 mmHg,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oxygen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saturation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&lt;90%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room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air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measured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pulse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oximetry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worsening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₂/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₂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ratio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documented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failure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requiring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mechanical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ventilation</w:t>
      </w:r>
      <w:proofErr w:type="spellEnd"/>
    </w:p>
    <w:p w14:paraId="646CAA29" w14:textId="77777777" w:rsidR="00C337C1" w:rsidRPr="00791F12" w:rsidRDefault="00C337C1" w:rsidP="00C337C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Documented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examination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consistent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consolidation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e.g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rales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pleural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friction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rub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)</w:t>
      </w:r>
    </w:p>
    <w:p w14:paraId="37C8C9E0" w14:textId="77777777" w:rsidR="00C337C1" w:rsidRPr="00791F12" w:rsidRDefault="00C337C1" w:rsidP="00C337C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Gram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staining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≥25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leukocytes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≤10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squamous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epithelial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low-power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field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(×10),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presence of Gram-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positive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Gram-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negative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positive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previous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positive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urinary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antigen test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i/>
          <w:iCs/>
          <w:sz w:val="20"/>
          <w:szCs w:val="20"/>
        </w:rPr>
        <w:t>Legionella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spp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2CF56E31" w14:textId="77777777" w:rsidR="00C337C1" w:rsidRPr="00791F12" w:rsidRDefault="00C337C1" w:rsidP="00C337C1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New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progressive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infiltrates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parapneumonic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effusion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consistent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chest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radiography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computed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tomography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prior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diagnosis</w:t>
      </w:r>
      <w:proofErr w:type="spellEnd"/>
    </w:p>
    <w:p w14:paraId="5E912324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Exclusion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:</w:t>
      </w:r>
    </w:p>
    <w:p w14:paraId="00FE1804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lastRenderedPageBreak/>
        <w:t xml:space="preserve">a)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community-acquired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br/>
        <w:t xml:space="preserve">b)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Known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suspected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active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tuberculosis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cystic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fibrosis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immunodeficiency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virus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CD4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count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&lt;200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/mm³,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invasive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pulmonary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fungal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suspected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confirmed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empyema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lung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abscess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br/>
        <w:t xml:space="preserve">c) Presence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time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intubation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br/>
        <w:t xml:space="preserve">d) Presence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concomitant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focus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except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bacteremia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secondary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pneumonia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br/>
        <w:t xml:space="preserve">e)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lacking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3, 5,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excluded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study</w:t>
      </w:r>
      <w:proofErr w:type="spellEnd"/>
    </w:p>
    <w:p w14:paraId="2EEBEF33" w14:textId="40CF4F53" w:rsidR="00C337C1" w:rsidRPr="00791F12" w:rsidRDefault="00C337C1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Study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Protocol</w:t>
      </w:r>
    </w:p>
    <w:p w14:paraId="2C4455A4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retrospective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study-specific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Appendix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1)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:</w:t>
      </w:r>
    </w:p>
    <w:p w14:paraId="549638F3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Age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birth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2213A599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Primary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leading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ICU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admission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categorized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trauma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postoperative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neurological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diseases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e.g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cerebrovascular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events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Guillain-Barré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syndrome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failure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due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underlying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pulmonary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cardiac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diseases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medical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66C49C2C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Medical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history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obstructive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pulmonary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disease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asthma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bronchiectasis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prior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lung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surgery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thoracic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trauma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cardiac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disease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diabetes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mellitus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hypertension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malignancy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immunosuppressive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therapy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1FA829AA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Length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hospital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ICU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stay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calendar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admission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115324E5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Catheter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MV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counted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beginning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procedure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3DBB1944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Steroid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proton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pump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inhibitor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documented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nursing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observation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time of VAP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regardless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dose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duration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4DC528C2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Radiological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chest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radiographs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preceding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supplemented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computed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tomography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images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categorized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newly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developed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progressive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localized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lobar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infiltration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newly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developed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progressive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diffuse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infiltration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absence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suggestive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VAP.</w:t>
      </w:r>
    </w:p>
    <w:p w14:paraId="1FB97943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collection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endotracheal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aspirate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bronchoalveolar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lavage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technique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semiquantitative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isolated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monomicrobial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polymicrobial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296DD090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Non-respiratory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cultures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blood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urine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wound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microbial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causative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relevance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74E6FA41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C-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reactive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protein (mg/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leukocyte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count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(/µL),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erythrocyte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sedimentation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rate (mm/h),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procalcitonin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(µg/L),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creatinine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(mg/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3, 5,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7.</w:t>
      </w:r>
    </w:p>
    <w:p w14:paraId="5C1B7690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Glomerular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filtration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rate (GFR)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CKD-EPI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formula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0, 3, 5,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24A06255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Pulmonary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(CPIS)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3, 5,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7.</w:t>
      </w:r>
    </w:p>
    <w:p w14:paraId="37E91F8F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Body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highest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lowest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48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prior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056C9223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Glasgow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Scale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0, 3, 5,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lowest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daily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multiple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measurements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312EEC62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₂/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₂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ratio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arterial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blood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₂ 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MV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estimated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formula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₂ = 20 + (4 ×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oxygen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rate in L/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lowest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daily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702F30C2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lastRenderedPageBreak/>
        <w:t>Initial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antimicrobial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therapy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categories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main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antibiotic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regimen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colistin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, Gram-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positive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coverage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fluoroquinolones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aminoglycosides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5D6E756A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modification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antibiotics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defined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modification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719B55EC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duration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infusion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accounting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dose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adjustments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GFR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creatinine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clearance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6F3C2695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Antibiotic-free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antimicrobial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therapy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VAP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71A1190A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Time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VAP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post-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hospital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stay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calendar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4C4A78A9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Microbiological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eradication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defined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absence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initial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causative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microorganism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cultures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before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completion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6003D81D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Mortality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assessed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28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until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hospital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discharge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0E86BFE2" w14:textId="77777777" w:rsidR="00C337C1" w:rsidRPr="00791F12" w:rsidRDefault="00C337C1" w:rsidP="00C337C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Empirical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therapy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appropriate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isolated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susceptible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improvement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07D1C17F" w14:textId="77777777" w:rsidR="00046C2C" w:rsidRPr="00791F12" w:rsidRDefault="00046C2C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27BF16E" w14:textId="1501F99D" w:rsidR="00C337C1" w:rsidRPr="00791F12" w:rsidRDefault="00C337C1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Study</w:t>
      </w:r>
      <w:proofErr w:type="spellEnd"/>
      <w:r w:rsidRPr="00791F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sz w:val="20"/>
          <w:szCs w:val="20"/>
        </w:rPr>
        <w:t>Population</w:t>
      </w:r>
      <w:proofErr w:type="spellEnd"/>
    </w:p>
    <w:p w14:paraId="1E93E424" w14:textId="34CCE9FB" w:rsidR="005E428F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r w:rsidRPr="00791F12">
        <w:rPr>
          <w:rFonts w:ascii="Times New Roman" w:hAnsi="Times New Roman" w:cs="Times New Roman"/>
          <w:sz w:val="20"/>
          <w:szCs w:val="20"/>
        </w:rPr>
        <w:t xml:space="preserve">A total of 286 VAP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184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meeting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inclusion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(n=34),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multiple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foci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(n=22),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early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mortality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(n=40), presence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empyema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(n=10),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focus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of VAP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(n=33)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excluded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Ultimately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147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111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categorized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two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short-course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(7–10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long-course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(&gt;10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).</w:t>
      </w:r>
    </w:p>
    <w:p w14:paraId="2BCB577D" w14:textId="77777777" w:rsidR="00046C2C" w:rsidRPr="00791F12" w:rsidRDefault="00046C2C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9779AB" w14:textId="1C55B1D4" w:rsidR="00C337C1" w:rsidRPr="00791F12" w:rsidRDefault="00C337C1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>6. Statistical Analysis</w:t>
      </w:r>
    </w:p>
    <w:p w14:paraId="152379FA" w14:textId="77777777" w:rsidR="00C337C1" w:rsidRPr="00791F12" w:rsidRDefault="00C337C1" w:rsidP="00C337C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in Microsoft Excel 2015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SPSS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Windows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version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22.0.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Continuous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expressed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±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standard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median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interquartile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range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categorical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percentage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Distribution of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assessed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Kolmogorov–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Smirnov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test.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Parametric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Student’s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t-test,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nonparametric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Mann–Whitney U test.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Categorical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chi-square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Fisher’s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exact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test.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p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odds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ratios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95%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confidence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intervals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Statistical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significance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defined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as p&lt;0.05.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Spearman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non-normally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distributed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Receiver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operating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characteristic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(ROC)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calculate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area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(AUC),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cut-off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sensitivity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specificity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positive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predictive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negative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predictive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791F12">
        <w:rPr>
          <w:rFonts w:ascii="Times New Roman" w:hAnsi="Times New Roman" w:cs="Times New Roman"/>
          <w:sz w:val="20"/>
          <w:szCs w:val="20"/>
        </w:rPr>
        <w:t>.</w:t>
      </w:r>
    </w:p>
    <w:p w14:paraId="12E6F980" w14:textId="77777777" w:rsidR="00046C2C" w:rsidRPr="00791F12" w:rsidRDefault="00046C2C" w:rsidP="00046C2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6A8F77D" w14:textId="77777777" w:rsidR="00046C2C" w:rsidRPr="00791F12" w:rsidRDefault="00046C2C" w:rsidP="00046C2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CBF0EE8" w14:textId="23197D9B" w:rsidR="0072494B" w:rsidRPr="00791F12" w:rsidRDefault="00046C2C" w:rsidP="00C337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>SUPPLEMENT PART 2</w:t>
      </w:r>
    </w:p>
    <w:p w14:paraId="4C4CB30F" w14:textId="719DB893" w:rsidR="00FF5DCD" w:rsidRPr="00FF5DCD" w:rsidRDefault="00046C2C" w:rsidP="00FF5D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sz w:val="20"/>
          <w:szCs w:val="20"/>
        </w:rPr>
        <w:t>SUPPLEMENTARY RESULTS</w:t>
      </w:r>
    </w:p>
    <w:p w14:paraId="357E2084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Detailed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Statistical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Results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Short-Term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Long-Term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</w:p>
    <w:p w14:paraId="47BBC6A6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A total of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147 VAP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30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receiving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short-term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(STTG)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112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81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receiving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long-term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(LTTG)</w:t>
      </w:r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09C09DA8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demographic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age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sex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two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(p&gt;0.05).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primary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diagnoses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or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underlying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comorbidities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time of VAP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(p&gt;0.05).</w:t>
      </w:r>
    </w:p>
    <w:p w14:paraId="3D6CF738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lastRenderedPageBreak/>
        <w:t xml:space="preserve">At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time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mean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duration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hospitalization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35.2±65.4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40.9±65.5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duration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ICU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30.7±63.4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36.2±62.6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5.7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total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hospital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5.5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ICU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statistically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(p&gt;0.05).</w:t>
      </w:r>
    </w:p>
    <w:p w14:paraId="1854FA3C" w14:textId="5DA6E3D4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0F108FF0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Baseline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Clinical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Laboratory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Findings</w:t>
      </w:r>
      <w:proofErr w:type="spellEnd"/>
    </w:p>
    <w:p w14:paraId="096EB040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At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time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statistically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766C345B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FF5DCD">
        <w:rPr>
          <w:rFonts w:ascii="Times New Roman" w:hAnsi="Times New Roman" w:cs="Times New Roman"/>
          <w:sz w:val="20"/>
          <w:szCs w:val="20"/>
        </w:rPr>
        <w:t>presence</w:t>
      </w:r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increased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secretions</w:t>
      </w:r>
      <w:proofErr w:type="spellEnd"/>
    </w:p>
    <w:p w14:paraId="30216E3C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FF5DCD">
        <w:rPr>
          <w:rFonts w:ascii="Times New Roman" w:hAnsi="Times New Roman" w:cs="Times New Roman"/>
          <w:sz w:val="20"/>
          <w:szCs w:val="20"/>
        </w:rPr>
        <w:t>presence</w:t>
      </w:r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duration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invasive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devices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central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venous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catheter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Foley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urinary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catheter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thoracic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tube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)</w:t>
      </w:r>
    </w:p>
    <w:p w14:paraId="0D8ED249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parameters</w:t>
      </w:r>
      <w:proofErr w:type="spellEnd"/>
    </w:p>
    <w:p w14:paraId="3B25EFDE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leukocyte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count</w:t>
      </w:r>
      <w:proofErr w:type="spellEnd"/>
    </w:p>
    <w:p w14:paraId="396FFE13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C-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reactive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protein (CRP)</w:t>
      </w:r>
    </w:p>
    <w:p w14:paraId="1873045C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erythrocyte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sedimentation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rate</w:t>
      </w:r>
    </w:p>
    <w:p w14:paraId="0F7AEEA7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₂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ratio</w:t>
      </w:r>
      <w:proofErr w:type="spellEnd"/>
    </w:p>
    <w:p w14:paraId="7A223D1A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procalcitonin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(PCT)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level</w:t>
      </w:r>
      <w:proofErr w:type="spellEnd"/>
    </w:p>
    <w:p w14:paraId="0E8F16BE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creatinine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level</w:t>
      </w:r>
      <w:proofErr w:type="spellEnd"/>
    </w:p>
    <w:p w14:paraId="22683A16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Pulmonary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Infection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(CPIS)</w:t>
      </w:r>
    </w:p>
    <w:p w14:paraId="13892746" w14:textId="77777777" w:rsidR="00FF5DCD" w:rsidRPr="00FF5DCD" w:rsidRDefault="00FF5DCD" w:rsidP="00FF5DC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glomerular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filtration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rate (GFR)</w:t>
      </w:r>
    </w:p>
    <w:p w14:paraId="0FB474A3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all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p&gt;0.05).</w:t>
      </w:r>
    </w:p>
    <w:p w14:paraId="18EB3A47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radiographic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findings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suggestive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VAP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detected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65.7%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84.8%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2.92-fold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higher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(p=0.025; OR=2.92; 95% CI=1.12–7.57).</w:t>
      </w:r>
    </w:p>
    <w:p w14:paraId="13277DF4" w14:textId="726D140B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6D17AA0B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Clinical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Course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Inflammatory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Markers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Treatment</w:t>
      </w:r>
      <w:proofErr w:type="spellEnd"/>
    </w:p>
    <w:p w14:paraId="3FE34EDF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presence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at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48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hours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before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, 24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hours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before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or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at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time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(p&gt;0.05).</w:t>
      </w:r>
    </w:p>
    <w:p w14:paraId="0E55A9FD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076714BF" w14:textId="77777777" w:rsidR="00FF5DCD" w:rsidRPr="00FF5DCD" w:rsidRDefault="00FF5DCD" w:rsidP="00FF5D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febrile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times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frequent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(p=0.020; OR=4.0; 95% CI=1.66–9.89).</w:t>
      </w:r>
    </w:p>
    <w:p w14:paraId="1893A1F4" w14:textId="77777777" w:rsidR="00FF5DCD" w:rsidRPr="00FF5DCD" w:rsidRDefault="00FF5DCD" w:rsidP="00FF5D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5.26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times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frequent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(p=0.004).</w:t>
      </w:r>
    </w:p>
    <w:p w14:paraId="72B8DAD0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resolution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occurred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earlier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STTG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3.2±1.6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LTTG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5.3±2.9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) (p=0.004).</w:t>
      </w:r>
    </w:p>
    <w:p w14:paraId="38AF6136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mean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leukocyte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count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erythrocyte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sedimentation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rate</w:t>
      </w:r>
      <w:r w:rsidRPr="00FF5DCD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3, 5,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7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3B313400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CRP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Pr="00FF5DCD">
        <w:rPr>
          <w:rFonts w:ascii="Times New Roman" w:hAnsi="Times New Roman" w:cs="Times New Roman"/>
          <w:sz w:val="20"/>
          <w:szCs w:val="20"/>
        </w:rPr>
        <w:t xml:space="preserve">, but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 CRP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lower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(10.7±8.5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14.2±8.5; p=0.030).</w:t>
      </w:r>
    </w:p>
    <w:p w14:paraId="69A4C69A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lastRenderedPageBreak/>
        <w:t>Similarly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mean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PCT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levels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lower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STTG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>2.0±3.6</w:t>
      </w:r>
      <w:r w:rsidRPr="00FF5DC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LTTG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>6.5±12.5</w:t>
      </w:r>
      <w:r w:rsidRPr="00FF5DCD">
        <w:rPr>
          <w:rFonts w:ascii="Times New Roman" w:hAnsi="Times New Roman" w:cs="Times New Roman"/>
          <w:sz w:val="20"/>
          <w:szCs w:val="20"/>
        </w:rPr>
        <w:t xml:space="preserve">) (p=0.009).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proportion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PCT &gt;</w:t>
      </w:r>
      <w:proofErr w:type="gram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0.5 µg/L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41.9%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67.6%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(p=0.010; OR=0.35; 95% CI=0.14–0.85).</w:t>
      </w:r>
    </w:p>
    <w:p w14:paraId="716403A5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Since PCT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influenced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renal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creatinine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levels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GFR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calculated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using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CKD-EPI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formula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number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whose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GFR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decreased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below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60, 30,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or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15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(p&gt;0.05).</w:t>
      </w:r>
    </w:p>
    <w:p w14:paraId="24ECBAE4" w14:textId="54DB0C20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28CA90AD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Oxygenation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Clinical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Severity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Scores</w:t>
      </w:r>
      <w:proofErr w:type="spellEnd"/>
    </w:p>
    <w:p w14:paraId="7E1CFA23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₂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ratios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day-5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₂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ratio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higher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(p&lt;0.001).</w:t>
      </w:r>
    </w:p>
    <w:p w14:paraId="38B500E2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Glasgow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Coma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Scale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(GCS)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measured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3, 5,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7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1–1.7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points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statistically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(p&lt;0.05).</w:t>
      </w:r>
    </w:p>
    <w:p w14:paraId="12EFB4CC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CPIS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at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diagnosis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decrease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CPIS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greater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starting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from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reflecting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better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improvement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largest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difference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occurred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(p=0.003).</w:t>
      </w:r>
    </w:p>
    <w:p w14:paraId="10F7AFA8" w14:textId="3A652221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091A86B1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Microbiological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Findings</w:t>
      </w:r>
      <w:proofErr w:type="spellEnd"/>
    </w:p>
    <w:p w14:paraId="59ADF2CA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cultures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distribution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causative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pathogens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01481BF5" w14:textId="77777777" w:rsidR="00FF5DCD" w:rsidRPr="00FF5DCD" w:rsidRDefault="00FF5DCD" w:rsidP="00FF5DC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Monomicrobial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4665410C" w14:textId="77777777" w:rsidR="00FF5DCD" w:rsidRPr="00FF5DCD" w:rsidRDefault="00FF5DCD" w:rsidP="00FF5DCD">
      <w:pPr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STTG: 20% (n=7)</w:t>
      </w:r>
    </w:p>
    <w:p w14:paraId="357D484C" w14:textId="77777777" w:rsidR="00FF5DCD" w:rsidRPr="00FF5DCD" w:rsidRDefault="00FF5DCD" w:rsidP="00FF5DCD">
      <w:pPr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LTTG: 31.3% (n=35)</w:t>
      </w:r>
    </w:p>
    <w:p w14:paraId="224B4FDF" w14:textId="77777777" w:rsidR="00FF5DCD" w:rsidRPr="00FF5DCD" w:rsidRDefault="00FF5DCD" w:rsidP="00FF5DC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Polymicrobial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3E43E3B2" w14:textId="77777777" w:rsidR="00FF5DCD" w:rsidRPr="00FF5DCD" w:rsidRDefault="00FF5DCD" w:rsidP="00FF5DCD">
      <w:pPr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STTG: 77.1% (n=27)</w:t>
      </w:r>
    </w:p>
    <w:p w14:paraId="4D82FAA8" w14:textId="77777777" w:rsidR="00FF5DCD" w:rsidRPr="00FF5DCD" w:rsidRDefault="00FF5DCD" w:rsidP="00FF5DCD">
      <w:pPr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LTTG: 59.8% (n=67)</w:t>
      </w:r>
    </w:p>
    <w:p w14:paraId="34D6D473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F5DCD">
        <w:rPr>
          <w:rFonts w:ascii="Times New Roman" w:hAnsi="Times New Roman" w:cs="Times New Roman"/>
          <w:sz w:val="20"/>
          <w:szCs w:val="20"/>
        </w:rPr>
        <w:t>p</w:t>
      </w:r>
      <w:proofErr w:type="gramEnd"/>
      <w:r w:rsidRPr="00FF5DCD">
        <w:rPr>
          <w:rFonts w:ascii="Times New Roman" w:hAnsi="Times New Roman" w:cs="Times New Roman"/>
          <w:sz w:val="20"/>
          <w:szCs w:val="20"/>
        </w:rPr>
        <w:t>=0.154)</w:t>
      </w:r>
    </w:p>
    <w:p w14:paraId="30A11C51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involving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non-fermenting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Gram-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negative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bacteria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(NF-GNB)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(p=0.852).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NF-GNB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distribution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other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Gram-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negative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microorganisms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(p=0.121).</w:t>
      </w:r>
    </w:p>
    <w:p w14:paraId="2FC80F6A" w14:textId="1898D662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290433FE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Regimens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Modifications</w:t>
      </w:r>
      <w:proofErr w:type="spellEnd"/>
    </w:p>
    <w:p w14:paraId="214B72FD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initial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antibiotic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regimens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(p&gt;0.05).</w:t>
      </w:r>
    </w:p>
    <w:p w14:paraId="668713F9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67161CE8" w14:textId="77777777" w:rsidR="00FF5DCD" w:rsidRPr="00FF5DCD" w:rsidRDefault="00FF5DCD" w:rsidP="00FF5DC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FF5DCD">
        <w:rPr>
          <w:rFonts w:ascii="Times New Roman" w:hAnsi="Times New Roman" w:cs="Times New Roman"/>
          <w:sz w:val="20"/>
          <w:szCs w:val="20"/>
        </w:rPr>
        <w:t>presence</w:t>
      </w:r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of Gram-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positive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active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antibiotics</w:t>
      </w:r>
      <w:proofErr w:type="spellEnd"/>
    </w:p>
    <w:p w14:paraId="565FEE3C" w14:textId="77777777" w:rsidR="00FF5DCD" w:rsidRPr="00FF5DCD" w:rsidRDefault="00FF5DCD" w:rsidP="00FF5DC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5DCD">
        <w:rPr>
          <w:rFonts w:ascii="Times New Roman" w:hAnsi="Times New Roman" w:cs="Times New Roman"/>
          <w:sz w:val="20"/>
          <w:szCs w:val="20"/>
        </w:rPr>
        <w:t>quinolone</w:t>
      </w:r>
      <w:proofErr w:type="spellEnd"/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aminoglycoside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antibiotics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initial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regimen</w:t>
      </w:r>
      <w:proofErr w:type="spellEnd"/>
    </w:p>
    <w:p w14:paraId="39435A99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colistin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included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less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frequently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regimen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(25.7%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47.3%) (p=0.039; OR=0.39; 95% CI=0.15–0.96).</w:t>
      </w:r>
    </w:p>
    <w:p w14:paraId="67F78183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follow-up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1D3067F1" w14:textId="77777777" w:rsidR="00FF5DCD" w:rsidRPr="00FF5DCD" w:rsidRDefault="00FF5DCD" w:rsidP="00FF5DC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lastRenderedPageBreak/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modification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occurred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22.9% of STTG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56.3% of LTTG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(p&lt;0.001; OR=0.23; 95% CI=0.09–0.59).</w:t>
      </w:r>
    </w:p>
    <w:p w14:paraId="65104ADC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mean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modification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2.3±1.3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5.7±3.9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(p=0.007).</w:t>
      </w:r>
    </w:p>
    <w:p w14:paraId="3D14D09C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Appropriate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empirical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therapy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frequent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STTG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91.4%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71.4%</w:t>
      </w:r>
      <w:r w:rsidRPr="00FF5DCD">
        <w:rPr>
          <w:rFonts w:ascii="Times New Roman" w:hAnsi="Times New Roman" w:cs="Times New Roman"/>
          <w:sz w:val="20"/>
          <w:szCs w:val="20"/>
        </w:rPr>
        <w:t>) (p=0.021; OR=4.27; 95% CI=1.14–18.85).</w:t>
      </w:r>
    </w:p>
    <w:p w14:paraId="6293BFB8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positive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respiratory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cultures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antibiotic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susceptibility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isolated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pathogens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STTG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91.2%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71.6%</w:t>
      </w:r>
      <w:r w:rsidRPr="00FF5DCD">
        <w:rPr>
          <w:rFonts w:ascii="Times New Roman" w:hAnsi="Times New Roman" w:cs="Times New Roman"/>
          <w:sz w:val="20"/>
          <w:szCs w:val="20"/>
        </w:rPr>
        <w:t>) (p=0.035; OR=4.11; 95% CI=1.08–18.31).</w:t>
      </w:r>
    </w:p>
    <w:p w14:paraId="592EE7E2" w14:textId="7542A3F5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7782B479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Colistin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Use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Additional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Therapies</w:t>
      </w:r>
      <w:proofErr w:type="spellEnd"/>
    </w:p>
    <w:p w14:paraId="6C526AF5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Colistin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modification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occurred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2.9% of STTG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15.2% of LTTG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difference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statistically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(p=0.073).</w:t>
      </w:r>
    </w:p>
    <w:p w14:paraId="30DE3383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course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colistin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therapy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administered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frequently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(62.5%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28.6%) (p&lt;0.001; OR=0.24; 95% CI=0.10–0.59).</w:t>
      </w:r>
    </w:p>
    <w:p w14:paraId="576B01D4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>Gram-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positive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active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agents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inhaled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colistin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therapy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(p&gt;0.05).</w:t>
      </w:r>
    </w:p>
    <w:p w14:paraId="3F3208AB" w14:textId="41F87F91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7D835C1D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Complications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Clinical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Outcomes</w:t>
      </w:r>
      <w:proofErr w:type="spellEnd"/>
    </w:p>
    <w:p w14:paraId="3371B621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Secondary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bacteremia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related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VAP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occurred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frequently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LTTG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33.9%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8.6%</w:t>
      </w:r>
      <w:r w:rsidRPr="00FF5DCD">
        <w:rPr>
          <w:rFonts w:ascii="Times New Roman" w:hAnsi="Times New Roman" w:cs="Times New Roman"/>
          <w:sz w:val="20"/>
          <w:szCs w:val="20"/>
        </w:rPr>
        <w:t>) (p=0.003; OR=0.18; 95% CI=0.04–0.68).</w:t>
      </w:r>
    </w:p>
    <w:p w14:paraId="2C64D18D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>post-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ICU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hospital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durations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shorter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STTG,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statistically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32C7E597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second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VAP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episode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after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completion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frequent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LTTG (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38.3%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16.7%</w:t>
      </w:r>
      <w:r w:rsidRPr="00FF5DCD">
        <w:rPr>
          <w:rFonts w:ascii="Times New Roman" w:hAnsi="Times New Roman" w:cs="Times New Roman"/>
          <w:sz w:val="20"/>
          <w:szCs w:val="20"/>
        </w:rPr>
        <w:t>) (p=0.043; OR=0.41; 95% CI=0.17–0.97).</w:t>
      </w:r>
    </w:p>
    <w:p w14:paraId="39BFA3C1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interval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31.7±37.8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25.1±42.2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(p=0.207).</w:t>
      </w:r>
    </w:p>
    <w:p w14:paraId="07F9EB0C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STTG had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VAP-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free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(17.6±10.3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12.1±10.7; p=0.004).</w:t>
      </w:r>
    </w:p>
    <w:p w14:paraId="19BAED39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rate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microbiological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eradication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respiratory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cultures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(p=0.583).</w:t>
      </w:r>
    </w:p>
    <w:p w14:paraId="332B7096" w14:textId="432A1F1D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248AEBE8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Duration</w:t>
      </w:r>
      <w:proofErr w:type="spellEnd"/>
    </w:p>
    <w:p w14:paraId="0088ECB7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mean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duration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8.7±1.5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14.5±4.2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(p&lt;0.001).</w:t>
      </w:r>
    </w:p>
    <w:p w14:paraId="1FEDDC42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subgroups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0327972A" w14:textId="77777777" w:rsidR="00FF5DCD" w:rsidRPr="00FF5DCD" w:rsidRDefault="00FF5DCD" w:rsidP="00FF5DC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NF-GNB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infections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: 8.8±1.4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14.3±4.2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(p&lt;0.001)</w:t>
      </w:r>
    </w:p>
    <w:p w14:paraId="20DED44E" w14:textId="77777777" w:rsidR="00FF5DCD" w:rsidRPr="00FF5DCD" w:rsidRDefault="00FF5DCD" w:rsidP="00FF5DC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S.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aureus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infections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: 8.4±1.5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14.1±4.8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(p&lt;0.001)</w:t>
      </w:r>
    </w:p>
    <w:p w14:paraId="1F836C59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modification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prolong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increased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duration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(p=0.002).</w:t>
      </w:r>
    </w:p>
    <w:p w14:paraId="0FE0676B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STTG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experienced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significantly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antibiotic-free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after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(15.9±22.7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8.2±10.6; p=0.004).</w:t>
      </w:r>
    </w:p>
    <w:p w14:paraId="4EF52018" w14:textId="77777777" w:rsidR="00B07EA1" w:rsidRDefault="00B07EA1" w:rsidP="00FF5DCD">
      <w:pPr>
        <w:rPr>
          <w:rFonts w:ascii="Times New Roman" w:hAnsi="Times New Roman" w:cs="Times New Roman"/>
          <w:sz w:val="20"/>
          <w:szCs w:val="20"/>
        </w:rPr>
      </w:pPr>
    </w:p>
    <w:p w14:paraId="3342B35D" w14:textId="339DFCB9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lastRenderedPageBreak/>
        <w:t>Mortality</w:t>
      </w:r>
      <w:proofErr w:type="spellEnd"/>
    </w:p>
    <w:p w14:paraId="20E7D396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At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deaths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occurred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whereas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mortality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20.5%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(p=0.008).</w:t>
      </w:r>
    </w:p>
    <w:p w14:paraId="78ACE6AF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28-day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follow-up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mortality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5.7%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25.9%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(p=0.020; OR=0.17; 95% CI=0.03–0.81).</w:t>
      </w:r>
    </w:p>
    <w:p w14:paraId="1C1AD12F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hospital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survival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rate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62.9%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35.7%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(p=0.008),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indicating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3.05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times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higher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4BD7AED9" w14:textId="0E9E283C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2C5B8C35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Analysis of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Short-Term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Criteria</w:t>
      </w:r>
      <w:proofErr w:type="spellEnd"/>
    </w:p>
    <w:p w14:paraId="4F1E8AC5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statistical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evaluation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seven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identified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predict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eligibility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short-term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61BE8646" w14:textId="77777777" w:rsidR="00FF5DCD" w:rsidRPr="00FF5DCD" w:rsidRDefault="00FF5DCD" w:rsidP="00FF5D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Absence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fever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5</w:t>
      </w:r>
    </w:p>
    <w:p w14:paraId="65321C0C" w14:textId="77777777" w:rsidR="00FF5DCD" w:rsidRPr="00FF5DCD" w:rsidRDefault="00FF5DCD" w:rsidP="00FF5D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PCT ≤0.5 µg/L on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5</w:t>
      </w:r>
    </w:p>
    <w:p w14:paraId="4E6AD26C" w14:textId="77777777" w:rsidR="00FF5DCD" w:rsidRPr="00FF5DCD" w:rsidRDefault="00FF5DCD" w:rsidP="00FF5D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>CRP &lt;15 mg/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5</w:t>
      </w:r>
    </w:p>
    <w:p w14:paraId="73175FCF" w14:textId="77777777" w:rsidR="00FF5DCD" w:rsidRPr="00FF5DCD" w:rsidRDefault="00FF5DCD" w:rsidP="00FF5D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₂ &gt;300 mmHg on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5</w:t>
      </w:r>
    </w:p>
    <w:p w14:paraId="62C37B96" w14:textId="77777777" w:rsidR="00FF5DCD" w:rsidRPr="00FF5DCD" w:rsidRDefault="00FF5DCD" w:rsidP="00FF5D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sz w:val="20"/>
          <w:szCs w:val="20"/>
        </w:rPr>
        <w:t xml:space="preserve">CPIS ≤4 on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5</w:t>
      </w:r>
    </w:p>
    <w:p w14:paraId="00691F35" w14:textId="77777777" w:rsidR="00FF5DCD" w:rsidRPr="00FF5DCD" w:rsidRDefault="00FF5DCD" w:rsidP="00FF5D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Absence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bacteremia</w:t>
      </w:r>
      <w:proofErr w:type="spellEnd"/>
    </w:p>
    <w:p w14:paraId="5BDEF571" w14:textId="77777777" w:rsidR="00FF5DCD" w:rsidRPr="00FF5DCD" w:rsidRDefault="00FF5DCD" w:rsidP="00FF5D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Appropriate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empirical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treatment</w:t>
      </w:r>
      <w:proofErr w:type="spellEnd"/>
    </w:p>
    <w:p w14:paraId="137ACAF1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odds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ratios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these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ranged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from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2.89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10.8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strongest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predictor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₂ &gt;300 mmHg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 (OR=10.8)</w:t>
      </w:r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68C84E13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Sensitivity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specificity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PPV, NPV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AUC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criterion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67681687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1F351AE7" w14:textId="77777777" w:rsidR="00FF5DCD" w:rsidRPr="00FF5DCD" w:rsidRDefault="00FF5DCD" w:rsidP="00FF5DCD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most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sensitive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predictors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absence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fever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(C1)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appropriate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empirical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therapy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(C7)</w:t>
      </w:r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5355CBEF" w14:textId="77777777" w:rsidR="00FF5DCD" w:rsidRPr="00FF5DCD" w:rsidRDefault="00FF5DCD" w:rsidP="00FF5DCD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most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specific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predictors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>PCT ≤0.5 µg/L (C2)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 &gt;300 mmHg (C4)</w:t>
      </w:r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7222AFB5" w14:textId="1A2894A6" w:rsidR="00FF5DCD" w:rsidRPr="00791F12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negative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predictive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values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ranged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84.5%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93.5%</w:t>
      </w:r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7B2D2981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</w:p>
    <w:p w14:paraId="37BBABB0" w14:textId="77777777" w:rsidR="00FF5DCD" w:rsidRPr="00FF5DCD" w:rsidRDefault="00FF5DCD" w:rsidP="00FF5DCD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Combined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Analysis</w:t>
      </w:r>
    </w:p>
    <w:p w14:paraId="35B65F5F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collectively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30759096" w14:textId="77777777" w:rsidR="00FF5DCD" w:rsidRPr="00FF5DCD" w:rsidRDefault="00FF5DCD" w:rsidP="00FF5DCD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≥4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91.4%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sensitivity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50.9%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specificity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(AUC=0.712).</w:t>
      </w:r>
    </w:p>
    <w:p w14:paraId="29389280" w14:textId="77777777" w:rsidR="00FF5DCD" w:rsidRPr="00FF5DCD" w:rsidRDefault="00FF5DCD" w:rsidP="00FF5DCD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≥5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reduced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sensitivity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>82.9%</w:t>
      </w:r>
      <w:r w:rsidRPr="00FF5DCD">
        <w:rPr>
          <w:rFonts w:ascii="Times New Roman" w:hAnsi="Times New Roman" w:cs="Times New Roman"/>
          <w:sz w:val="20"/>
          <w:szCs w:val="20"/>
        </w:rPr>
        <w:t xml:space="preserve"> but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increased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specificity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>74.1%</w:t>
      </w:r>
      <w:r w:rsidRPr="00FF5DCD">
        <w:rPr>
          <w:rFonts w:ascii="Times New Roman" w:hAnsi="Times New Roman" w:cs="Times New Roman"/>
          <w:sz w:val="20"/>
          <w:szCs w:val="20"/>
        </w:rPr>
        <w:t xml:space="preserve"> (AUC=0.839).</w:t>
      </w:r>
    </w:p>
    <w:p w14:paraId="7A590154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three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present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 &gt;300 mmHg (C4)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sensitivity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specificity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85.7%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65.2%</w:t>
      </w:r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4394E2A2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proportion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fulfilling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≥5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82.9%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25.9%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LTTG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(p&lt;0.001),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indicating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meeting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≥5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13.8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times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likely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receive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short-term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41C74914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≥4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threshold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episodes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fulfilling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condition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11.1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times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more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frequent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STTG</w:t>
      </w:r>
      <w:r w:rsidRPr="00FF5DCD">
        <w:rPr>
          <w:rFonts w:ascii="Times New Roman" w:hAnsi="Times New Roman" w:cs="Times New Roman"/>
          <w:sz w:val="20"/>
          <w:szCs w:val="20"/>
        </w:rPr>
        <w:t xml:space="preserve"> (95% CI=2.99–48.21).</w:t>
      </w:r>
    </w:p>
    <w:p w14:paraId="154B5125" w14:textId="77777777" w:rsidR="00FF5DCD" w:rsidRPr="00FF5DCD" w:rsidRDefault="00FF5DCD" w:rsidP="00FF5DC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F5DCD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PaO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>₂/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FiO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₂ &gt;300 mmHg on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sz w:val="20"/>
          <w:szCs w:val="20"/>
        </w:rPr>
        <w:t>mandatory</w:t>
      </w:r>
      <w:proofErr w:type="spellEnd"/>
      <w:r w:rsidRPr="00FF5DCD">
        <w:rPr>
          <w:rFonts w:ascii="Times New Roman" w:hAnsi="Times New Roman" w:cs="Times New Roman"/>
          <w:sz w:val="20"/>
          <w:szCs w:val="20"/>
        </w:rPr>
        <w:t>:</w:t>
      </w:r>
    </w:p>
    <w:p w14:paraId="0574B9DC" w14:textId="77777777" w:rsidR="00FF5DCD" w:rsidRPr="00FF5DCD" w:rsidRDefault="00FF5DCD" w:rsidP="00FF5DCD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FF5DCD">
        <w:rPr>
          <w:rFonts w:ascii="Times New Roman" w:hAnsi="Times New Roman" w:cs="Times New Roman"/>
          <w:sz w:val="20"/>
          <w:szCs w:val="20"/>
        </w:rPr>
        <w:t>presence</w:t>
      </w:r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four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increased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likelihood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short-term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treatment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18-fold</w:t>
      </w:r>
    </w:p>
    <w:p w14:paraId="6A0ACFFC" w14:textId="77777777" w:rsidR="00FF5DCD" w:rsidRPr="00FF5DCD" w:rsidRDefault="00FF5DCD" w:rsidP="00FF5DCD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FF5DCD">
        <w:rPr>
          <w:rFonts w:ascii="Times New Roman" w:hAnsi="Times New Roman" w:cs="Times New Roman"/>
          <w:sz w:val="20"/>
          <w:szCs w:val="20"/>
        </w:rPr>
        <w:lastRenderedPageBreak/>
        <w:t>presence</w:t>
      </w:r>
      <w:proofErr w:type="gramEnd"/>
      <w:r w:rsidRPr="00FF5DC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three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criteria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increased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it </w:t>
      </w:r>
      <w:proofErr w:type="spellStart"/>
      <w:r w:rsidRPr="00FF5DCD">
        <w:rPr>
          <w:rFonts w:ascii="Times New Roman" w:hAnsi="Times New Roman" w:cs="Times New Roman"/>
          <w:b/>
          <w:bCs/>
          <w:sz w:val="20"/>
          <w:szCs w:val="20"/>
        </w:rPr>
        <w:t>by</w:t>
      </w:r>
      <w:proofErr w:type="spellEnd"/>
      <w:r w:rsidRPr="00FF5DCD">
        <w:rPr>
          <w:rFonts w:ascii="Times New Roman" w:hAnsi="Times New Roman" w:cs="Times New Roman"/>
          <w:b/>
          <w:bCs/>
          <w:sz w:val="20"/>
          <w:szCs w:val="20"/>
        </w:rPr>
        <w:t xml:space="preserve"> 11.2-fold</w:t>
      </w:r>
      <w:r w:rsidRPr="00FF5DCD">
        <w:rPr>
          <w:rFonts w:ascii="Times New Roman" w:hAnsi="Times New Roman" w:cs="Times New Roman"/>
          <w:sz w:val="20"/>
          <w:szCs w:val="20"/>
        </w:rPr>
        <w:t>.</w:t>
      </w:r>
    </w:p>
    <w:p w14:paraId="3CAD353D" w14:textId="2C27A04F" w:rsidR="00774D4B" w:rsidRPr="00B07EA1" w:rsidRDefault="00B07EA1">
      <w:pPr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B07EA1">
        <w:rPr>
          <w:rFonts w:ascii="Times New Roman" w:hAnsi="Times New Roman" w:cs="Times New Roman"/>
          <w:b/>
          <w:bCs/>
          <w:color w:val="EE0000"/>
          <w:sz w:val="20"/>
          <w:szCs w:val="20"/>
        </w:rPr>
        <w:t>TABLES</w:t>
      </w:r>
    </w:p>
    <w:p w14:paraId="68E7FBAB" w14:textId="775B5294" w:rsidR="00046C2C" w:rsidRPr="00B07EA1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Demographic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Characteristics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Medical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History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Patients</w:t>
      </w:r>
      <w:proofErr w:type="spellEnd"/>
    </w:p>
    <w:tbl>
      <w:tblPr>
        <w:tblStyle w:val="TabloKlavuzu"/>
        <w:tblW w:w="8222" w:type="dxa"/>
        <w:jc w:val="center"/>
        <w:tblLook w:val="04A0" w:firstRow="1" w:lastRow="0" w:firstColumn="1" w:lastColumn="0" w:noHBand="0" w:noVBand="1"/>
      </w:tblPr>
      <w:tblGrid>
        <w:gridCol w:w="3667"/>
        <w:gridCol w:w="1391"/>
        <w:gridCol w:w="1789"/>
        <w:gridCol w:w="1375"/>
      </w:tblGrid>
      <w:tr w:rsidR="00046C2C" w:rsidRPr="00791F12" w14:paraId="582FDDB9" w14:textId="77777777" w:rsidTr="004323AE">
        <w:trPr>
          <w:jc w:val="center"/>
        </w:trPr>
        <w:tc>
          <w:tcPr>
            <w:tcW w:w="3667" w:type="dxa"/>
            <w:vAlign w:val="center"/>
          </w:tcPr>
          <w:p w14:paraId="26AEB94C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Patient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1391" w:type="dxa"/>
            <w:vAlign w:val="center"/>
          </w:tcPr>
          <w:p w14:paraId="18075AD9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</w:rPr>
            </w:pPr>
            <w:r w:rsidRPr="00791F12">
              <w:rPr>
                <w:b/>
                <w:bCs/>
              </w:rPr>
              <w:t xml:space="preserve">STTG </w:t>
            </w:r>
          </w:p>
          <w:p w14:paraId="6D35002F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</w:rPr>
              <w:t>(</w:t>
            </w:r>
            <w:proofErr w:type="gramStart"/>
            <w:r w:rsidRPr="00791F12">
              <w:rPr>
                <w:b/>
                <w:bCs/>
              </w:rPr>
              <w:t>n</w:t>
            </w:r>
            <w:proofErr w:type="gramEnd"/>
            <w:r w:rsidRPr="00791F12">
              <w:rPr>
                <w:b/>
                <w:bCs/>
              </w:rPr>
              <w:t>=30)</w:t>
            </w:r>
          </w:p>
        </w:tc>
        <w:tc>
          <w:tcPr>
            <w:tcW w:w="1789" w:type="dxa"/>
            <w:vAlign w:val="center"/>
          </w:tcPr>
          <w:p w14:paraId="2555049C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</w:rPr>
            </w:pPr>
            <w:r w:rsidRPr="00791F12">
              <w:rPr>
                <w:b/>
                <w:bCs/>
              </w:rPr>
              <w:t xml:space="preserve">LTTG </w:t>
            </w:r>
          </w:p>
          <w:p w14:paraId="499EA020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</w:rPr>
              <w:t>(</w:t>
            </w:r>
            <w:proofErr w:type="gramStart"/>
            <w:r w:rsidRPr="00791F12">
              <w:rPr>
                <w:b/>
                <w:bCs/>
              </w:rPr>
              <w:t>n</w:t>
            </w:r>
            <w:proofErr w:type="gramEnd"/>
            <w:r w:rsidRPr="00791F12">
              <w:rPr>
                <w:b/>
                <w:bCs/>
              </w:rPr>
              <w:t>=81)</w:t>
            </w:r>
          </w:p>
        </w:tc>
        <w:tc>
          <w:tcPr>
            <w:tcW w:w="1375" w:type="dxa"/>
            <w:vAlign w:val="center"/>
          </w:tcPr>
          <w:p w14:paraId="6571C217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proofErr w:type="gramStart"/>
            <w:r w:rsidRPr="00791F12">
              <w:rPr>
                <w:b/>
                <w:bCs/>
              </w:rPr>
              <w:t>p</w:t>
            </w:r>
            <w:proofErr w:type="gram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value</w:t>
            </w:r>
            <w:proofErr w:type="spellEnd"/>
          </w:p>
        </w:tc>
      </w:tr>
      <w:tr w:rsidR="00046C2C" w:rsidRPr="00791F12" w14:paraId="4C92F9A8" w14:textId="77777777" w:rsidTr="004323AE">
        <w:trPr>
          <w:jc w:val="center"/>
        </w:trPr>
        <w:tc>
          <w:tcPr>
            <w:tcW w:w="3667" w:type="dxa"/>
          </w:tcPr>
          <w:p w14:paraId="3F59D53A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r w:rsidRPr="00791F12">
              <w:t>Age (</w:t>
            </w:r>
            <w:proofErr w:type="spellStart"/>
            <w:r w:rsidRPr="00791F12">
              <w:t>years</w:t>
            </w:r>
            <w:proofErr w:type="spellEnd"/>
            <w:r w:rsidRPr="00791F12">
              <w:t>)</w:t>
            </w:r>
          </w:p>
        </w:tc>
        <w:tc>
          <w:tcPr>
            <w:tcW w:w="1391" w:type="dxa"/>
          </w:tcPr>
          <w:p w14:paraId="7455F5CC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61.7±17.0</w:t>
            </w:r>
          </w:p>
        </w:tc>
        <w:tc>
          <w:tcPr>
            <w:tcW w:w="1789" w:type="dxa"/>
          </w:tcPr>
          <w:p w14:paraId="20C38A3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61.0±19.5</w:t>
            </w:r>
          </w:p>
        </w:tc>
        <w:tc>
          <w:tcPr>
            <w:tcW w:w="1375" w:type="dxa"/>
          </w:tcPr>
          <w:p w14:paraId="089B6589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0.808</w:t>
            </w:r>
          </w:p>
        </w:tc>
      </w:tr>
      <w:tr w:rsidR="00046C2C" w:rsidRPr="00791F12" w14:paraId="5E9C9427" w14:textId="77777777" w:rsidTr="004323AE">
        <w:trPr>
          <w:jc w:val="center"/>
        </w:trPr>
        <w:tc>
          <w:tcPr>
            <w:tcW w:w="3667" w:type="dxa"/>
          </w:tcPr>
          <w:p w14:paraId="3D808769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Sex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  <w:p w14:paraId="06D797C5" w14:textId="77777777" w:rsidR="00046C2C" w:rsidRPr="00791F12" w:rsidRDefault="00046C2C" w:rsidP="004323AE">
            <w:pPr>
              <w:spacing w:before="40" w:after="40"/>
              <w:ind w:left="319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Male</w:t>
            </w:r>
          </w:p>
          <w:p w14:paraId="17E62521" w14:textId="77777777" w:rsidR="00046C2C" w:rsidRPr="00791F12" w:rsidRDefault="00046C2C" w:rsidP="004323AE">
            <w:pPr>
              <w:spacing w:before="40" w:after="40"/>
              <w:ind w:left="319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Female</w:t>
            </w:r>
            <w:proofErr w:type="spellEnd"/>
          </w:p>
        </w:tc>
        <w:tc>
          <w:tcPr>
            <w:tcW w:w="1391" w:type="dxa"/>
          </w:tcPr>
          <w:p w14:paraId="732B1E2E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</w:p>
          <w:p w14:paraId="5831B795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19 (63.3%)</w:t>
            </w:r>
          </w:p>
          <w:p w14:paraId="065CA620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11 (37.7%)</w:t>
            </w:r>
          </w:p>
        </w:tc>
        <w:tc>
          <w:tcPr>
            <w:tcW w:w="1789" w:type="dxa"/>
          </w:tcPr>
          <w:p w14:paraId="2B5DC8AE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</w:p>
          <w:p w14:paraId="47E897B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54 (66.7%)</w:t>
            </w:r>
          </w:p>
          <w:p w14:paraId="411260B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27 (33.3%)</w:t>
            </w:r>
          </w:p>
        </w:tc>
        <w:tc>
          <w:tcPr>
            <w:tcW w:w="1375" w:type="dxa"/>
            <w:vAlign w:val="center"/>
          </w:tcPr>
          <w:p w14:paraId="79161124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0.918</w:t>
            </w:r>
          </w:p>
        </w:tc>
      </w:tr>
      <w:tr w:rsidR="00046C2C" w:rsidRPr="00791F12" w14:paraId="5F749166" w14:textId="77777777" w:rsidTr="004323AE">
        <w:trPr>
          <w:jc w:val="center"/>
        </w:trPr>
        <w:tc>
          <w:tcPr>
            <w:tcW w:w="3667" w:type="dxa"/>
          </w:tcPr>
          <w:p w14:paraId="37EC8299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Primary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diagnosis</w:t>
            </w:r>
            <w:proofErr w:type="spellEnd"/>
            <w:r w:rsidRPr="00791F12">
              <w:t>,</w:t>
            </w:r>
            <w:r w:rsidRPr="00791F12">
              <w:rPr>
                <w:color w:val="000000" w:themeColor="text1"/>
              </w:rPr>
              <w:t xml:space="preserve"> n (%)</w:t>
            </w:r>
          </w:p>
          <w:p w14:paraId="075AE6AD" w14:textId="77777777" w:rsidR="00046C2C" w:rsidRPr="00791F12" w:rsidRDefault="00046C2C" w:rsidP="004323AE">
            <w:pPr>
              <w:spacing w:before="40" w:after="40"/>
              <w:ind w:left="319"/>
              <w:rPr>
                <w:color w:val="000000" w:themeColor="text1"/>
              </w:rPr>
            </w:pPr>
            <w:proofErr w:type="spellStart"/>
            <w:r w:rsidRPr="00791F12">
              <w:t>Trauma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and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postoperative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conditions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</w:p>
          <w:p w14:paraId="45502C13" w14:textId="77777777" w:rsidR="00046C2C" w:rsidRPr="00791F12" w:rsidRDefault="00046C2C" w:rsidP="004323AE">
            <w:pPr>
              <w:spacing w:before="40" w:after="40"/>
              <w:ind w:left="319"/>
              <w:rPr>
                <w:color w:val="000000" w:themeColor="text1"/>
              </w:rPr>
            </w:pPr>
            <w:proofErr w:type="spellStart"/>
            <w:r w:rsidRPr="00791F12">
              <w:t>Neurological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diseases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</w:p>
          <w:p w14:paraId="2FB7BBB5" w14:textId="77777777" w:rsidR="00046C2C" w:rsidRPr="00791F12" w:rsidRDefault="00046C2C" w:rsidP="004323AE">
            <w:pPr>
              <w:spacing w:before="40" w:after="40"/>
              <w:ind w:left="319"/>
              <w:rPr>
                <w:color w:val="000000" w:themeColor="text1"/>
              </w:rPr>
            </w:pPr>
            <w:proofErr w:type="spellStart"/>
            <w:r w:rsidRPr="00791F12">
              <w:t>Respiratory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failure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</w:p>
          <w:p w14:paraId="36A8CA53" w14:textId="77777777" w:rsidR="00046C2C" w:rsidRPr="00791F12" w:rsidRDefault="00046C2C" w:rsidP="004323AE">
            <w:pPr>
              <w:spacing w:before="40" w:after="40"/>
              <w:ind w:left="319"/>
              <w:rPr>
                <w:color w:val="000000" w:themeColor="text1"/>
              </w:rPr>
            </w:pPr>
            <w:proofErr w:type="spellStart"/>
            <w:r w:rsidRPr="00791F12">
              <w:t>Other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non-surgical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conditions</w:t>
            </w:r>
            <w:proofErr w:type="spellEnd"/>
          </w:p>
        </w:tc>
        <w:tc>
          <w:tcPr>
            <w:tcW w:w="1391" w:type="dxa"/>
          </w:tcPr>
          <w:p w14:paraId="04669524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</w:p>
          <w:p w14:paraId="6E744863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 (23.3%)</w:t>
            </w:r>
          </w:p>
          <w:p w14:paraId="7E09F4A6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10 (33.3%)</w:t>
            </w:r>
          </w:p>
          <w:p w14:paraId="5EFB79B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 (26.7%)</w:t>
            </w:r>
          </w:p>
          <w:p w14:paraId="70795398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 (16.7%)</w:t>
            </w:r>
          </w:p>
        </w:tc>
        <w:tc>
          <w:tcPr>
            <w:tcW w:w="1789" w:type="dxa"/>
          </w:tcPr>
          <w:p w14:paraId="7988E08E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</w:p>
          <w:p w14:paraId="131BAEFC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23 (28.4%)</w:t>
            </w:r>
          </w:p>
          <w:p w14:paraId="2814B5B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32 (39.5%)</w:t>
            </w:r>
          </w:p>
          <w:p w14:paraId="3D8C01DA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13 (16%)</w:t>
            </w:r>
          </w:p>
          <w:p w14:paraId="3F2FCFE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13 (16%)</w:t>
            </w:r>
          </w:p>
        </w:tc>
        <w:tc>
          <w:tcPr>
            <w:tcW w:w="1375" w:type="dxa"/>
            <w:vAlign w:val="center"/>
          </w:tcPr>
          <w:p w14:paraId="2847A43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0.629</w:t>
            </w:r>
          </w:p>
        </w:tc>
      </w:tr>
      <w:tr w:rsidR="00046C2C" w:rsidRPr="00791F12" w14:paraId="504D07C1" w14:textId="77777777" w:rsidTr="004323AE">
        <w:trPr>
          <w:jc w:val="center"/>
        </w:trPr>
        <w:tc>
          <w:tcPr>
            <w:tcW w:w="3667" w:type="dxa"/>
          </w:tcPr>
          <w:p w14:paraId="15FADCB6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History</w:t>
            </w:r>
            <w:proofErr w:type="spellEnd"/>
            <w:r w:rsidRPr="00791F12">
              <w:t xml:space="preserve"> of </w:t>
            </w:r>
            <w:proofErr w:type="spellStart"/>
            <w:r w:rsidRPr="00791F12">
              <w:t>lung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disease</w:t>
            </w:r>
            <w:proofErr w:type="spellEnd"/>
            <w:r w:rsidRPr="00791F12">
              <w:t>, n (%)</w:t>
            </w:r>
          </w:p>
        </w:tc>
        <w:tc>
          <w:tcPr>
            <w:tcW w:w="1391" w:type="dxa"/>
          </w:tcPr>
          <w:p w14:paraId="53F1DFB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 (23.3%)</w:t>
            </w:r>
          </w:p>
        </w:tc>
        <w:tc>
          <w:tcPr>
            <w:tcW w:w="1789" w:type="dxa"/>
          </w:tcPr>
          <w:p w14:paraId="012193F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29 (35.8%)</w:t>
            </w:r>
          </w:p>
        </w:tc>
        <w:tc>
          <w:tcPr>
            <w:tcW w:w="1375" w:type="dxa"/>
            <w:vAlign w:val="center"/>
          </w:tcPr>
          <w:p w14:paraId="0036C5C0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0.309</w:t>
            </w:r>
          </w:p>
        </w:tc>
      </w:tr>
      <w:tr w:rsidR="00046C2C" w:rsidRPr="00791F12" w14:paraId="6455698F" w14:textId="77777777" w:rsidTr="004323AE">
        <w:trPr>
          <w:jc w:val="center"/>
        </w:trPr>
        <w:tc>
          <w:tcPr>
            <w:tcW w:w="3667" w:type="dxa"/>
          </w:tcPr>
          <w:p w14:paraId="362F5483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History</w:t>
            </w:r>
            <w:proofErr w:type="spellEnd"/>
            <w:r w:rsidRPr="00791F12">
              <w:t xml:space="preserve"> of </w:t>
            </w:r>
            <w:proofErr w:type="spellStart"/>
            <w:r w:rsidRPr="00791F12">
              <w:t>heart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disease</w:t>
            </w:r>
            <w:proofErr w:type="spellEnd"/>
            <w:r w:rsidRPr="00791F12">
              <w:t>, n (%)</w:t>
            </w:r>
          </w:p>
        </w:tc>
        <w:tc>
          <w:tcPr>
            <w:tcW w:w="1391" w:type="dxa"/>
          </w:tcPr>
          <w:p w14:paraId="50C9E80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15 (50%)</w:t>
            </w:r>
          </w:p>
        </w:tc>
        <w:tc>
          <w:tcPr>
            <w:tcW w:w="1789" w:type="dxa"/>
          </w:tcPr>
          <w:p w14:paraId="6CD818F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28 (34.6%)</w:t>
            </w:r>
          </w:p>
        </w:tc>
        <w:tc>
          <w:tcPr>
            <w:tcW w:w="1375" w:type="dxa"/>
            <w:vAlign w:val="center"/>
          </w:tcPr>
          <w:p w14:paraId="3943425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0.207</w:t>
            </w:r>
          </w:p>
        </w:tc>
      </w:tr>
      <w:tr w:rsidR="00046C2C" w:rsidRPr="00791F12" w14:paraId="63056A96" w14:textId="77777777" w:rsidTr="004323AE">
        <w:trPr>
          <w:jc w:val="center"/>
        </w:trPr>
        <w:tc>
          <w:tcPr>
            <w:tcW w:w="3667" w:type="dxa"/>
          </w:tcPr>
          <w:p w14:paraId="3BBF7E3F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History</w:t>
            </w:r>
            <w:proofErr w:type="spellEnd"/>
            <w:r w:rsidRPr="00791F12">
              <w:t xml:space="preserve"> of </w:t>
            </w:r>
            <w:proofErr w:type="spellStart"/>
            <w:r w:rsidRPr="00791F12">
              <w:t>hypertension</w:t>
            </w:r>
            <w:proofErr w:type="spellEnd"/>
            <w:r w:rsidRPr="00791F12">
              <w:t>, n (%)</w:t>
            </w:r>
          </w:p>
        </w:tc>
        <w:tc>
          <w:tcPr>
            <w:tcW w:w="1391" w:type="dxa"/>
          </w:tcPr>
          <w:p w14:paraId="3C5B14EC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19 (63.3%)</w:t>
            </w:r>
          </w:p>
        </w:tc>
        <w:tc>
          <w:tcPr>
            <w:tcW w:w="1789" w:type="dxa"/>
          </w:tcPr>
          <w:p w14:paraId="0D3E7A01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41 (50.7%)</w:t>
            </w:r>
          </w:p>
        </w:tc>
        <w:tc>
          <w:tcPr>
            <w:tcW w:w="1375" w:type="dxa"/>
            <w:vAlign w:val="center"/>
          </w:tcPr>
          <w:p w14:paraId="30DB2AC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0.327</w:t>
            </w:r>
          </w:p>
        </w:tc>
      </w:tr>
      <w:tr w:rsidR="00046C2C" w:rsidRPr="00791F12" w14:paraId="64697E14" w14:textId="77777777" w:rsidTr="004323AE">
        <w:trPr>
          <w:jc w:val="center"/>
        </w:trPr>
        <w:tc>
          <w:tcPr>
            <w:tcW w:w="3667" w:type="dxa"/>
          </w:tcPr>
          <w:p w14:paraId="61D6E936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History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diabetes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mellitus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391" w:type="dxa"/>
          </w:tcPr>
          <w:p w14:paraId="0CBDABF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 (23.3%)</w:t>
            </w:r>
          </w:p>
        </w:tc>
        <w:tc>
          <w:tcPr>
            <w:tcW w:w="1789" w:type="dxa"/>
          </w:tcPr>
          <w:p w14:paraId="637AD30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19 (23.5%)</w:t>
            </w:r>
          </w:p>
        </w:tc>
        <w:tc>
          <w:tcPr>
            <w:tcW w:w="1375" w:type="dxa"/>
            <w:vAlign w:val="center"/>
          </w:tcPr>
          <w:p w14:paraId="79FFC65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1.000</w:t>
            </w:r>
          </w:p>
        </w:tc>
      </w:tr>
      <w:tr w:rsidR="00046C2C" w:rsidRPr="00791F12" w14:paraId="068C0D58" w14:textId="77777777" w:rsidTr="004323AE">
        <w:trPr>
          <w:jc w:val="center"/>
        </w:trPr>
        <w:tc>
          <w:tcPr>
            <w:tcW w:w="8222" w:type="dxa"/>
            <w:gridSpan w:val="4"/>
          </w:tcPr>
          <w:p w14:paraId="3E16AA32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Abbreviations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:</w:t>
            </w:r>
            <w:r w:rsidRPr="00791F12">
              <w:rPr>
                <w:color w:val="000000" w:themeColor="text1"/>
              </w:rPr>
              <w:t xml:space="preserve"> STTG, </w:t>
            </w:r>
            <w:proofErr w:type="spellStart"/>
            <w:r w:rsidRPr="00791F12">
              <w:rPr>
                <w:color w:val="000000" w:themeColor="text1"/>
              </w:rPr>
              <w:t>short-term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group</w:t>
            </w:r>
            <w:proofErr w:type="spellEnd"/>
            <w:r w:rsidRPr="00791F12">
              <w:rPr>
                <w:color w:val="000000" w:themeColor="text1"/>
              </w:rPr>
              <w:t xml:space="preserve">; LTTG, </w:t>
            </w:r>
            <w:proofErr w:type="spellStart"/>
            <w:r w:rsidRPr="00791F12">
              <w:rPr>
                <w:color w:val="000000" w:themeColor="text1"/>
              </w:rPr>
              <w:t>long-term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group</w:t>
            </w:r>
            <w:proofErr w:type="spellEnd"/>
          </w:p>
        </w:tc>
      </w:tr>
    </w:tbl>
    <w:p w14:paraId="52A07DFF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20E9220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F6515C4" w14:textId="364899AD" w:rsidR="00046C2C" w:rsidRPr="00B07EA1" w:rsidRDefault="00046C2C" w:rsidP="00B07EA1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2.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Characteristics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Laboratory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Parameters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at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Time of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Diagnosis</w:t>
      </w:r>
      <w:proofErr w:type="spellEnd"/>
    </w:p>
    <w:tbl>
      <w:tblPr>
        <w:tblStyle w:val="TabloKlavuzu"/>
        <w:tblW w:w="86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1284"/>
        <w:gridCol w:w="1273"/>
        <w:gridCol w:w="845"/>
      </w:tblGrid>
      <w:tr w:rsidR="00046C2C" w:rsidRPr="00791F12" w14:paraId="216EB2EA" w14:textId="77777777" w:rsidTr="004323AE">
        <w:tc>
          <w:tcPr>
            <w:tcW w:w="5240" w:type="dxa"/>
            <w:vAlign w:val="center"/>
          </w:tcPr>
          <w:p w14:paraId="7400DD90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Characteristics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at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Diagnosis</w:t>
            </w:r>
            <w:proofErr w:type="spellEnd"/>
          </w:p>
        </w:tc>
        <w:tc>
          <w:tcPr>
            <w:tcW w:w="1284" w:type="dxa"/>
            <w:vAlign w:val="center"/>
          </w:tcPr>
          <w:p w14:paraId="6040C397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STTG (n=35)</w:t>
            </w:r>
          </w:p>
        </w:tc>
        <w:tc>
          <w:tcPr>
            <w:tcW w:w="1273" w:type="dxa"/>
            <w:vAlign w:val="center"/>
          </w:tcPr>
          <w:p w14:paraId="2F9C4F73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LTTG (n=112)</w:t>
            </w:r>
          </w:p>
        </w:tc>
        <w:tc>
          <w:tcPr>
            <w:tcW w:w="845" w:type="dxa"/>
            <w:vAlign w:val="center"/>
          </w:tcPr>
          <w:p w14:paraId="1AA0AF38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color w:val="000000" w:themeColor="text1"/>
              </w:rPr>
            </w:pPr>
            <w:proofErr w:type="gramStart"/>
            <w:r w:rsidRPr="00791F12">
              <w:rPr>
                <w:b/>
                <w:bCs/>
                <w:color w:val="000000" w:themeColor="text1"/>
              </w:rPr>
              <w:t>p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value</w:t>
            </w:r>
            <w:proofErr w:type="spellEnd"/>
          </w:p>
        </w:tc>
      </w:tr>
      <w:tr w:rsidR="00046C2C" w:rsidRPr="00791F12" w14:paraId="0E228B65" w14:textId="77777777" w:rsidTr="004323AE">
        <w:tc>
          <w:tcPr>
            <w:tcW w:w="5240" w:type="dxa"/>
            <w:vAlign w:val="center"/>
          </w:tcPr>
          <w:p w14:paraId="2ED27DFF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Increased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amount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secretions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84" w:type="dxa"/>
            <w:vAlign w:val="center"/>
          </w:tcPr>
          <w:p w14:paraId="5C3861F2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28 (80.0%)</w:t>
            </w:r>
          </w:p>
        </w:tc>
        <w:tc>
          <w:tcPr>
            <w:tcW w:w="1273" w:type="dxa"/>
            <w:vAlign w:val="center"/>
          </w:tcPr>
          <w:p w14:paraId="7A127799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82 (73.2%)</w:t>
            </w:r>
          </w:p>
        </w:tc>
        <w:tc>
          <w:tcPr>
            <w:tcW w:w="845" w:type="dxa"/>
            <w:vAlign w:val="center"/>
          </w:tcPr>
          <w:p w14:paraId="31831DFF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0.559</w:t>
            </w:r>
          </w:p>
        </w:tc>
      </w:tr>
      <w:tr w:rsidR="00046C2C" w:rsidRPr="00791F12" w14:paraId="0E9BD1F1" w14:textId="77777777" w:rsidTr="004323AE">
        <w:tc>
          <w:tcPr>
            <w:tcW w:w="5240" w:type="dxa"/>
          </w:tcPr>
          <w:p w14:paraId="5E4A474E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Secretion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characteristics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  <w:p w14:paraId="629E5C37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Hemorrhagic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appearance</w:t>
            </w:r>
            <w:proofErr w:type="spellEnd"/>
          </w:p>
          <w:p w14:paraId="7044A4DC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Non-purulent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appearance</w:t>
            </w:r>
            <w:proofErr w:type="spellEnd"/>
          </w:p>
          <w:p w14:paraId="147587EE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Purulent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appearance</w:t>
            </w:r>
            <w:proofErr w:type="spellEnd"/>
          </w:p>
        </w:tc>
        <w:tc>
          <w:tcPr>
            <w:tcW w:w="1284" w:type="dxa"/>
          </w:tcPr>
          <w:p w14:paraId="7BEC809C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</w:p>
          <w:p w14:paraId="3B0EE7FE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</w:t>
            </w:r>
          </w:p>
          <w:p w14:paraId="45E6D6E9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 (22.9%)</w:t>
            </w:r>
          </w:p>
          <w:p w14:paraId="43CF881A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27 (77.1%)</w:t>
            </w:r>
          </w:p>
        </w:tc>
        <w:tc>
          <w:tcPr>
            <w:tcW w:w="1273" w:type="dxa"/>
          </w:tcPr>
          <w:p w14:paraId="0BA53706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</w:p>
          <w:p w14:paraId="5C3C920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 (6,2%)</w:t>
            </w:r>
          </w:p>
          <w:p w14:paraId="1ABB273B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28 (25%)</w:t>
            </w:r>
          </w:p>
          <w:p w14:paraId="18DCD29C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77 (68.8%)</w:t>
            </w:r>
          </w:p>
        </w:tc>
        <w:tc>
          <w:tcPr>
            <w:tcW w:w="845" w:type="dxa"/>
            <w:vAlign w:val="center"/>
          </w:tcPr>
          <w:p w14:paraId="6A886BC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0.286</w:t>
            </w:r>
          </w:p>
        </w:tc>
      </w:tr>
      <w:tr w:rsidR="00046C2C" w:rsidRPr="00791F12" w14:paraId="1221B612" w14:textId="77777777" w:rsidTr="004323AE">
        <w:tc>
          <w:tcPr>
            <w:tcW w:w="5240" w:type="dxa"/>
            <w:vAlign w:val="center"/>
          </w:tcPr>
          <w:p w14:paraId="0AD1CED0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Episodes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with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fever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or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hypothermia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within</w:t>
            </w:r>
            <w:proofErr w:type="spellEnd"/>
            <w:r w:rsidRPr="00791F12">
              <w:rPr>
                <w:color w:val="000000" w:themeColor="text1"/>
              </w:rPr>
              <w:t xml:space="preserve"> 48 h </w:t>
            </w:r>
            <w:proofErr w:type="spellStart"/>
            <w:r w:rsidRPr="00791F12">
              <w:rPr>
                <w:color w:val="000000" w:themeColor="text1"/>
              </w:rPr>
              <w:t>before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84" w:type="dxa"/>
            <w:vAlign w:val="center"/>
          </w:tcPr>
          <w:p w14:paraId="2DF7C73F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15 (42.9%)</w:t>
            </w:r>
          </w:p>
        </w:tc>
        <w:tc>
          <w:tcPr>
            <w:tcW w:w="1273" w:type="dxa"/>
            <w:vAlign w:val="center"/>
          </w:tcPr>
          <w:p w14:paraId="15A392E2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66 (58.9%)</w:t>
            </w:r>
          </w:p>
        </w:tc>
        <w:tc>
          <w:tcPr>
            <w:tcW w:w="845" w:type="dxa"/>
            <w:vAlign w:val="center"/>
          </w:tcPr>
          <w:p w14:paraId="3F46972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0.095</w:t>
            </w:r>
          </w:p>
        </w:tc>
      </w:tr>
      <w:tr w:rsidR="00046C2C" w:rsidRPr="00791F12" w14:paraId="1E3C3097" w14:textId="77777777" w:rsidTr="004323AE">
        <w:tc>
          <w:tcPr>
            <w:tcW w:w="5240" w:type="dxa"/>
            <w:vAlign w:val="center"/>
          </w:tcPr>
          <w:p w14:paraId="32529087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Body </w:t>
            </w:r>
            <w:proofErr w:type="spellStart"/>
            <w:r w:rsidRPr="00791F12">
              <w:rPr>
                <w:color w:val="000000" w:themeColor="text1"/>
              </w:rPr>
              <w:t>temperature</w:t>
            </w:r>
            <w:proofErr w:type="spellEnd"/>
            <w:r w:rsidRPr="00791F12">
              <w:rPr>
                <w:color w:val="000000" w:themeColor="text1"/>
              </w:rPr>
              <w:t xml:space="preserve"> 48 h </w:t>
            </w:r>
            <w:proofErr w:type="spellStart"/>
            <w:r w:rsidRPr="00791F12">
              <w:rPr>
                <w:color w:val="000000" w:themeColor="text1"/>
              </w:rPr>
              <w:t>before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 xml:space="preserve"> (°C)</w:t>
            </w:r>
          </w:p>
        </w:tc>
        <w:tc>
          <w:tcPr>
            <w:tcW w:w="1284" w:type="dxa"/>
            <w:vAlign w:val="center"/>
          </w:tcPr>
          <w:p w14:paraId="247F698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37.4 ± 0.9</w:t>
            </w:r>
          </w:p>
        </w:tc>
        <w:tc>
          <w:tcPr>
            <w:tcW w:w="1273" w:type="dxa"/>
            <w:vAlign w:val="center"/>
          </w:tcPr>
          <w:p w14:paraId="47003BC1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37.4 ± 1.1</w:t>
            </w:r>
          </w:p>
        </w:tc>
        <w:tc>
          <w:tcPr>
            <w:tcW w:w="845" w:type="dxa"/>
            <w:vAlign w:val="center"/>
          </w:tcPr>
          <w:p w14:paraId="6F01418A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0.531</w:t>
            </w:r>
          </w:p>
        </w:tc>
      </w:tr>
      <w:tr w:rsidR="00046C2C" w:rsidRPr="00791F12" w14:paraId="439B3CC3" w14:textId="77777777" w:rsidTr="004323AE">
        <w:tc>
          <w:tcPr>
            <w:tcW w:w="5240" w:type="dxa"/>
            <w:vAlign w:val="center"/>
          </w:tcPr>
          <w:p w14:paraId="0620C23D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Episodes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with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fever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or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hypothermia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within</w:t>
            </w:r>
            <w:proofErr w:type="spellEnd"/>
            <w:r w:rsidRPr="00791F12">
              <w:rPr>
                <w:color w:val="000000" w:themeColor="text1"/>
              </w:rPr>
              <w:t xml:space="preserve"> 24 h </w:t>
            </w:r>
            <w:proofErr w:type="spellStart"/>
            <w:r w:rsidRPr="00791F12">
              <w:rPr>
                <w:color w:val="000000" w:themeColor="text1"/>
              </w:rPr>
              <w:t>before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84" w:type="dxa"/>
            <w:vAlign w:val="center"/>
          </w:tcPr>
          <w:p w14:paraId="31C8462C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22 (62.9%)</w:t>
            </w:r>
          </w:p>
        </w:tc>
        <w:tc>
          <w:tcPr>
            <w:tcW w:w="1273" w:type="dxa"/>
            <w:vAlign w:val="center"/>
          </w:tcPr>
          <w:p w14:paraId="6B38DFAC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79 (70.5%)</w:t>
            </w:r>
          </w:p>
        </w:tc>
        <w:tc>
          <w:tcPr>
            <w:tcW w:w="845" w:type="dxa"/>
            <w:vAlign w:val="center"/>
          </w:tcPr>
          <w:p w14:paraId="7FE9B394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0.392</w:t>
            </w:r>
          </w:p>
        </w:tc>
      </w:tr>
      <w:tr w:rsidR="00046C2C" w:rsidRPr="00791F12" w14:paraId="57AE243C" w14:textId="77777777" w:rsidTr="004323AE">
        <w:tc>
          <w:tcPr>
            <w:tcW w:w="5240" w:type="dxa"/>
            <w:vAlign w:val="center"/>
          </w:tcPr>
          <w:p w14:paraId="3576D264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Body </w:t>
            </w:r>
            <w:proofErr w:type="spellStart"/>
            <w:r w:rsidRPr="00791F12">
              <w:rPr>
                <w:color w:val="000000" w:themeColor="text1"/>
              </w:rPr>
              <w:t>temperature</w:t>
            </w:r>
            <w:proofErr w:type="spellEnd"/>
            <w:r w:rsidRPr="00791F12">
              <w:rPr>
                <w:color w:val="000000" w:themeColor="text1"/>
              </w:rPr>
              <w:t xml:space="preserve"> 24 h </w:t>
            </w:r>
            <w:proofErr w:type="spellStart"/>
            <w:r w:rsidRPr="00791F12">
              <w:rPr>
                <w:color w:val="000000" w:themeColor="text1"/>
              </w:rPr>
              <w:t>before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 xml:space="preserve"> (°C)</w:t>
            </w:r>
          </w:p>
        </w:tc>
        <w:tc>
          <w:tcPr>
            <w:tcW w:w="1284" w:type="dxa"/>
            <w:vAlign w:val="center"/>
          </w:tcPr>
          <w:p w14:paraId="2A72201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37.5 ± 0.9</w:t>
            </w:r>
          </w:p>
        </w:tc>
        <w:tc>
          <w:tcPr>
            <w:tcW w:w="1273" w:type="dxa"/>
            <w:vAlign w:val="center"/>
          </w:tcPr>
          <w:p w14:paraId="7746036B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37.7 ± 1.2</w:t>
            </w:r>
          </w:p>
        </w:tc>
        <w:tc>
          <w:tcPr>
            <w:tcW w:w="845" w:type="dxa"/>
            <w:vAlign w:val="center"/>
          </w:tcPr>
          <w:p w14:paraId="53FE23BE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0.248</w:t>
            </w:r>
          </w:p>
        </w:tc>
      </w:tr>
      <w:tr w:rsidR="00046C2C" w:rsidRPr="00791F12" w14:paraId="368B61AC" w14:textId="77777777" w:rsidTr="004323AE">
        <w:tc>
          <w:tcPr>
            <w:tcW w:w="5240" w:type="dxa"/>
            <w:vAlign w:val="center"/>
          </w:tcPr>
          <w:p w14:paraId="4EB1076F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Fever </w:t>
            </w:r>
            <w:proofErr w:type="spellStart"/>
            <w:r w:rsidRPr="00791F12">
              <w:rPr>
                <w:color w:val="000000" w:themeColor="text1"/>
              </w:rPr>
              <w:t>or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hypothermia</w:t>
            </w:r>
            <w:proofErr w:type="spellEnd"/>
            <w:r w:rsidRPr="00791F12">
              <w:rPr>
                <w:color w:val="000000" w:themeColor="text1"/>
              </w:rPr>
              <w:t xml:space="preserve"> on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84" w:type="dxa"/>
            <w:vAlign w:val="center"/>
          </w:tcPr>
          <w:p w14:paraId="78770DE7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21 (60.0%)</w:t>
            </w:r>
          </w:p>
        </w:tc>
        <w:tc>
          <w:tcPr>
            <w:tcW w:w="1273" w:type="dxa"/>
            <w:vAlign w:val="center"/>
          </w:tcPr>
          <w:p w14:paraId="0A5D5C4B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87 (77.7%)</w:t>
            </w:r>
          </w:p>
        </w:tc>
        <w:tc>
          <w:tcPr>
            <w:tcW w:w="845" w:type="dxa"/>
            <w:vAlign w:val="center"/>
          </w:tcPr>
          <w:p w14:paraId="3AAA6903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0.065</w:t>
            </w:r>
          </w:p>
        </w:tc>
      </w:tr>
      <w:tr w:rsidR="00046C2C" w:rsidRPr="00791F12" w14:paraId="43347FA5" w14:textId="77777777" w:rsidTr="004323AE">
        <w:tc>
          <w:tcPr>
            <w:tcW w:w="5240" w:type="dxa"/>
            <w:vAlign w:val="center"/>
          </w:tcPr>
          <w:p w14:paraId="1C2EC533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Body </w:t>
            </w:r>
            <w:proofErr w:type="spellStart"/>
            <w:r w:rsidRPr="00791F12">
              <w:rPr>
                <w:color w:val="000000" w:themeColor="text1"/>
              </w:rPr>
              <w:t>temperature</w:t>
            </w:r>
            <w:proofErr w:type="spellEnd"/>
            <w:r w:rsidRPr="00791F12">
              <w:rPr>
                <w:color w:val="000000" w:themeColor="text1"/>
              </w:rPr>
              <w:t xml:space="preserve"> on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 xml:space="preserve"> (°C)</w:t>
            </w:r>
          </w:p>
        </w:tc>
        <w:tc>
          <w:tcPr>
            <w:tcW w:w="1284" w:type="dxa"/>
            <w:vAlign w:val="center"/>
          </w:tcPr>
          <w:p w14:paraId="494FF47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37.8 ± 1.2</w:t>
            </w:r>
          </w:p>
        </w:tc>
        <w:tc>
          <w:tcPr>
            <w:tcW w:w="1273" w:type="dxa"/>
            <w:vAlign w:val="center"/>
          </w:tcPr>
          <w:p w14:paraId="1B626940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38.1 ± 1.2</w:t>
            </w:r>
          </w:p>
        </w:tc>
        <w:tc>
          <w:tcPr>
            <w:tcW w:w="845" w:type="dxa"/>
            <w:vAlign w:val="center"/>
          </w:tcPr>
          <w:p w14:paraId="296C84EF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0.092</w:t>
            </w:r>
          </w:p>
        </w:tc>
      </w:tr>
      <w:tr w:rsidR="00046C2C" w:rsidRPr="00791F12" w14:paraId="25C37D1F" w14:textId="77777777" w:rsidTr="004323AE">
        <w:tc>
          <w:tcPr>
            <w:tcW w:w="5240" w:type="dxa"/>
            <w:vAlign w:val="center"/>
          </w:tcPr>
          <w:p w14:paraId="5011A6F8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Hospital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stay</w:t>
            </w:r>
            <w:proofErr w:type="spellEnd"/>
            <w:r w:rsidRPr="00791F12">
              <w:rPr>
                <w:color w:val="000000" w:themeColor="text1"/>
              </w:rPr>
              <w:t xml:space="preserve"> at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84" w:type="dxa"/>
            <w:vAlign w:val="center"/>
          </w:tcPr>
          <w:p w14:paraId="503F639D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35.2 ± 65.4</w:t>
            </w:r>
          </w:p>
        </w:tc>
        <w:tc>
          <w:tcPr>
            <w:tcW w:w="1273" w:type="dxa"/>
            <w:vAlign w:val="center"/>
          </w:tcPr>
          <w:p w14:paraId="2ADD70FA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40.9 ± 65.5</w:t>
            </w:r>
          </w:p>
        </w:tc>
        <w:tc>
          <w:tcPr>
            <w:tcW w:w="845" w:type="dxa"/>
            <w:vAlign w:val="center"/>
          </w:tcPr>
          <w:p w14:paraId="0C43F2BA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0.083</w:t>
            </w:r>
          </w:p>
        </w:tc>
      </w:tr>
      <w:tr w:rsidR="00046C2C" w:rsidRPr="00791F12" w14:paraId="35B9CC05" w14:textId="77777777" w:rsidTr="004323AE">
        <w:tc>
          <w:tcPr>
            <w:tcW w:w="5240" w:type="dxa"/>
            <w:vAlign w:val="center"/>
          </w:tcPr>
          <w:p w14:paraId="57A3E6E7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ICU </w:t>
            </w:r>
            <w:proofErr w:type="spellStart"/>
            <w:r w:rsidRPr="00791F12">
              <w:rPr>
                <w:color w:val="000000" w:themeColor="text1"/>
              </w:rPr>
              <w:t>stay</w:t>
            </w:r>
            <w:proofErr w:type="spellEnd"/>
            <w:r w:rsidRPr="00791F12">
              <w:rPr>
                <w:color w:val="000000" w:themeColor="text1"/>
              </w:rPr>
              <w:t xml:space="preserve"> at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84" w:type="dxa"/>
            <w:vAlign w:val="center"/>
          </w:tcPr>
          <w:p w14:paraId="45DE0130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30.7 ± 63.4</w:t>
            </w:r>
          </w:p>
        </w:tc>
        <w:tc>
          <w:tcPr>
            <w:tcW w:w="1273" w:type="dxa"/>
            <w:vAlign w:val="center"/>
          </w:tcPr>
          <w:p w14:paraId="70E05D09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36.2 ± 62.6</w:t>
            </w:r>
          </w:p>
        </w:tc>
        <w:tc>
          <w:tcPr>
            <w:tcW w:w="845" w:type="dxa"/>
            <w:vAlign w:val="center"/>
          </w:tcPr>
          <w:p w14:paraId="6A5E10DD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0.118</w:t>
            </w:r>
          </w:p>
        </w:tc>
      </w:tr>
      <w:tr w:rsidR="00046C2C" w:rsidRPr="00791F12" w14:paraId="63D751C3" w14:textId="77777777" w:rsidTr="004323AE">
        <w:tc>
          <w:tcPr>
            <w:tcW w:w="5240" w:type="dxa"/>
            <w:vAlign w:val="center"/>
          </w:tcPr>
          <w:p w14:paraId="33D4BE93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Duration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mechanical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ventilation</w:t>
            </w:r>
            <w:proofErr w:type="spellEnd"/>
            <w:r w:rsidRPr="00791F12">
              <w:rPr>
                <w:color w:val="000000" w:themeColor="text1"/>
              </w:rPr>
              <w:t xml:space="preserve"> at </w:t>
            </w:r>
            <w:proofErr w:type="spellStart"/>
            <w:r w:rsidRPr="00791F12">
              <w:rPr>
                <w:color w:val="000000" w:themeColor="text1"/>
              </w:rPr>
              <w:t>diagnosis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84" w:type="dxa"/>
            <w:vAlign w:val="center"/>
          </w:tcPr>
          <w:p w14:paraId="039FD051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29.7 ± 51.4</w:t>
            </w:r>
          </w:p>
        </w:tc>
        <w:tc>
          <w:tcPr>
            <w:tcW w:w="1273" w:type="dxa"/>
            <w:vAlign w:val="center"/>
          </w:tcPr>
          <w:p w14:paraId="25076EC5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27.3 ± 56.6</w:t>
            </w:r>
          </w:p>
        </w:tc>
        <w:tc>
          <w:tcPr>
            <w:tcW w:w="845" w:type="dxa"/>
            <w:vAlign w:val="center"/>
          </w:tcPr>
          <w:p w14:paraId="29315003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0.959</w:t>
            </w:r>
          </w:p>
        </w:tc>
      </w:tr>
      <w:tr w:rsidR="00046C2C" w:rsidRPr="00791F12" w14:paraId="683AD447" w14:textId="77777777" w:rsidTr="004323AE">
        <w:tc>
          <w:tcPr>
            <w:tcW w:w="5240" w:type="dxa"/>
            <w:vAlign w:val="center"/>
          </w:tcPr>
          <w:p w14:paraId="56689B67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Presence of </w:t>
            </w:r>
            <w:proofErr w:type="spellStart"/>
            <w:r w:rsidRPr="00791F12">
              <w:rPr>
                <w:color w:val="000000" w:themeColor="text1"/>
              </w:rPr>
              <w:t>central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venous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catheter</w:t>
            </w:r>
            <w:proofErr w:type="spellEnd"/>
            <w:r w:rsidRPr="00791F12">
              <w:rPr>
                <w:color w:val="000000" w:themeColor="text1"/>
              </w:rPr>
              <w:t xml:space="preserve"> (CVC), n (%)</w:t>
            </w:r>
          </w:p>
        </w:tc>
        <w:tc>
          <w:tcPr>
            <w:tcW w:w="1284" w:type="dxa"/>
            <w:vAlign w:val="center"/>
          </w:tcPr>
          <w:p w14:paraId="061E9809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19 (54.3%)</w:t>
            </w:r>
          </w:p>
        </w:tc>
        <w:tc>
          <w:tcPr>
            <w:tcW w:w="1273" w:type="dxa"/>
            <w:vAlign w:val="center"/>
          </w:tcPr>
          <w:p w14:paraId="5EBB4E09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65 (58.0%)</w:t>
            </w:r>
          </w:p>
        </w:tc>
        <w:tc>
          <w:tcPr>
            <w:tcW w:w="845" w:type="dxa"/>
            <w:vAlign w:val="center"/>
          </w:tcPr>
          <w:p w14:paraId="52AD9505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0.696</w:t>
            </w:r>
          </w:p>
        </w:tc>
      </w:tr>
      <w:tr w:rsidR="00046C2C" w:rsidRPr="00791F12" w14:paraId="3B9B848A" w14:textId="77777777" w:rsidTr="004323AE">
        <w:tc>
          <w:tcPr>
            <w:tcW w:w="5240" w:type="dxa"/>
            <w:vAlign w:val="center"/>
          </w:tcPr>
          <w:p w14:paraId="33EEA47A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Duration</w:t>
            </w:r>
            <w:proofErr w:type="spellEnd"/>
            <w:r w:rsidRPr="00791F12">
              <w:rPr>
                <w:color w:val="000000" w:themeColor="text1"/>
              </w:rPr>
              <w:t xml:space="preserve"> of CVC </w:t>
            </w:r>
            <w:proofErr w:type="spellStart"/>
            <w:r w:rsidRPr="00791F12">
              <w:rPr>
                <w:color w:val="000000" w:themeColor="text1"/>
              </w:rPr>
              <w:t>use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84" w:type="dxa"/>
            <w:vAlign w:val="center"/>
          </w:tcPr>
          <w:p w14:paraId="65289963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7.3 ± 4.3</w:t>
            </w:r>
          </w:p>
        </w:tc>
        <w:tc>
          <w:tcPr>
            <w:tcW w:w="1273" w:type="dxa"/>
            <w:vAlign w:val="center"/>
          </w:tcPr>
          <w:p w14:paraId="6191463A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10.2 ± 9.5</w:t>
            </w:r>
          </w:p>
        </w:tc>
        <w:tc>
          <w:tcPr>
            <w:tcW w:w="845" w:type="dxa"/>
            <w:vAlign w:val="center"/>
          </w:tcPr>
          <w:p w14:paraId="1D40020E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0.570</w:t>
            </w:r>
          </w:p>
        </w:tc>
      </w:tr>
      <w:tr w:rsidR="00046C2C" w:rsidRPr="00791F12" w14:paraId="264039D8" w14:textId="77777777" w:rsidTr="004323AE">
        <w:tc>
          <w:tcPr>
            <w:tcW w:w="5240" w:type="dxa"/>
            <w:vAlign w:val="center"/>
          </w:tcPr>
          <w:p w14:paraId="5838777A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Presence of </w:t>
            </w:r>
            <w:proofErr w:type="spellStart"/>
            <w:r w:rsidRPr="00791F12">
              <w:rPr>
                <w:color w:val="000000" w:themeColor="text1"/>
              </w:rPr>
              <w:t>thoracic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catheter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84" w:type="dxa"/>
            <w:vAlign w:val="center"/>
          </w:tcPr>
          <w:p w14:paraId="094C58E4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 (8.6%)</w:t>
            </w:r>
          </w:p>
        </w:tc>
        <w:tc>
          <w:tcPr>
            <w:tcW w:w="1273" w:type="dxa"/>
            <w:vAlign w:val="center"/>
          </w:tcPr>
          <w:p w14:paraId="50FAE6F0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10 (8.9%)</w:t>
            </w:r>
          </w:p>
        </w:tc>
        <w:tc>
          <w:tcPr>
            <w:tcW w:w="845" w:type="dxa"/>
            <w:vAlign w:val="center"/>
          </w:tcPr>
          <w:p w14:paraId="447A634C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1.000</w:t>
            </w:r>
          </w:p>
        </w:tc>
      </w:tr>
      <w:tr w:rsidR="00046C2C" w:rsidRPr="00791F12" w14:paraId="233DC8BC" w14:textId="77777777" w:rsidTr="004323AE">
        <w:tc>
          <w:tcPr>
            <w:tcW w:w="5240" w:type="dxa"/>
            <w:vAlign w:val="center"/>
          </w:tcPr>
          <w:p w14:paraId="08F7E824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Presence of </w:t>
            </w:r>
            <w:proofErr w:type="spellStart"/>
            <w:r w:rsidRPr="00791F12">
              <w:rPr>
                <w:color w:val="000000" w:themeColor="text1"/>
              </w:rPr>
              <w:t>urinary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catheter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84" w:type="dxa"/>
            <w:vAlign w:val="center"/>
          </w:tcPr>
          <w:p w14:paraId="29916A4C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32 (97.0%)</w:t>
            </w:r>
          </w:p>
        </w:tc>
        <w:tc>
          <w:tcPr>
            <w:tcW w:w="1273" w:type="dxa"/>
            <w:vAlign w:val="center"/>
          </w:tcPr>
          <w:p w14:paraId="4AA7A872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106 (94.6%)</w:t>
            </w:r>
          </w:p>
        </w:tc>
        <w:tc>
          <w:tcPr>
            <w:tcW w:w="845" w:type="dxa"/>
            <w:vAlign w:val="center"/>
          </w:tcPr>
          <w:p w14:paraId="1CF5F82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0.445</w:t>
            </w:r>
          </w:p>
        </w:tc>
      </w:tr>
      <w:tr w:rsidR="00046C2C" w:rsidRPr="00791F12" w14:paraId="5E7AFF72" w14:textId="77777777" w:rsidTr="004323AE">
        <w:tc>
          <w:tcPr>
            <w:tcW w:w="5240" w:type="dxa"/>
            <w:vAlign w:val="center"/>
          </w:tcPr>
          <w:p w14:paraId="144AA29A" w14:textId="77777777" w:rsidR="00046C2C" w:rsidRPr="00791F12" w:rsidRDefault="00046C2C" w:rsidP="004323AE">
            <w:pPr>
              <w:spacing w:before="16" w:after="16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New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or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progressive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infiltrates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on PA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chest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radiograph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284" w:type="dxa"/>
            <w:vAlign w:val="center"/>
          </w:tcPr>
          <w:p w14:paraId="0E4C9A4E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23 (65.7%)</w:t>
            </w:r>
          </w:p>
        </w:tc>
        <w:tc>
          <w:tcPr>
            <w:tcW w:w="1273" w:type="dxa"/>
            <w:vAlign w:val="center"/>
          </w:tcPr>
          <w:p w14:paraId="2BC86A32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95 (84.8%)</w:t>
            </w:r>
          </w:p>
        </w:tc>
        <w:tc>
          <w:tcPr>
            <w:tcW w:w="845" w:type="dxa"/>
            <w:vAlign w:val="center"/>
          </w:tcPr>
          <w:p w14:paraId="429EBB0F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0.025</w:t>
            </w:r>
          </w:p>
        </w:tc>
      </w:tr>
      <w:tr w:rsidR="00046C2C" w:rsidRPr="00791F12" w14:paraId="7F57AA76" w14:textId="77777777" w:rsidTr="004323AE">
        <w:tc>
          <w:tcPr>
            <w:tcW w:w="5240" w:type="dxa"/>
          </w:tcPr>
          <w:p w14:paraId="2FA69FD1" w14:textId="77777777" w:rsidR="00046C2C" w:rsidRPr="00791F12" w:rsidRDefault="00046C2C" w:rsidP="004323AE">
            <w:pPr>
              <w:spacing w:before="16" w:after="16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PA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chest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radiograph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findings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, n (%) </w:t>
            </w:r>
          </w:p>
          <w:p w14:paraId="264DE1E1" w14:textId="77777777" w:rsidR="00046C2C" w:rsidRPr="00791F12" w:rsidRDefault="00046C2C" w:rsidP="004323AE">
            <w:pPr>
              <w:spacing w:before="16" w:after="16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           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None</w:t>
            </w:r>
            <w:proofErr w:type="spellEnd"/>
          </w:p>
          <w:p w14:paraId="14DF3D1F" w14:textId="77777777" w:rsidR="00046C2C" w:rsidRPr="00791F12" w:rsidRDefault="00046C2C" w:rsidP="004323AE">
            <w:pPr>
              <w:spacing w:before="16" w:after="16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lastRenderedPageBreak/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Diffuse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infiltration</w:t>
            </w:r>
            <w:proofErr w:type="spellEnd"/>
          </w:p>
          <w:p w14:paraId="53389392" w14:textId="77777777" w:rsidR="00046C2C" w:rsidRPr="00791F12" w:rsidRDefault="00046C2C" w:rsidP="004323AE">
            <w:pPr>
              <w:spacing w:before="16" w:after="16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Lobar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infiltration</w:t>
            </w:r>
            <w:proofErr w:type="spellEnd"/>
          </w:p>
        </w:tc>
        <w:tc>
          <w:tcPr>
            <w:tcW w:w="1284" w:type="dxa"/>
          </w:tcPr>
          <w:p w14:paraId="3C82228E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</w:p>
          <w:p w14:paraId="6774653E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12 (34.3%)</w:t>
            </w:r>
          </w:p>
          <w:p w14:paraId="775CFC8C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lastRenderedPageBreak/>
              <w:t>12 (34.3%)</w:t>
            </w:r>
          </w:p>
          <w:p w14:paraId="45517ED2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11 (31.4%)</w:t>
            </w:r>
          </w:p>
        </w:tc>
        <w:tc>
          <w:tcPr>
            <w:tcW w:w="1273" w:type="dxa"/>
          </w:tcPr>
          <w:p w14:paraId="627B10C9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</w:p>
          <w:p w14:paraId="263FC856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17 (15.2%)</w:t>
            </w:r>
          </w:p>
          <w:p w14:paraId="77F5527F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lastRenderedPageBreak/>
              <w:t>52 (46.4%)</w:t>
            </w:r>
          </w:p>
          <w:p w14:paraId="196AC860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43 (38.4%)</w:t>
            </w:r>
          </w:p>
        </w:tc>
        <w:tc>
          <w:tcPr>
            <w:tcW w:w="845" w:type="dxa"/>
            <w:vAlign w:val="center"/>
          </w:tcPr>
          <w:p w14:paraId="3095D6A1" w14:textId="77777777" w:rsidR="00046C2C" w:rsidRPr="00791F12" w:rsidRDefault="00046C2C" w:rsidP="004323AE">
            <w:pPr>
              <w:spacing w:before="16" w:after="16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lastRenderedPageBreak/>
              <w:t>0.045</w:t>
            </w:r>
          </w:p>
        </w:tc>
      </w:tr>
      <w:tr w:rsidR="00046C2C" w:rsidRPr="00791F12" w14:paraId="7B6D4147" w14:textId="77777777" w:rsidTr="004323AE">
        <w:tc>
          <w:tcPr>
            <w:tcW w:w="5240" w:type="dxa"/>
            <w:vAlign w:val="center"/>
          </w:tcPr>
          <w:p w14:paraId="6133781C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>₂/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 xml:space="preserve">₂ </w:t>
            </w:r>
            <w:proofErr w:type="spellStart"/>
            <w:r w:rsidRPr="00791F12">
              <w:rPr>
                <w:color w:val="000000" w:themeColor="text1"/>
              </w:rPr>
              <w:t>ratio</w:t>
            </w:r>
            <w:proofErr w:type="spellEnd"/>
            <w:r w:rsidRPr="00791F12">
              <w:rPr>
                <w:color w:val="000000" w:themeColor="text1"/>
              </w:rPr>
              <w:t xml:space="preserve"> (mmHg)</w:t>
            </w:r>
          </w:p>
        </w:tc>
        <w:tc>
          <w:tcPr>
            <w:tcW w:w="1284" w:type="dxa"/>
            <w:vAlign w:val="center"/>
          </w:tcPr>
          <w:p w14:paraId="0E93C522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212.5 ± 62.0</w:t>
            </w:r>
          </w:p>
        </w:tc>
        <w:tc>
          <w:tcPr>
            <w:tcW w:w="1273" w:type="dxa"/>
            <w:vAlign w:val="center"/>
          </w:tcPr>
          <w:p w14:paraId="55FE5F99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224.0 ± 88.6</w:t>
            </w:r>
          </w:p>
        </w:tc>
        <w:tc>
          <w:tcPr>
            <w:tcW w:w="845" w:type="dxa"/>
            <w:vAlign w:val="center"/>
          </w:tcPr>
          <w:p w14:paraId="1AA65DE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0.691</w:t>
            </w:r>
          </w:p>
        </w:tc>
      </w:tr>
      <w:tr w:rsidR="00046C2C" w:rsidRPr="00791F12" w14:paraId="21038528" w14:textId="77777777" w:rsidTr="004323AE">
        <w:tc>
          <w:tcPr>
            <w:tcW w:w="5240" w:type="dxa"/>
            <w:vAlign w:val="center"/>
          </w:tcPr>
          <w:p w14:paraId="296E433F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Leukocyte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count</w:t>
            </w:r>
            <w:proofErr w:type="spellEnd"/>
            <w:r w:rsidRPr="00791F12">
              <w:rPr>
                <w:color w:val="000000" w:themeColor="text1"/>
              </w:rPr>
              <w:t xml:space="preserve"> (/mm³)</w:t>
            </w:r>
          </w:p>
        </w:tc>
        <w:tc>
          <w:tcPr>
            <w:tcW w:w="1284" w:type="dxa"/>
            <w:vAlign w:val="center"/>
          </w:tcPr>
          <w:p w14:paraId="06168482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12103 ± 4175</w:t>
            </w:r>
          </w:p>
        </w:tc>
        <w:tc>
          <w:tcPr>
            <w:tcW w:w="1273" w:type="dxa"/>
            <w:vAlign w:val="center"/>
          </w:tcPr>
          <w:p w14:paraId="28E620AE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13140 ± 7251</w:t>
            </w:r>
          </w:p>
        </w:tc>
        <w:tc>
          <w:tcPr>
            <w:tcW w:w="845" w:type="dxa"/>
            <w:vAlign w:val="center"/>
          </w:tcPr>
          <w:p w14:paraId="1F80888E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0.865</w:t>
            </w:r>
          </w:p>
        </w:tc>
      </w:tr>
      <w:tr w:rsidR="00046C2C" w:rsidRPr="00791F12" w14:paraId="7CE2351D" w14:textId="77777777" w:rsidTr="004323AE">
        <w:tc>
          <w:tcPr>
            <w:tcW w:w="5240" w:type="dxa"/>
            <w:vAlign w:val="center"/>
          </w:tcPr>
          <w:p w14:paraId="1F1813A5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Erythrocyte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sedimentation</w:t>
            </w:r>
            <w:proofErr w:type="spellEnd"/>
            <w:r w:rsidRPr="00791F12">
              <w:rPr>
                <w:color w:val="000000" w:themeColor="text1"/>
              </w:rPr>
              <w:t xml:space="preserve"> rate (mm/h)</w:t>
            </w:r>
          </w:p>
        </w:tc>
        <w:tc>
          <w:tcPr>
            <w:tcW w:w="1284" w:type="dxa"/>
            <w:vAlign w:val="center"/>
          </w:tcPr>
          <w:p w14:paraId="79B658AF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56.3 ± 30.2</w:t>
            </w:r>
          </w:p>
        </w:tc>
        <w:tc>
          <w:tcPr>
            <w:tcW w:w="1273" w:type="dxa"/>
            <w:vAlign w:val="center"/>
          </w:tcPr>
          <w:p w14:paraId="6375372B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48.8 ± 32.9</w:t>
            </w:r>
          </w:p>
        </w:tc>
        <w:tc>
          <w:tcPr>
            <w:tcW w:w="845" w:type="dxa"/>
            <w:vAlign w:val="center"/>
          </w:tcPr>
          <w:p w14:paraId="22D267BB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0.213</w:t>
            </w:r>
          </w:p>
        </w:tc>
      </w:tr>
      <w:tr w:rsidR="00046C2C" w:rsidRPr="00791F12" w14:paraId="0A335E8E" w14:textId="77777777" w:rsidTr="004323AE">
        <w:tc>
          <w:tcPr>
            <w:tcW w:w="5240" w:type="dxa"/>
            <w:vAlign w:val="center"/>
          </w:tcPr>
          <w:p w14:paraId="0D1CA4FB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C-</w:t>
            </w:r>
            <w:proofErr w:type="spellStart"/>
            <w:r w:rsidRPr="00791F12">
              <w:rPr>
                <w:color w:val="000000" w:themeColor="text1"/>
              </w:rPr>
              <w:t>reactive</w:t>
            </w:r>
            <w:proofErr w:type="spellEnd"/>
            <w:r w:rsidRPr="00791F12">
              <w:rPr>
                <w:color w:val="000000" w:themeColor="text1"/>
              </w:rPr>
              <w:t xml:space="preserve"> protein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84" w:type="dxa"/>
            <w:vAlign w:val="center"/>
          </w:tcPr>
          <w:p w14:paraId="1EF1E603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17.1 ± 10.3</w:t>
            </w:r>
          </w:p>
        </w:tc>
        <w:tc>
          <w:tcPr>
            <w:tcW w:w="1273" w:type="dxa"/>
            <w:vAlign w:val="center"/>
          </w:tcPr>
          <w:p w14:paraId="4111B6BD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18.0 ± 9.7</w:t>
            </w:r>
          </w:p>
        </w:tc>
        <w:tc>
          <w:tcPr>
            <w:tcW w:w="845" w:type="dxa"/>
            <w:vAlign w:val="center"/>
          </w:tcPr>
          <w:p w14:paraId="5F9C4C9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0.514</w:t>
            </w:r>
          </w:p>
        </w:tc>
      </w:tr>
      <w:tr w:rsidR="00046C2C" w:rsidRPr="00791F12" w14:paraId="29635312" w14:textId="77777777" w:rsidTr="004323AE">
        <w:tc>
          <w:tcPr>
            <w:tcW w:w="5240" w:type="dxa"/>
            <w:vAlign w:val="center"/>
          </w:tcPr>
          <w:p w14:paraId="6FBF204F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Procalcitonin</w:t>
            </w:r>
            <w:proofErr w:type="spellEnd"/>
            <w:r w:rsidRPr="00791F12">
              <w:rPr>
                <w:color w:val="000000" w:themeColor="text1"/>
              </w:rPr>
              <w:t xml:space="preserve"> (µg/L)</w:t>
            </w:r>
          </w:p>
        </w:tc>
        <w:tc>
          <w:tcPr>
            <w:tcW w:w="1284" w:type="dxa"/>
            <w:vAlign w:val="center"/>
          </w:tcPr>
          <w:p w14:paraId="124775C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5.2 ± 12.9</w:t>
            </w:r>
          </w:p>
        </w:tc>
        <w:tc>
          <w:tcPr>
            <w:tcW w:w="1273" w:type="dxa"/>
            <w:vAlign w:val="center"/>
          </w:tcPr>
          <w:p w14:paraId="5A7E2F87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5.7 ± 13.3</w:t>
            </w:r>
          </w:p>
        </w:tc>
        <w:tc>
          <w:tcPr>
            <w:tcW w:w="845" w:type="dxa"/>
            <w:vAlign w:val="center"/>
          </w:tcPr>
          <w:p w14:paraId="35F23EE3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0.245</w:t>
            </w:r>
          </w:p>
        </w:tc>
      </w:tr>
      <w:tr w:rsidR="00046C2C" w:rsidRPr="00791F12" w14:paraId="1B32BC7A" w14:textId="77777777" w:rsidTr="004323AE">
        <w:tc>
          <w:tcPr>
            <w:tcW w:w="5240" w:type="dxa"/>
            <w:vAlign w:val="center"/>
          </w:tcPr>
          <w:p w14:paraId="6276B3C0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Creatinine</w:t>
            </w:r>
            <w:proofErr w:type="spellEnd"/>
            <w:r w:rsidRPr="00791F12">
              <w:rPr>
                <w:color w:val="000000" w:themeColor="text1"/>
              </w:rPr>
              <w:t xml:space="preserve">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84" w:type="dxa"/>
            <w:vAlign w:val="center"/>
          </w:tcPr>
          <w:p w14:paraId="7EDAC143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1.30 ± 1.0</w:t>
            </w:r>
          </w:p>
        </w:tc>
        <w:tc>
          <w:tcPr>
            <w:tcW w:w="1273" w:type="dxa"/>
            <w:vAlign w:val="center"/>
          </w:tcPr>
          <w:p w14:paraId="2935127D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1.2 ± 1.1</w:t>
            </w:r>
          </w:p>
        </w:tc>
        <w:tc>
          <w:tcPr>
            <w:tcW w:w="845" w:type="dxa"/>
            <w:vAlign w:val="center"/>
          </w:tcPr>
          <w:p w14:paraId="741315A8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0.294</w:t>
            </w:r>
          </w:p>
        </w:tc>
      </w:tr>
      <w:tr w:rsidR="00046C2C" w:rsidRPr="00791F12" w14:paraId="4A36B076" w14:textId="77777777" w:rsidTr="004323AE">
        <w:tc>
          <w:tcPr>
            <w:tcW w:w="5240" w:type="dxa"/>
            <w:vAlign w:val="center"/>
          </w:tcPr>
          <w:p w14:paraId="04756446" w14:textId="77777777" w:rsidR="00046C2C" w:rsidRPr="00791F12" w:rsidRDefault="00046C2C" w:rsidP="004323AE">
            <w:pPr>
              <w:spacing w:before="16" w:after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Glomerular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filtration</w:t>
            </w:r>
            <w:proofErr w:type="spellEnd"/>
            <w:r w:rsidRPr="00791F12">
              <w:rPr>
                <w:color w:val="000000" w:themeColor="text1"/>
              </w:rPr>
              <w:t xml:space="preserve"> rate (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m²)</w:t>
            </w:r>
          </w:p>
        </w:tc>
        <w:tc>
          <w:tcPr>
            <w:tcW w:w="1284" w:type="dxa"/>
            <w:vAlign w:val="center"/>
          </w:tcPr>
          <w:p w14:paraId="26947DA4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74.8 ± 40.7</w:t>
            </w:r>
          </w:p>
        </w:tc>
        <w:tc>
          <w:tcPr>
            <w:tcW w:w="1273" w:type="dxa"/>
            <w:vAlign w:val="center"/>
          </w:tcPr>
          <w:p w14:paraId="29A4B680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75.3 ± 40.6</w:t>
            </w:r>
          </w:p>
        </w:tc>
        <w:tc>
          <w:tcPr>
            <w:tcW w:w="845" w:type="dxa"/>
            <w:vAlign w:val="center"/>
          </w:tcPr>
          <w:p w14:paraId="2EFA0FA3" w14:textId="77777777" w:rsidR="00046C2C" w:rsidRPr="00791F12" w:rsidRDefault="00046C2C" w:rsidP="004323AE">
            <w:pPr>
              <w:spacing w:before="16" w:after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0.806</w:t>
            </w:r>
          </w:p>
        </w:tc>
      </w:tr>
      <w:tr w:rsidR="00046C2C" w:rsidRPr="00791F12" w14:paraId="130B07F2" w14:textId="77777777" w:rsidTr="004323AE">
        <w:tc>
          <w:tcPr>
            <w:tcW w:w="5240" w:type="dxa"/>
            <w:vAlign w:val="center"/>
          </w:tcPr>
          <w:p w14:paraId="2F1C8D50" w14:textId="77777777" w:rsidR="00046C2C" w:rsidRPr="00791F12" w:rsidRDefault="00046C2C" w:rsidP="004323AE">
            <w:pPr>
              <w:spacing w:before="16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Clinical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Pulmonary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Infection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Score</w:t>
            </w:r>
            <w:proofErr w:type="spellEnd"/>
            <w:r w:rsidRPr="00791F12">
              <w:rPr>
                <w:color w:val="000000" w:themeColor="text1"/>
              </w:rPr>
              <w:t xml:space="preserve"> (CPIS)</w:t>
            </w:r>
          </w:p>
        </w:tc>
        <w:tc>
          <w:tcPr>
            <w:tcW w:w="1284" w:type="dxa"/>
            <w:vAlign w:val="center"/>
          </w:tcPr>
          <w:p w14:paraId="756605DC" w14:textId="77777777" w:rsidR="00046C2C" w:rsidRPr="00791F12" w:rsidRDefault="00046C2C" w:rsidP="004323AE">
            <w:pPr>
              <w:spacing w:before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7.7 ± 1.3</w:t>
            </w:r>
          </w:p>
        </w:tc>
        <w:tc>
          <w:tcPr>
            <w:tcW w:w="1273" w:type="dxa"/>
            <w:vAlign w:val="center"/>
          </w:tcPr>
          <w:p w14:paraId="65FBB3EB" w14:textId="77777777" w:rsidR="00046C2C" w:rsidRPr="00791F12" w:rsidRDefault="00046C2C" w:rsidP="004323AE">
            <w:pPr>
              <w:spacing w:before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7.9 ± 1.5</w:t>
            </w:r>
          </w:p>
        </w:tc>
        <w:tc>
          <w:tcPr>
            <w:tcW w:w="845" w:type="dxa"/>
            <w:vAlign w:val="center"/>
          </w:tcPr>
          <w:p w14:paraId="043226E6" w14:textId="77777777" w:rsidR="00046C2C" w:rsidRPr="00791F12" w:rsidRDefault="00046C2C" w:rsidP="004323AE">
            <w:pPr>
              <w:spacing w:before="16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0.517</w:t>
            </w:r>
          </w:p>
        </w:tc>
      </w:tr>
      <w:tr w:rsidR="00046C2C" w:rsidRPr="00791F12" w14:paraId="11014C66" w14:textId="77777777" w:rsidTr="004323AE">
        <w:tc>
          <w:tcPr>
            <w:tcW w:w="8642" w:type="dxa"/>
            <w:gridSpan w:val="4"/>
          </w:tcPr>
          <w:p w14:paraId="293C7FD8" w14:textId="77777777" w:rsidR="00046C2C" w:rsidRPr="00791F12" w:rsidRDefault="00046C2C" w:rsidP="004323AE">
            <w:pPr>
              <w:spacing w:before="240" w:after="20"/>
              <w:rPr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Abbreviations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:</w:t>
            </w:r>
            <w:r w:rsidRPr="00791F12">
              <w:rPr>
                <w:color w:val="000000" w:themeColor="text1"/>
              </w:rPr>
              <w:t xml:space="preserve"> PA, posterior–anterior; </w:t>
            </w: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 xml:space="preserve">₂, </w:t>
            </w:r>
            <w:proofErr w:type="spellStart"/>
            <w:r w:rsidRPr="00791F12">
              <w:rPr>
                <w:color w:val="000000" w:themeColor="text1"/>
              </w:rPr>
              <w:t>arterial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partial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pressure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oxygen</w:t>
            </w:r>
            <w:proofErr w:type="spellEnd"/>
            <w:r w:rsidRPr="00791F12">
              <w:rPr>
                <w:color w:val="000000" w:themeColor="text1"/>
              </w:rPr>
              <w:t xml:space="preserve">; 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 xml:space="preserve">₂, </w:t>
            </w:r>
            <w:proofErr w:type="spellStart"/>
            <w:r w:rsidRPr="00791F12">
              <w:rPr>
                <w:color w:val="000000" w:themeColor="text1"/>
              </w:rPr>
              <w:t>fraction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inspired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oxygen</w:t>
            </w:r>
            <w:proofErr w:type="spellEnd"/>
            <w:r w:rsidRPr="00791F12">
              <w:rPr>
                <w:color w:val="000000" w:themeColor="text1"/>
              </w:rPr>
              <w:t xml:space="preserve">; ICU, </w:t>
            </w:r>
            <w:proofErr w:type="spellStart"/>
            <w:r w:rsidRPr="00791F12">
              <w:rPr>
                <w:color w:val="000000" w:themeColor="text1"/>
              </w:rPr>
              <w:t>intensive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care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unit</w:t>
            </w:r>
            <w:proofErr w:type="spellEnd"/>
            <w:r w:rsidRPr="00791F12">
              <w:rPr>
                <w:color w:val="000000" w:themeColor="text1"/>
              </w:rPr>
              <w:t>.</w:t>
            </w:r>
          </w:p>
        </w:tc>
      </w:tr>
    </w:tbl>
    <w:p w14:paraId="2CA764A1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4FCBD27" w14:textId="014C94D7" w:rsidR="00046C2C" w:rsidRPr="00B07EA1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3. Body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Temperature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Measurements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According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Days</w:t>
      </w:r>
      <w:proofErr w:type="spellEnd"/>
    </w:p>
    <w:tbl>
      <w:tblPr>
        <w:tblStyle w:val="TabloKlavuzu"/>
        <w:tblW w:w="864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992"/>
        <w:gridCol w:w="567"/>
        <w:gridCol w:w="709"/>
        <w:gridCol w:w="850"/>
      </w:tblGrid>
      <w:tr w:rsidR="002E358E" w:rsidRPr="00791F12" w14:paraId="414DE97C" w14:textId="77777777" w:rsidTr="002E358E">
        <w:tc>
          <w:tcPr>
            <w:tcW w:w="4536" w:type="dxa"/>
            <w:vAlign w:val="center"/>
          </w:tcPr>
          <w:p w14:paraId="5EF15FF3" w14:textId="77777777" w:rsidR="00046C2C" w:rsidRPr="00791F12" w:rsidRDefault="00046C2C" w:rsidP="004323AE">
            <w:pPr>
              <w:spacing w:before="240"/>
              <w:jc w:val="center"/>
              <w:rPr>
                <w:b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Treatment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Day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and</w:t>
            </w:r>
            <w:proofErr w:type="spellEnd"/>
            <w:r w:rsidRPr="00791F12">
              <w:rPr>
                <w:b/>
                <w:bCs/>
              </w:rPr>
              <w:t xml:space="preserve"> Body </w:t>
            </w:r>
            <w:proofErr w:type="spellStart"/>
            <w:r w:rsidRPr="00791F12">
              <w:rPr>
                <w:b/>
                <w:bCs/>
              </w:rPr>
              <w:t>Temperature</w:t>
            </w:r>
            <w:proofErr w:type="spellEnd"/>
          </w:p>
        </w:tc>
        <w:tc>
          <w:tcPr>
            <w:tcW w:w="993" w:type="dxa"/>
            <w:vAlign w:val="center"/>
          </w:tcPr>
          <w:p w14:paraId="6CFAE4DC" w14:textId="77777777" w:rsidR="00046C2C" w:rsidRPr="00791F12" w:rsidRDefault="00046C2C" w:rsidP="004323AE">
            <w:pPr>
              <w:jc w:val="center"/>
              <w:rPr>
                <w:b/>
                <w:bCs/>
              </w:rPr>
            </w:pPr>
            <w:r w:rsidRPr="00791F12">
              <w:rPr>
                <w:b/>
                <w:bCs/>
              </w:rPr>
              <w:t xml:space="preserve">STTG </w:t>
            </w:r>
          </w:p>
          <w:p w14:paraId="702AC83A" w14:textId="77777777" w:rsidR="00046C2C" w:rsidRPr="00791F12" w:rsidRDefault="00046C2C" w:rsidP="004323AE">
            <w:pPr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</w:rPr>
              <w:t>(</w:t>
            </w:r>
            <w:proofErr w:type="gramStart"/>
            <w:r w:rsidRPr="00791F12">
              <w:rPr>
                <w:b/>
                <w:bCs/>
              </w:rPr>
              <w:t>n</w:t>
            </w:r>
            <w:proofErr w:type="gramEnd"/>
            <w:r w:rsidRPr="00791F12">
              <w:rPr>
                <w:b/>
                <w:bCs/>
              </w:rPr>
              <w:t>=35)</w:t>
            </w:r>
          </w:p>
        </w:tc>
        <w:tc>
          <w:tcPr>
            <w:tcW w:w="992" w:type="dxa"/>
            <w:vAlign w:val="center"/>
          </w:tcPr>
          <w:p w14:paraId="34504019" w14:textId="77777777" w:rsidR="00046C2C" w:rsidRPr="00791F12" w:rsidRDefault="00046C2C" w:rsidP="004323AE">
            <w:pPr>
              <w:jc w:val="center"/>
              <w:rPr>
                <w:b/>
                <w:bCs/>
              </w:rPr>
            </w:pPr>
            <w:r w:rsidRPr="00791F12">
              <w:rPr>
                <w:b/>
                <w:bCs/>
              </w:rPr>
              <w:t xml:space="preserve">LTTG </w:t>
            </w:r>
          </w:p>
          <w:p w14:paraId="05B7CFA2" w14:textId="77777777" w:rsidR="00046C2C" w:rsidRPr="00791F12" w:rsidRDefault="00046C2C" w:rsidP="004323AE">
            <w:pPr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</w:rPr>
              <w:t>(</w:t>
            </w:r>
            <w:proofErr w:type="gramStart"/>
            <w:r w:rsidRPr="00791F12">
              <w:rPr>
                <w:b/>
                <w:bCs/>
              </w:rPr>
              <w:t>n</w:t>
            </w:r>
            <w:proofErr w:type="gramEnd"/>
            <w:r w:rsidRPr="00791F12">
              <w:rPr>
                <w:b/>
                <w:bCs/>
              </w:rPr>
              <w:t>=112)</w:t>
            </w:r>
          </w:p>
        </w:tc>
        <w:tc>
          <w:tcPr>
            <w:tcW w:w="567" w:type="dxa"/>
            <w:vAlign w:val="center"/>
          </w:tcPr>
          <w:p w14:paraId="77A53771" w14:textId="77777777" w:rsidR="00046C2C" w:rsidRPr="00791F12" w:rsidRDefault="00046C2C" w:rsidP="004323AE">
            <w:pPr>
              <w:spacing w:before="240"/>
              <w:jc w:val="center"/>
              <w:rPr>
                <w:b/>
                <w:color w:val="000000" w:themeColor="text1"/>
              </w:rPr>
            </w:pPr>
            <w:proofErr w:type="gramStart"/>
            <w:r w:rsidRPr="00791F12">
              <w:rPr>
                <w:b/>
                <w:bCs/>
              </w:rPr>
              <w:t>p</w:t>
            </w:r>
            <w:proofErr w:type="gram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709" w:type="dxa"/>
            <w:vAlign w:val="center"/>
          </w:tcPr>
          <w:p w14:paraId="184CCFBB" w14:textId="77777777" w:rsidR="00046C2C" w:rsidRPr="00791F12" w:rsidRDefault="00046C2C" w:rsidP="004323AE">
            <w:pPr>
              <w:spacing w:before="240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</w:rPr>
              <w:t>OR</w:t>
            </w:r>
          </w:p>
        </w:tc>
        <w:tc>
          <w:tcPr>
            <w:tcW w:w="850" w:type="dxa"/>
            <w:vAlign w:val="center"/>
          </w:tcPr>
          <w:p w14:paraId="55C9FF24" w14:textId="77777777" w:rsidR="00046C2C" w:rsidRPr="00791F12" w:rsidRDefault="00046C2C" w:rsidP="004323AE">
            <w:pPr>
              <w:spacing w:before="240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</w:rPr>
              <w:t>95% CI</w:t>
            </w:r>
          </w:p>
        </w:tc>
      </w:tr>
      <w:tr w:rsidR="002E358E" w:rsidRPr="00791F12" w14:paraId="73BA73EA" w14:textId="77777777" w:rsidTr="002E358E">
        <w:tc>
          <w:tcPr>
            <w:tcW w:w="4536" w:type="dxa"/>
            <w:vAlign w:val="center"/>
          </w:tcPr>
          <w:p w14:paraId="650318FB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t>Episodes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with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fever</w:t>
            </w:r>
            <w:proofErr w:type="spellEnd"/>
            <w:r w:rsidRPr="00791F12">
              <w:t>/</w:t>
            </w:r>
            <w:proofErr w:type="spellStart"/>
            <w:r w:rsidRPr="00791F12">
              <w:t>hypothermia</w:t>
            </w:r>
            <w:proofErr w:type="spellEnd"/>
            <w:r w:rsidRPr="00791F12">
              <w:t xml:space="preserve"> at </w:t>
            </w:r>
            <w:proofErr w:type="spellStart"/>
            <w:r w:rsidRPr="00791F12">
              <w:t>diagnosis</w:t>
            </w:r>
            <w:proofErr w:type="spellEnd"/>
            <w:r w:rsidRPr="00791F12">
              <w:t>, n (%)</w:t>
            </w:r>
          </w:p>
        </w:tc>
        <w:tc>
          <w:tcPr>
            <w:tcW w:w="993" w:type="dxa"/>
            <w:vAlign w:val="center"/>
          </w:tcPr>
          <w:p w14:paraId="42E2345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21 (60.0%)</w:t>
            </w:r>
          </w:p>
        </w:tc>
        <w:tc>
          <w:tcPr>
            <w:tcW w:w="992" w:type="dxa"/>
            <w:vAlign w:val="center"/>
          </w:tcPr>
          <w:p w14:paraId="7AFEE1AB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87 (77.7%)</w:t>
            </w:r>
          </w:p>
        </w:tc>
        <w:tc>
          <w:tcPr>
            <w:tcW w:w="567" w:type="dxa"/>
            <w:vAlign w:val="center"/>
          </w:tcPr>
          <w:p w14:paraId="1F2444D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0.065</w:t>
            </w:r>
          </w:p>
        </w:tc>
        <w:tc>
          <w:tcPr>
            <w:tcW w:w="709" w:type="dxa"/>
            <w:vAlign w:val="center"/>
          </w:tcPr>
          <w:p w14:paraId="4D71151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  <w:tc>
          <w:tcPr>
            <w:tcW w:w="850" w:type="dxa"/>
            <w:vAlign w:val="center"/>
          </w:tcPr>
          <w:p w14:paraId="0643D7C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</w:tr>
      <w:tr w:rsidR="002E358E" w:rsidRPr="00791F12" w14:paraId="596D4A47" w14:textId="77777777" w:rsidTr="002E358E">
        <w:tc>
          <w:tcPr>
            <w:tcW w:w="4536" w:type="dxa"/>
            <w:vAlign w:val="center"/>
          </w:tcPr>
          <w:p w14:paraId="52FDCACC" w14:textId="77777777" w:rsidR="00046C2C" w:rsidRPr="00791F12" w:rsidRDefault="00046C2C" w:rsidP="004323AE">
            <w:pPr>
              <w:spacing w:before="240"/>
              <w:rPr>
                <w:bCs/>
                <w:color w:val="000000" w:themeColor="text1"/>
              </w:rPr>
            </w:pPr>
            <w:r w:rsidRPr="00791F12">
              <w:t xml:space="preserve">Body </w:t>
            </w:r>
            <w:proofErr w:type="spellStart"/>
            <w:r w:rsidRPr="00791F12">
              <w:t>temperature</w:t>
            </w:r>
            <w:proofErr w:type="spellEnd"/>
            <w:r w:rsidRPr="00791F12">
              <w:t xml:space="preserve"> at </w:t>
            </w:r>
            <w:proofErr w:type="spellStart"/>
            <w:r w:rsidRPr="00791F12">
              <w:t>diagnosis</w:t>
            </w:r>
            <w:proofErr w:type="spellEnd"/>
            <w:r w:rsidRPr="00791F12">
              <w:t xml:space="preserve"> (°C)</w:t>
            </w:r>
          </w:p>
        </w:tc>
        <w:tc>
          <w:tcPr>
            <w:tcW w:w="993" w:type="dxa"/>
            <w:vAlign w:val="center"/>
          </w:tcPr>
          <w:p w14:paraId="6D59D87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37.8 ± 1.2</w:t>
            </w:r>
          </w:p>
        </w:tc>
        <w:tc>
          <w:tcPr>
            <w:tcW w:w="992" w:type="dxa"/>
            <w:vAlign w:val="center"/>
          </w:tcPr>
          <w:p w14:paraId="2AD122D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38.1 ± 1.2</w:t>
            </w:r>
          </w:p>
        </w:tc>
        <w:tc>
          <w:tcPr>
            <w:tcW w:w="567" w:type="dxa"/>
            <w:vAlign w:val="center"/>
          </w:tcPr>
          <w:p w14:paraId="3432908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0.097</w:t>
            </w:r>
          </w:p>
        </w:tc>
        <w:tc>
          <w:tcPr>
            <w:tcW w:w="709" w:type="dxa"/>
            <w:vAlign w:val="center"/>
          </w:tcPr>
          <w:p w14:paraId="12DEB57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  <w:tc>
          <w:tcPr>
            <w:tcW w:w="850" w:type="dxa"/>
            <w:vAlign w:val="center"/>
          </w:tcPr>
          <w:p w14:paraId="04E4D287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</w:tr>
      <w:tr w:rsidR="002E358E" w:rsidRPr="00791F12" w14:paraId="715A0917" w14:textId="77777777" w:rsidTr="002E358E">
        <w:tc>
          <w:tcPr>
            <w:tcW w:w="4536" w:type="dxa"/>
            <w:vAlign w:val="center"/>
          </w:tcPr>
          <w:p w14:paraId="50C75956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Episodes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with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fever</w:t>
            </w:r>
            <w:proofErr w:type="spellEnd"/>
            <w:r w:rsidRPr="00791F12">
              <w:rPr>
                <w:b/>
                <w:bCs/>
              </w:rPr>
              <w:t>/</w:t>
            </w:r>
            <w:proofErr w:type="spellStart"/>
            <w:r w:rsidRPr="00791F12">
              <w:rPr>
                <w:b/>
                <w:bCs/>
              </w:rPr>
              <w:t>hypothermia</w:t>
            </w:r>
            <w:proofErr w:type="spellEnd"/>
            <w:r w:rsidRPr="00791F12">
              <w:rPr>
                <w:b/>
                <w:bCs/>
              </w:rPr>
              <w:t xml:space="preserve"> on </w:t>
            </w:r>
            <w:proofErr w:type="spellStart"/>
            <w:r w:rsidRPr="00791F12">
              <w:rPr>
                <w:b/>
                <w:bCs/>
              </w:rPr>
              <w:t>day</w:t>
            </w:r>
            <w:proofErr w:type="spellEnd"/>
            <w:r w:rsidRPr="00791F12">
              <w:rPr>
                <w:b/>
                <w:bCs/>
              </w:rPr>
              <w:t xml:space="preserve"> 3, n (%)</w:t>
            </w:r>
          </w:p>
        </w:tc>
        <w:tc>
          <w:tcPr>
            <w:tcW w:w="993" w:type="dxa"/>
            <w:vAlign w:val="center"/>
          </w:tcPr>
          <w:p w14:paraId="0ABB2664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9 (25.7%)</w:t>
            </w:r>
          </w:p>
        </w:tc>
        <w:tc>
          <w:tcPr>
            <w:tcW w:w="992" w:type="dxa"/>
            <w:vAlign w:val="center"/>
          </w:tcPr>
          <w:p w14:paraId="48BC7E41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56 (50.0%)</w:t>
            </w:r>
          </w:p>
        </w:tc>
        <w:tc>
          <w:tcPr>
            <w:tcW w:w="567" w:type="dxa"/>
            <w:vAlign w:val="center"/>
          </w:tcPr>
          <w:p w14:paraId="024458BC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0.020</w:t>
            </w:r>
          </w:p>
        </w:tc>
        <w:tc>
          <w:tcPr>
            <w:tcW w:w="709" w:type="dxa"/>
            <w:vAlign w:val="center"/>
          </w:tcPr>
          <w:p w14:paraId="130CE4F7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0.35</w:t>
            </w:r>
          </w:p>
        </w:tc>
        <w:tc>
          <w:tcPr>
            <w:tcW w:w="850" w:type="dxa"/>
            <w:vAlign w:val="center"/>
          </w:tcPr>
          <w:p w14:paraId="70B881D7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0.14–0.86</w:t>
            </w:r>
          </w:p>
        </w:tc>
      </w:tr>
      <w:tr w:rsidR="002E358E" w:rsidRPr="00791F12" w14:paraId="3ED27654" w14:textId="77777777" w:rsidTr="002E358E">
        <w:tc>
          <w:tcPr>
            <w:tcW w:w="4536" w:type="dxa"/>
            <w:vAlign w:val="center"/>
          </w:tcPr>
          <w:p w14:paraId="261BBE74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t xml:space="preserve">Body </w:t>
            </w:r>
            <w:proofErr w:type="spellStart"/>
            <w:r w:rsidRPr="00791F12">
              <w:t>temperature</w:t>
            </w:r>
            <w:proofErr w:type="spellEnd"/>
            <w:r w:rsidRPr="00791F12">
              <w:t xml:space="preserve"> on </w:t>
            </w:r>
            <w:proofErr w:type="spellStart"/>
            <w:r w:rsidRPr="00791F12">
              <w:t>day</w:t>
            </w:r>
            <w:proofErr w:type="spellEnd"/>
            <w:r w:rsidRPr="00791F12">
              <w:t xml:space="preserve"> 3 (°C)</w:t>
            </w:r>
          </w:p>
        </w:tc>
        <w:tc>
          <w:tcPr>
            <w:tcW w:w="993" w:type="dxa"/>
            <w:vAlign w:val="center"/>
          </w:tcPr>
          <w:p w14:paraId="11662EC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37.5 ± 0.8</w:t>
            </w:r>
          </w:p>
        </w:tc>
        <w:tc>
          <w:tcPr>
            <w:tcW w:w="992" w:type="dxa"/>
            <w:vAlign w:val="center"/>
          </w:tcPr>
          <w:p w14:paraId="181E2CF7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37.5 ± 1.1</w:t>
            </w:r>
          </w:p>
        </w:tc>
        <w:tc>
          <w:tcPr>
            <w:tcW w:w="567" w:type="dxa"/>
            <w:vAlign w:val="center"/>
          </w:tcPr>
          <w:p w14:paraId="58AFC5F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0.556</w:t>
            </w:r>
          </w:p>
        </w:tc>
        <w:tc>
          <w:tcPr>
            <w:tcW w:w="709" w:type="dxa"/>
            <w:vAlign w:val="center"/>
          </w:tcPr>
          <w:p w14:paraId="6A49699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  <w:tc>
          <w:tcPr>
            <w:tcW w:w="850" w:type="dxa"/>
            <w:vAlign w:val="center"/>
          </w:tcPr>
          <w:p w14:paraId="1D64CB2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</w:tr>
      <w:tr w:rsidR="002E358E" w:rsidRPr="00791F12" w14:paraId="19B85664" w14:textId="77777777" w:rsidTr="002E358E">
        <w:tc>
          <w:tcPr>
            <w:tcW w:w="4536" w:type="dxa"/>
            <w:vAlign w:val="center"/>
          </w:tcPr>
          <w:p w14:paraId="2B124238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Episodes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with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fever</w:t>
            </w:r>
            <w:proofErr w:type="spellEnd"/>
            <w:r w:rsidRPr="00791F12">
              <w:rPr>
                <w:b/>
                <w:bCs/>
              </w:rPr>
              <w:t>/</w:t>
            </w:r>
            <w:proofErr w:type="spellStart"/>
            <w:r w:rsidRPr="00791F12">
              <w:rPr>
                <w:b/>
                <w:bCs/>
              </w:rPr>
              <w:t>hypothermia</w:t>
            </w:r>
            <w:proofErr w:type="spellEnd"/>
            <w:r w:rsidRPr="00791F12">
              <w:rPr>
                <w:b/>
                <w:bCs/>
              </w:rPr>
              <w:t xml:space="preserve"> on </w:t>
            </w:r>
            <w:proofErr w:type="spellStart"/>
            <w:r w:rsidRPr="00791F12">
              <w:rPr>
                <w:b/>
                <w:bCs/>
              </w:rPr>
              <w:t>day</w:t>
            </w:r>
            <w:proofErr w:type="spellEnd"/>
            <w:r w:rsidRPr="00791F12">
              <w:rPr>
                <w:b/>
                <w:bCs/>
              </w:rPr>
              <w:t xml:space="preserve"> 5, n (%)</w:t>
            </w:r>
          </w:p>
        </w:tc>
        <w:tc>
          <w:tcPr>
            <w:tcW w:w="993" w:type="dxa"/>
            <w:vAlign w:val="center"/>
          </w:tcPr>
          <w:p w14:paraId="76831FAE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3 (8.6%)</w:t>
            </w:r>
          </w:p>
        </w:tc>
        <w:tc>
          <w:tcPr>
            <w:tcW w:w="992" w:type="dxa"/>
            <w:vAlign w:val="center"/>
          </w:tcPr>
          <w:p w14:paraId="1F633F0A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37 (33.0%)</w:t>
            </w:r>
          </w:p>
        </w:tc>
        <w:tc>
          <w:tcPr>
            <w:tcW w:w="567" w:type="dxa"/>
            <w:vAlign w:val="center"/>
          </w:tcPr>
          <w:p w14:paraId="3D761A9B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0.004</w:t>
            </w:r>
          </w:p>
        </w:tc>
        <w:tc>
          <w:tcPr>
            <w:tcW w:w="709" w:type="dxa"/>
            <w:vAlign w:val="center"/>
          </w:tcPr>
          <w:p w14:paraId="76E77A15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0.19</w:t>
            </w:r>
          </w:p>
        </w:tc>
        <w:tc>
          <w:tcPr>
            <w:tcW w:w="850" w:type="dxa"/>
            <w:vAlign w:val="center"/>
          </w:tcPr>
          <w:p w14:paraId="2943664D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0.04–0.71</w:t>
            </w:r>
          </w:p>
        </w:tc>
      </w:tr>
      <w:tr w:rsidR="002E358E" w:rsidRPr="00791F12" w14:paraId="48C7799D" w14:textId="77777777" w:rsidTr="002E358E">
        <w:tc>
          <w:tcPr>
            <w:tcW w:w="4536" w:type="dxa"/>
            <w:vAlign w:val="center"/>
          </w:tcPr>
          <w:p w14:paraId="4FD6F991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t xml:space="preserve">Body </w:t>
            </w:r>
            <w:proofErr w:type="spellStart"/>
            <w:r w:rsidRPr="00791F12">
              <w:t>temperature</w:t>
            </w:r>
            <w:proofErr w:type="spellEnd"/>
            <w:r w:rsidRPr="00791F12">
              <w:t xml:space="preserve"> on </w:t>
            </w:r>
            <w:proofErr w:type="spellStart"/>
            <w:r w:rsidRPr="00791F12">
              <w:t>day</w:t>
            </w:r>
            <w:proofErr w:type="spellEnd"/>
            <w:r w:rsidRPr="00791F12">
              <w:t xml:space="preserve"> 5 (°C)</w:t>
            </w:r>
          </w:p>
        </w:tc>
        <w:tc>
          <w:tcPr>
            <w:tcW w:w="993" w:type="dxa"/>
            <w:vAlign w:val="center"/>
          </w:tcPr>
          <w:p w14:paraId="0531153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37.1 ± 0.7</w:t>
            </w:r>
          </w:p>
        </w:tc>
        <w:tc>
          <w:tcPr>
            <w:tcW w:w="992" w:type="dxa"/>
            <w:vAlign w:val="center"/>
          </w:tcPr>
          <w:p w14:paraId="47074A7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37.4 ± 1.0</w:t>
            </w:r>
          </w:p>
        </w:tc>
        <w:tc>
          <w:tcPr>
            <w:tcW w:w="567" w:type="dxa"/>
            <w:vAlign w:val="center"/>
          </w:tcPr>
          <w:p w14:paraId="7DC00074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0.052</w:t>
            </w:r>
          </w:p>
        </w:tc>
        <w:tc>
          <w:tcPr>
            <w:tcW w:w="709" w:type="dxa"/>
            <w:vAlign w:val="center"/>
          </w:tcPr>
          <w:p w14:paraId="49DE6ACF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  <w:tc>
          <w:tcPr>
            <w:tcW w:w="850" w:type="dxa"/>
            <w:vAlign w:val="center"/>
          </w:tcPr>
          <w:p w14:paraId="74B46D06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</w:tr>
      <w:tr w:rsidR="002E358E" w:rsidRPr="00791F12" w14:paraId="280F5BD4" w14:textId="77777777" w:rsidTr="002E358E">
        <w:tc>
          <w:tcPr>
            <w:tcW w:w="4536" w:type="dxa"/>
            <w:vAlign w:val="center"/>
          </w:tcPr>
          <w:p w14:paraId="27914E62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Episodes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with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fever</w:t>
            </w:r>
            <w:proofErr w:type="spellEnd"/>
            <w:r w:rsidRPr="00791F12">
              <w:rPr>
                <w:b/>
                <w:bCs/>
              </w:rPr>
              <w:t>/</w:t>
            </w:r>
            <w:proofErr w:type="spellStart"/>
            <w:r w:rsidRPr="00791F12">
              <w:rPr>
                <w:b/>
                <w:bCs/>
              </w:rPr>
              <w:t>hypothermia</w:t>
            </w:r>
            <w:proofErr w:type="spellEnd"/>
            <w:r w:rsidRPr="00791F12">
              <w:rPr>
                <w:b/>
                <w:bCs/>
              </w:rPr>
              <w:t xml:space="preserve"> on </w:t>
            </w:r>
            <w:proofErr w:type="spellStart"/>
            <w:r w:rsidRPr="00791F12">
              <w:rPr>
                <w:b/>
                <w:bCs/>
              </w:rPr>
              <w:t>day</w:t>
            </w:r>
            <w:proofErr w:type="spellEnd"/>
            <w:r w:rsidRPr="00791F12">
              <w:rPr>
                <w:b/>
                <w:bCs/>
              </w:rPr>
              <w:t xml:space="preserve"> 7, n (%)</w:t>
            </w:r>
          </w:p>
        </w:tc>
        <w:tc>
          <w:tcPr>
            <w:tcW w:w="993" w:type="dxa"/>
            <w:vAlign w:val="center"/>
          </w:tcPr>
          <w:p w14:paraId="0C78D0FC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3 (8.6%)</w:t>
            </w:r>
          </w:p>
        </w:tc>
        <w:tc>
          <w:tcPr>
            <w:tcW w:w="992" w:type="dxa"/>
            <w:vAlign w:val="center"/>
          </w:tcPr>
          <w:p w14:paraId="11F5FCB0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35 (31.3%)</w:t>
            </w:r>
          </w:p>
        </w:tc>
        <w:tc>
          <w:tcPr>
            <w:tcW w:w="567" w:type="dxa"/>
            <w:vAlign w:val="center"/>
          </w:tcPr>
          <w:p w14:paraId="24EB94B3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0.014</w:t>
            </w:r>
          </w:p>
        </w:tc>
        <w:tc>
          <w:tcPr>
            <w:tcW w:w="709" w:type="dxa"/>
            <w:vAlign w:val="center"/>
          </w:tcPr>
          <w:p w14:paraId="7CB469AB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0.21</w:t>
            </w:r>
          </w:p>
        </w:tc>
        <w:tc>
          <w:tcPr>
            <w:tcW w:w="850" w:type="dxa"/>
            <w:vAlign w:val="center"/>
          </w:tcPr>
          <w:p w14:paraId="3046D2BD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0.05–0.77</w:t>
            </w:r>
          </w:p>
        </w:tc>
      </w:tr>
      <w:tr w:rsidR="002E358E" w:rsidRPr="00791F12" w14:paraId="4D9AC4A6" w14:textId="77777777" w:rsidTr="002E358E">
        <w:tc>
          <w:tcPr>
            <w:tcW w:w="4536" w:type="dxa"/>
            <w:vAlign w:val="center"/>
          </w:tcPr>
          <w:p w14:paraId="70428C36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t xml:space="preserve">Body </w:t>
            </w:r>
            <w:proofErr w:type="spellStart"/>
            <w:r w:rsidRPr="00791F12">
              <w:t>temperature</w:t>
            </w:r>
            <w:proofErr w:type="spellEnd"/>
            <w:r w:rsidRPr="00791F12">
              <w:t xml:space="preserve"> on </w:t>
            </w:r>
            <w:proofErr w:type="spellStart"/>
            <w:r w:rsidRPr="00791F12">
              <w:t>day</w:t>
            </w:r>
            <w:proofErr w:type="spellEnd"/>
            <w:r w:rsidRPr="00791F12">
              <w:t xml:space="preserve"> 7 (°C)</w:t>
            </w:r>
          </w:p>
        </w:tc>
        <w:tc>
          <w:tcPr>
            <w:tcW w:w="993" w:type="dxa"/>
            <w:vAlign w:val="center"/>
          </w:tcPr>
          <w:p w14:paraId="4409D64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36.9 ± 0.6</w:t>
            </w:r>
          </w:p>
        </w:tc>
        <w:tc>
          <w:tcPr>
            <w:tcW w:w="992" w:type="dxa"/>
            <w:vAlign w:val="center"/>
          </w:tcPr>
          <w:p w14:paraId="486F03F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37.3 ± 1.1</w:t>
            </w:r>
          </w:p>
        </w:tc>
        <w:tc>
          <w:tcPr>
            <w:tcW w:w="567" w:type="dxa"/>
            <w:vAlign w:val="center"/>
          </w:tcPr>
          <w:p w14:paraId="65F8EDB4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0.060</w:t>
            </w:r>
          </w:p>
        </w:tc>
        <w:tc>
          <w:tcPr>
            <w:tcW w:w="709" w:type="dxa"/>
            <w:vAlign w:val="center"/>
          </w:tcPr>
          <w:p w14:paraId="19C408B4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  <w:tc>
          <w:tcPr>
            <w:tcW w:w="850" w:type="dxa"/>
            <w:vAlign w:val="center"/>
          </w:tcPr>
          <w:p w14:paraId="108EB3F7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–</w:t>
            </w:r>
          </w:p>
        </w:tc>
      </w:tr>
      <w:tr w:rsidR="002E358E" w:rsidRPr="00791F12" w14:paraId="664F486B" w14:textId="77777777" w:rsidTr="002E358E">
        <w:tc>
          <w:tcPr>
            <w:tcW w:w="4536" w:type="dxa"/>
            <w:vAlign w:val="center"/>
          </w:tcPr>
          <w:p w14:paraId="4576FDCE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 xml:space="preserve">Time </w:t>
            </w:r>
            <w:proofErr w:type="spellStart"/>
            <w:r w:rsidRPr="00791F12">
              <w:rPr>
                <w:b/>
                <w:bCs/>
              </w:rPr>
              <w:t>to</w:t>
            </w:r>
            <w:proofErr w:type="spell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defervescence</w:t>
            </w:r>
            <w:proofErr w:type="spellEnd"/>
            <w:r w:rsidRPr="00791F12">
              <w:rPr>
                <w:b/>
                <w:bCs/>
              </w:rPr>
              <w:t xml:space="preserve"> (</w:t>
            </w:r>
            <w:proofErr w:type="spellStart"/>
            <w:r w:rsidRPr="00791F12">
              <w:rPr>
                <w:b/>
                <w:bCs/>
              </w:rPr>
              <w:t>days</w:t>
            </w:r>
            <w:proofErr w:type="spellEnd"/>
            <w:r w:rsidRPr="00791F12">
              <w:rPr>
                <w:b/>
                <w:bCs/>
              </w:rPr>
              <w:t>)</w:t>
            </w:r>
          </w:p>
        </w:tc>
        <w:tc>
          <w:tcPr>
            <w:tcW w:w="993" w:type="dxa"/>
            <w:vAlign w:val="center"/>
          </w:tcPr>
          <w:p w14:paraId="00F39817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3.2 ± 1.6</w:t>
            </w:r>
          </w:p>
        </w:tc>
        <w:tc>
          <w:tcPr>
            <w:tcW w:w="992" w:type="dxa"/>
            <w:vAlign w:val="center"/>
          </w:tcPr>
          <w:p w14:paraId="1C1E4C13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5.3 ± 2.9</w:t>
            </w:r>
          </w:p>
        </w:tc>
        <w:tc>
          <w:tcPr>
            <w:tcW w:w="567" w:type="dxa"/>
            <w:vAlign w:val="center"/>
          </w:tcPr>
          <w:p w14:paraId="515944B4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0.004</w:t>
            </w:r>
          </w:p>
        </w:tc>
        <w:tc>
          <w:tcPr>
            <w:tcW w:w="709" w:type="dxa"/>
            <w:vAlign w:val="center"/>
          </w:tcPr>
          <w:p w14:paraId="68AD7D86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–</w:t>
            </w:r>
          </w:p>
        </w:tc>
        <w:tc>
          <w:tcPr>
            <w:tcW w:w="850" w:type="dxa"/>
            <w:vAlign w:val="center"/>
          </w:tcPr>
          <w:p w14:paraId="62B574D0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–</w:t>
            </w:r>
          </w:p>
        </w:tc>
      </w:tr>
    </w:tbl>
    <w:p w14:paraId="5845587A" w14:textId="77777777" w:rsidR="00046C2C" w:rsidRPr="00791F12" w:rsidRDefault="00046C2C" w:rsidP="00046C2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60368E" w14:textId="77777777" w:rsidR="00046C2C" w:rsidRPr="00791F12" w:rsidRDefault="00046C2C" w:rsidP="00046C2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1F12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75992F5" wp14:editId="49E35E44">
            <wp:extent cx="4707228" cy="3322210"/>
            <wp:effectExtent l="0" t="0" r="17780" b="12065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CCDEBBC" w14:textId="17420424" w:rsidR="002E358E" w:rsidRPr="002E358E" w:rsidRDefault="00046C2C" w:rsidP="00046C2C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</w:t>
      </w:r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Temporal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Changes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Body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Temperature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During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Treatment</w:t>
      </w:r>
      <w:proofErr w:type="spellEnd"/>
    </w:p>
    <w:p w14:paraId="714A5A9E" w14:textId="77777777" w:rsidR="002E358E" w:rsidRDefault="002E358E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0556BE9" w14:textId="5D9D49B0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4.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Leukocyte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Count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Acute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Phase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Reactant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Levels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According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to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Days</w:t>
      </w:r>
      <w:proofErr w:type="spellEnd"/>
    </w:p>
    <w:p w14:paraId="5819A6B4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864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0"/>
        <w:gridCol w:w="1450"/>
        <w:gridCol w:w="1533"/>
        <w:gridCol w:w="645"/>
        <w:gridCol w:w="406"/>
        <w:gridCol w:w="543"/>
      </w:tblGrid>
      <w:tr w:rsidR="00046C2C" w:rsidRPr="00791F12" w14:paraId="331FE646" w14:textId="77777777" w:rsidTr="002E358E">
        <w:trPr>
          <w:jc w:val="center"/>
        </w:trPr>
        <w:tc>
          <w:tcPr>
            <w:tcW w:w="4070" w:type="dxa"/>
            <w:vAlign w:val="center"/>
          </w:tcPr>
          <w:p w14:paraId="6B1D3828" w14:textId="77777777" w:rsidR="00046C2C" w:rsidRPr="00791F12" w:rsidRDefault="00046C2C" w:rsidP="004323AE">
            <w:pPr>
              <w:spacing w:before="240"/>
              <w:rPr>
                <w:b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Parameter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by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</w:p>
        </w:tc>
        <w:tc>
          <w:tcPr>
            <w:tcW w:w="0" w:type="auto"/>
            <w:vAlign w:val="center"/>
          </w:tcPr>
          <w:p w14:paraId="5B003E88" w14:textId="77777777" w:rsidR="00046C2C" w:rsidRPr="00791F12" w:rsidRDefault="00046C2C" w:rsidP="004323AE">
            <w:pPr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STTG (n=35)</w:t>
            </w:r>
          </w:p>
        </w:tc>
        <w:tc>
          <w:tcPr>
            <w:tcW w:w="0" w:type="auto"/>
            <w:vAlign w:val="center"/>
          </w:tcPr>
          <w:p w14:paraId="336BC5BE" w14:textId="77777777" w:rsidR="00046C2C" w:rsidRPr="00791F12" w:rsidRDefault="00046C2C" w:rsidP="004323AE">
            <w:pPr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LTTG (n=112)</w:t>
            </w:r>
          </w:p>
        </w:tc>
        <w:tc>
          <w:tcPr>
            <w:tcW w:w="0" w:type="auto"/>
            <w:vAlign w:val="center"/>
          </w:tcPr>
          <w:p w14:paraId="488DD7CC" w14:textId="77777777" w:rsidR="00046C2C" w:rsidRPr="00791F12" w:rsidRDefault="00046C2C" w:rsidP="004323AE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791F12">
              <w:rPr>
                <w:b/>
                <w:bCs/>
                <w:color w:val="000000" w:themeColor="text1"/>
              </w:rPr>
              <w:t>p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</w:tcPr>
          <w:p w14:paraId="049C9BC8" w14:textId="77777777" w:rsidR="00046C2C" w:rsidRPr="00791F12" w:rsidRDefault="00046C2C" w:rsidP="004323AE">
            <w:pPr>
              <w:spacing w:before="240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OR</w:t>
            </w:r>
          </w:p>
        </w:tc>
        <w:tc>
          <w:tcPr>
            <w:tcW w:w="543" w:type="dxa"/>
            <w:vAlign w:val="center"/>
          </w:tcPr>
          <w:p w14:paraId="07110600" w14:textId="77777777" w:rsidR="00046C2C" w:rsidRPr="00791F12" w:rsidRDefault="00046C2C" w:rsidP="004323AE">
            <w:pPr>
              <w:spacing w:before="240"/>
              <w:jc w:val="center"/>
              <w:rPr>
                <w:b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95% CI</w:t>
            </w:r>
          </w:p>
        </w:tc>
      </w:tr>
      <w:tr w:rsidR="00046C2C" w:rsidRPr="00791F12" w14:paraId="6D0D8D91" w14:textId="77777777" w:rsidTr="002E358E">
        <w:trPr>
          <w:jc w:val="center"/>
        </w:trPr>
        <w:tc>
          <w:tcPr>
            <w:tcW w:w="4070" w:type="dxa"/>
            <w:vAlign w:val="center"/>
          </w:tcPr>
          <w:p w14:paraId="69D1CEB7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Leukocyte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count</w:t>
            </w:r>
            <w:proofErr w:type="spellEnd"/>
            <w:r w:rsidRPr="00791F12">
              <w:rPr>
                <w:color w:val="000000" w:themeColor="text1"/>
              </w:rPr>
              <w:t xml:space="preserve"> (/mm³)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30F420AB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12103 ± 4175</w:t>
            </w:r>
          </w:p>
        </w:tc>
        <w:tc>
          <w:tcPr>
            <w:tcW w:w="0" w:type="auto"/>
            <w:vAlign w:val="center"/>
          </w:tcPr>
          <w:p w14:paraId="2095FFF6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13140 ± 7251</w:t>
            </w:r>
          </w:p>
        </w:tc>
        <w:tc>
          <w:tcPr>
            <w:tcW w:w="0" w:type="auto"/>
            <w:vAlign w:val="center"/>
          </w:tcPr>
          <w:p w14:paraId="358950EB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0.865</w:t>
            </w:r>
          </w:p>
        </w:tc>
        <w:tc>
          <w:tcPr>
            <w:tcW w:w="0" w:type="auto"/>
            <w:vAlign w:val="center"/>
          </w:tcPr>
          <w:p w14:paraId="6FF204F6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32B5370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68213408" w14:textId="77777777" w:rsidTr="002E358E">
        <w:trPr>
          <w:jc w:val="center"/>
        </w:trPr>
        <w:tc>
          <w:tcPr>
            <w:tcW w:w="4070" w:type="dxa"/>
            <w:vAlign w:val="center"/>
          </w:tcPr>
          <w:p w14:paraId="3BFCD515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Leukocyte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count</w:t>
            </w:r>
            <w:proofErr w:type="spellEnd"/>
            <w:r w:rsidRPr="00791F12">
              <w:rPr>
                <w:color w:val="000000" w:themeColor="text1"/>
              </w:rPr>
              <w:t xml:space="preserve"> (/mm³)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6D87659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10652 ± 4342</w:t>
            </w:r>
          </w:p>
        </w:tc>
        <w:tc>
          <w:tcPr>
            <w:tcW w:w="0" w:type="auto"/>
            <w:vAlign w:val="center"/>
          </w:tcPr>
          <w:p w14:paraId="7E50247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11680 ± 6474</w:t>
            </w:r>
          </w:p>
        </w:tc>
        <w:tc>
          <w:tcPr>
            <w:tcW w:w="0" w:type="auto"/>
            <w:vAlign w:val="center"/>
          </w:tcPr>
          <w:p w14:paraId="639403CE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0.623</w:t>
            </w:r>
          </w:p>
        </w:tc>
        <w:tc>
          <w:tcPr>
            <w:tcW w:w="0" w:type="auto"/>
            <w:vAlign w:val="center"/>
          </w:tcPr>
          <w:p w14:paraId="4062EB8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2DF3416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18409501" w14:textId="77777777" w:rsidTr="002E358E">
        <w:trPr>
          <w:jc w:val="center"/>
        </w:trPr>
        <w:tc>
          <w:tcPr>
            <w:tcW w:w="4070" w:type="dxa"/>
            <w:vAlign w:val="center"/>
          </w:tcPr>
          <w:p w14:paraId="5CD5FD68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Leukocyte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count</w:t>
            </w:r>
            <w:proofErr w:type="spellEnd"/>
            <w:r w:rsidRPr="00791F12">
              <w:rPr>
                <w:color w:val="000000" w:themeColor="text1"/>
              </w:rPr>
              <w:t xml:space="preserve"> (/mm³)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</w:t>
            </w:r>
          </w:p>
        </w:tc>
        <w:tc>
          <w:tcPr>
            <w:tcW w:w="0" w:type="auto"/>
            <w:vAlign w:val="center"/>
          </w:tcPr>
          <w:p w14:paraId="18676B3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11974 ± 7277</w:t>
            </w:r>
          </w:p>
        </w:tc>
        <w:tc>
          <w:tcPr>
            <w:tcW w:w="0" w:type="auto"/>
            <w:vAlign w:val="center"/>
          </w:tcPr>
          <w:p w14:paraId="52887D5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11334 ± 5559</w:t>
            </w:r>
          </w:p>
        </w:tc>
        <w:tc>
          <w:tcPr>
            <w:tcW w:w="0" w:type="auto"/>
            <w:vAlign w:val="center"/>
          </w:tcPr>
          <w:p w14:paraId="593E199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0.739</w:t>
            </w:r>
          </w:p>
        </w:tc>
        <w:tc>
          <w:tcPr>
            <w:tcW w:w="0" w:type="auto"/>
            <w:vAlign w:val="center"/>
          </w:tcPr>
          <w:p w14:paraId="3E68E0FE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588C4504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43D1BD6F" w14:textId="77777777" w:rsidTr="002E358E">
        <w:trPr>
          <w:jc w:val="center"/>
        </w:trPr>
        <w:tc>
          <w:tcPr>
            <w:tcW w:w="4070" w:type="dxa"/>
            <w:vAlign w:val="center"/>
          </w:tcPr>
          <w:p w14:paraId="00A10615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Leukocyte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count</w:t>
            </w:r>
            <w:proofErr w:type="spellEnd"/>
            <w:r w:rsidRPr="00791F12">
              <w:rPr>
                <w:color w:val="000000" w:themeColor="text1"/>
              </w:rPr>
              <w:t xml:space="preserve"> (/mm³)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</w:t>
            </w:r>
          </w:p>
        </w:tc>
        <w:tc>
          <w:tcPr>
            <w:tcW w:w="0" w:type="auto"/>
            <w:vAlign w:val="center"/>
          </w:tcPr>
          <w:p w14:paraId="3C73086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11220 ± 5336</w:t>
            </w:r>
          </w:p>
        </w:tc>
        <w:tc>
          <w:tcPr>
            <w:tcW w:w="0" w:type="auto"/>
            <w:vAlign w:val="center"/>
          </w:tcPr>
          <w:p w14:paraId="2415464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11729 ± 7136</w:t>
            </w:r>
          </w:p>
        </w:tc>
        <w:tc>
          <w:tcPr>
            <w:tcW w:w="0" w:type="auto"/>
            <w:vAlign w:val="center"/>
          </w:tcPr>
          <w:p w14:paraId="5F3623A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0.849</w:t>
            </w:r>
          </w:p>
        </w:tc>
        <w:tc>
          <w:tcPr>
            <w:tcW w:w="0" w:type="auto"/>
            <w:vAlign w:val="center"/>
          </w:tcPr>
          <w:p w14:paraId="3B0396C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13BC8F4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4A3680F8" w14:textId="77777777" w:rsidTr="002E358E">
        <w:trPr>
          <w:jc w:val="center"/>
        </w:trPr>
        <w:tc>
          <w:tcPr>
            <w:tcW w:w="4070" w:type="dxa"/>
            <w:vAlign w:val="center"/>
          </w:tcPr>
          <w:p w14:paraId="605D23F6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ESR (mm/h)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70398FFF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56.3 ± 30.2</w:t>
            </w:r>
          </w:p>
        </w:tc>
        <w:tc>
          <w:tcPr>
            <w:tcW w:w="0" w:type="auto"/>
            <w:vAlign w:val="center"/>
          </w:tcPr>
          <w:p w14:paraId="6B561E9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48.8 ± 32.9</w:t>
            </w:r>
          </w:p>
        </w:tc>
        <w:tc>
          <w:tcPr>
            <w:tcW w:w="0" w:type="auto"/>
            <w:vAlign w:val="center"/>
          </w:tcPr>
          <w:p w14:paraId="61E0C24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0.213</w:t>
            </w:r>
          </w:p>
        </w:tc>
        <w:tc>
          <w:tcPr>
            <w:tcW w:w="0" w:type="auto"/>
            <w:vAlign w:val="center"/>
          </w:tcPr>
          <w:p w14:paraId="0688F60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4F53502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28266451" w14:textId="77777777" w:rsidTr="002E358E">
        <w:trPr>
          <w:jc w:val="center"/>
        </w:trPr>
        <w:tc>
          <w:tcPr>
            <w:tcW w:w="4070" w:type="dxa"/>
            <w:vAlign w:val="center"/>
          </w:tcPr>
          <w:p w14:paraId="27FE88A8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ESR (mm/h)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6ACD515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50.6 ± 28.9</w:t>
            </w:r>
          </w:p>
        </w:tc>
        <w:tc>
          <w:tcPr>
            <w:tcW w:w="0" w:type="auto"/>
            <w:vAlign w:val="center"/>
          </w:tcPr>
          <w:p w14:paraId="61B6A5A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50.7 ± 31.1</w:t>
            </w:r>
          </w:p>
        </w:tc>
        <w:tc>
          <w:tcPr>
            <w:tcW w:w="0" w:type="auto"/>
            <w:vAlign w:val="center"/>
          </w:tcPr>
          <w:p w14:paraId="36FD440B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0.993</w:t>
            </w:r>
          </w:p>
        </w:tc>
        <w:tc>
          <w:tcPr>
            <w:tcW w:w="0" w:type="auto"/>
            <w:vAlign w:val="center"/>
          </w:tcPr>
          <w:p w14:paraId="2D282E1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797C145E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111C3391" w14:textId="77777777" w:rsidTr="002E358E">
        <w:trPr>
          <w:jc w:val="center"/>
        </w:trPr>
        <w:tc>
          <w:tcPr>
            <w:tcW w:w="4070" w:type="dxa"/>
            <w:vAlign w:val="center"/>
          </w:tcPr>
          <w:p w14:paraId="63E34F2A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ESR (mm/h)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</w:t>
            </w:r>
          </w:p>
        </w:tc>
        <w:tc>
          <w:tcPr>
            <w:tcW w:w="0" w:type="auto"/>
            <w:vAlign w:val="center"/>
          </w:tcPr>
          <w:p w14:paraId="2260F30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57.7 ± 33.2</w:t>
            </w:r>
          </w:p>
        </w:tc>
        <w:tc>
          <w:tcPr>
            <w:tcW w:w="0" w:type="auto"/>
            <w:vAlign w:val="center"/>
          </w:tcPr>
          <w:p w14:paraId="7C56FA5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48.1 ± 31.7</w:t>
            </w:r>
          </w:p>
        </w:tc>
        <w:tc>
          <w:tcPr>
            <w:tcW w:w="0" w:type="auto"/>
            <w:vAlign w:val="center"/>
          </w:tcPr>
          <w:p w14:paraId="2FCE2C4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0.163</w:t>
            </w:r>
          </w:p>
        </w:tc>
        <w:tc>
          <w:tcPr>
            <w:tcW w:w="0" w:type="auto"/>
            <w:vAlign w:val="center"/>
          </w:tcPr>
          <w:p w14:paraId="138474E2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5B84CF9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7C998098" w14:textId="77777777" w:rsidTr="002E358E">
        <w:trPr>
          <w:jc w:val="center"/>
        </w:trPr>
        <w:tc>
          <w:tcPr>
            <w:tcW w:w="4070" w:type="dxa"/>
            <w:vAlign w:val="center"/>
          </w:tcPr>
          <w:p w14:paraId="01F2EA24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ESR (mm/h)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</w:t>
            </w:r>
          </w:p>
        </w:tc>
        <w:tc>
          <w:tcPr>
            <w:tcW w:w="0" w:type="auto"/>
            <w:vAlign w:val="center"/>
          </w:tcPr>
          <w:p w14:paraId="5F0D1DD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57.7 ± 30.2</w:t>
            </w:r>
          </w:p>
        </w:tc>
        <w:tc>
          <w:tcPr>
            <w:tcW w:w="0" w:type="auto"/>
            <w:vAlign w:val="center"/>
          </w:tcPr>
          <w:p w14:paraId="153F059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45.2 ± 27.2</w:t>
            </w:r>
          </w:p>
        </w:tc>
        <w:tc>
          <w:tcPr>
            <w:tcW w:w="0" w:type="auto"/>
            <w:vAlign w:val="center"/>
          </w:tcPr>
          <w:p w14:paraId="2DC5868F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0.059</w:t>
            </w:r>
          </w:p>
        </w:tc>
        <w:tc>
          <w:tcPr>
            <w:tcW w:w="0" w:type="auto"/>
            <w:vAlign w:val="center"/>
          </w:tcPr>
          <w:p w14:paraId="0DC7F19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4A8C1F4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20A997FC" w14:textId="77777777" w:rsidTr="002E358E">
        <w:trPr>
          <w:jc w:val="center"/>
        </w:trPr>
        <w:tc>
          <w:tcPr>
            <w:tcW w:w="4070" w:type="dxa"/>
            <w:vAlign w:val="center"/>
          </w:tcPr>
          <w:p w14:paraId="27E74D31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CRP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6F8921F2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17.1 ± 10.3</w:t>
            </w:r>
          </w:p>
        </w:tc>
        <w:tc>
          <w:tcPr>
            <w:tcW w:w="0" w:type="auto"/>
            <w:vAlign w:val="center"/>
          </w:tcPr>
          <w:p w14:paraId="7AE8364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18.0 ± 9.7</w:t>
            </w:r>
          </w:p>
        </w:tc>
        <w:tc>
          <w:tcPr>
            <w:tcW w:w="0" w:type="auto"/>
            <w:vAlign w:val="center"/>
          </w:tcPr>
          <w:p w14:paraId="3976207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0.514</w:t>
            </w:r>
          </w:p>
        </w:tc>
        <w:tc>
          <w:tcPr>
            <w:tcW w:w="0" w:type="auto"/>
            <w:vAlign w:val="center"/>
          </w:tcPr>
          <w:p w14:paraId="03C8991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41A6377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16076694" w14:textId="77777777" w:rsidTr="002E358E">
        <w:trPr>
          <w:jc w:val="center"/>
        </w:trPr>
        <w:tc>
          <w:tcPr>
            <w:tcW w:w="4070" w:type="dxa"/>
            <w:vAlign w:val="center"/>
          </w:tcPr>
          <w:p w14:paraId="25385F49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CRP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7EAC4AF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13.1 ± 8.1</w:t>
            </w:r>
          </w:p>
        </w:tc>
        <w:tc>
          <w:tcPr>
            <w:tcW w:w="0" w:type="auto"/>
            <w:vAlign w:val="center"/>
          </w:tcPr>
          <w:p w14:paraId="32C4983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16.9 ± 11.0</w:t>
            </w:r>
          </w:p>
        </w:tc>
        <w:tc>
          <w:tcPr>
            <w:tcW w:w="0" w:type="auto"/>
            <w:vAlign w:val="center"/>
          </w:tcPr>
          <w:p w14:paraId="3B10F9C2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0.112</w:t>
            </w:r>
          </w:p>
        </w:tc>
        <w:tc>
          <w:tcPr>
            <w:tcW w:w="0" w:type="auto"/>
            <w:vAlign w:val="center"/>
          </w:tcPr>
          <w:p w14:paraId="154A57A7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601162C7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0C684E3A" w14:textId="77777777" w:rsidTr="002E358E">
        <w:trPr>
          <w:jc w:val="center"/>
        </w:trPr>
        <w:tc>
          <w:tcPr>
            <w:tcW w:w="4070" w:type="dxa"/>
            <w:vAlign w:val="center"/>
          </w:tcPr>
          <w:p w14:paraId="34F70007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CRP (mg/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5</w:t>
            </w:r>
          </w:p>
        </w:tc>
        <w:tc>
          <w:tcPr>
            <w:tcW w:w="0" w:type="auto"/>
            <w:vAlign w:val="center"/>
          </w:tcPr>
          <w:p w14:paraId="02C8D23B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10.7 ± 8.5</w:t>
            </w:r>
          </w:p>
        </w:tc>
        <w:tc>
          <w:tcPr>
            <w:tcW w:w="0" w:type="auto"/>
            <w:vAlign w:val="center"/>
          </w:tcPr>
          <w:p w14:paraId="6D35D20F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14.2 ± 8.5</w:t>
            </w:r>
          </w:p>
        </w:tc>
        <w:tc>
          <w:tcPr>
            <w:tcW w:w="0" w:type="auto"/>
            <w:vAlign w:val="center"/>
          </w:tcPr>
          <w:p w14:paraId="44C8853C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0.030</w:t>
            </w:r>
          </w:p>
        </w:tc>
        <w:tc>
          <w:tcPr>
            <w:tcW w:w="0" w:type="auto"/>
            <w:vAlign w:val="center"/>
          </w:tcPr>
          <w:p w14:paraId="5BAC1C0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74BCDC9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2066848E" w14:textId="77777777" w:rsidTr="002E358E">
        <w:trPr>
          <w:jc w:val="center"/>
        </w:trPr>
        <w:tc>
          <w:tcPr>
            <w:tcW w:w="4070" w:type="dxa"/>
            <w:vAlign w:val="center"/>
          </w:tcPr>
          <w:p w14:paraId="188DBCCC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CRP (mg/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7</w:t>
            </w:r>
          </w:p>
        </w:tc>
        <w:tc>
          <w:tcPr>
            <w:tcW w:w="0" w:type="auto"/>
            <w:vAlign w:val="center"/>
          </w:tcPr>
          <w:p w14:paraId="10909AA8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9.5 ± 6.4</w:t>
            </w:r>
          </w:p>
        </w:tc>
        <w:tc>
          <w:tcPr>
            <w:tcW w:w="0" w:type="auto"/>
            <w:vAlign w:val="center"/>
          </w:tcPr>
          <w:p w14:paraId="1689C985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12.8 ± 8.3</w:t>
            </w:r>
          </w:p>
        </w:tc>
        <w:tc>
          <w:tcPr>
            <w:tcW w:w="0" w:type="auto"/>
            <w:vAlign w:val="center"/>
          </w:tcPr>
          <w:p w14:paraId="3F04A66B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0.029</w:t>
            </w:r>
          </w:p>
        </w:tc>
        <w:tc>
          <w:tcPr>
            <w:tcW w:w="0" w:type="auto"/>
            <w:vAlign w:val="center"/>
          </w:tcPr>
          <w:p w14:paraId="30712C1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00B44FD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6AB6C63E" w14:textId="77777777" w:rsidTr="002E358E">
        <w:trPr>
          <w:jc w:val="center"/>
        </w:trPr>
        <w:tc>
          <w:tcPr>
            <w:tcW w:w="4070" w:type="dxa"/>
            <w:vAlign w:val="center"/>
          </w:tcPr>
          <w:p w14:paraId="17F7F296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Procalcitonin</w:t>
            </w:r>
            <w:proofErr w:type="spellEnd"/>
            <w:r w:rsidRPr="00791F12">
              <w:rPr>
                <w:color w:val="000000" w:themeColor="text1"/>
              </w:rPr>
              <w:t xml:space="preserve"> (PCT) </w:t>
            </w:r>
            <w:proofErr w:type="spellStart"/>
            <w:r w:rsidRPr="00791F12">
              <w:rPr>
                <w:color w:val="000000" w:themeColor="text1"/>
              </w:rPr>
              <w:t>Mean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value</w:t>
            </w:r>
            <w:proofErr w:type="spellEnd"/>
            <w:r w:rsidRPr="00791F12">
              <w:rPr>
                <w:color w:val="000000" w:themeColor="text1"/>
              </w:rPr>
              <w:t xml:space="preserve">,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 (µg/L)</w:t>
            </w:r>
          </w:p>
        </w:tc>
        <w:tc>
          <w:tcPr>
            <w:tcW w:w="0" w:type="auto"/>
            <w:vAlign w:val="center"/>
          </w:tcPr>
          <w:p w14:paraId="1E222FE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5.2 ± 12.9</w:t>
            </w:r>
          </w:p>
        </w:tc>
        <w:tc>
          <w:tcPr>
            <w:tcW w:w="0" w:type="auto"/>
            <w:vAlign w:val="center"/>
          </w:tcPr>
          <w:p w14:paraId="2094BD7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5.7 ± 13.3</w:t>
            </w:r>
          </w:p>
        </w:tc>
        <w:tc>
          <w:tcPr>
            <w:tcW w:w="0" w:type="auto"/>
            <w:vAlign w:val="center"/>
          </w:tcPr>
          <w:p w14:paraId="05349EA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0.245</w:t>
            </w:r>
          </w:p>
        </w:tc>
        <w:tc>
          <w:tcPr>
            <w:tcW w:w="0" w:type="auto"/>
            <w:vAlign w:val="center"/>
          </w:tcPr>
          <w:p w14:paraId="4EB78C3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728B728F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00C5080C" w14:textId="77777777" w:rsidTr="002E358E">
        <w:trPr>
          <w:jc w:val="center"/>
        </w:trPr>
        <w:tc>
          <w:tcPr>
            <w:tcW w:w="4070" w:type="dxa"/>
            <w:vAlign w:val="center"/>
          </w:tcPr>
          <w:p w14:paraId="00E020C1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proofErr w:type="gramStart"/>
            <w:r w:rsidRPr="00791F12">
              <w:rPr>
                <w:b/>
                <w:bCs/>
                <w:color w:val="000000" w:themeColor="text1"/>
              </w:rPr>
              <w:lastRenderedPageBreak/>
              <w:t>PCT &gt;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 xml:space="preserve">0.5 µg/L,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1, n (%)</w:t>
            </w:r>
          </w:p>
        </w:tc>
        <w:tc>
          <w:tcPr>
            <w:tcW w:w="0" w:type="auto"/>
            <w:vAlign w:val="center"/>
          </w:tcPr>
          <w:p w14:paraId="315532A1" w14:textId="77777777" w:rsidR="00046C2C" w:rsidRPr="00791F12" w:rsidRDefault="00046C2C" w:rsidP="004323AE">
            <w:pPr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13 (48.0%) (n=27)</w:t>
            </w:r>
          </w:p>
        </w:tc>
        <w:tc>
          <w:tcPr>
            <w:tcW w:w="0" w:type="auto"/>
            <w:vAlign w:val="center"/>
          </w:tcPr>
          <w:p w14:paraId="2C840BE7" w14:textId="77777777" w:rsidR="00046C2C" w:rsidRPr="00791F12" w:rsidRDefault="00046C2C" w:rsidP="004323AE">
            <w:pPr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74 (66.1%) (n=104)</w:t>
            </w:r>
          </w:p>
        </w:tc>
        <w:tc>
          <w:tcPr>
            <w:tcW w:w="0" w:type="auto"/>
            <w:vAlign w:val="center"/>
          </w:tcPr>
          <w:p w14:paraId="60C971D9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0.042</w:t>
            </w:r>
          </w:p>
        </w:tc>
        <w:tc>
          <w:tcPr>
            <w:tcW w:w="0" w:type="auto"/>
            <w:vAlign w:val="center"/>
          </w:tcPr>
          <w:p w14:paraId="2B217A9F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0.38</w:t>
            </w:r>
          </w:p>
        </w:tc>
        <w:tc>
          <w:tcPr>
            <w:tcW w:w="543" w:type="dxa"/>
            <w:vAlign w:val="center"/>
          </w:tcPr>
          <w:p w14:paraId="3E69ED65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0.15–0.97</w:t>
            </w:r>
          </w:p>
        </w:tc>
      </w:tr>
      <w:tr w:rsidR="00046C2C" w:rsidRPr="00791F12" w14:paraId="7A2B768B" w14:textId="77777777" w:rsidTr="002E358E">
        <w:trPr>
          <w:jc w:val="center"/>
        </w:trPr>
        <w:tc>
          <w:tcPr>
            <w:tcW w:w="4070" w:type="dxa"/>
            <w:vAlign w:val="center"/>
          </w:tcPr>
          <w:p w14:paraId="21D26B5C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PCT, </w:t>
            </w:r>
            <w:proofErr w:type="spellStart"/>
            <w:r w:rsidRPr="00791F12">
              <w:rPr>
                <w:color w:val="000000" w:themeColor="text1"/>
              </w:rPr>
              <w:t>Mean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value</w:t>
            </w:r>
            <w:proofErr w:type="spellEnd"/>
            <w:r w:rsidRPr="00791F12">
              <w:rPr>
                <w:color w:val="000000" w:themeColor="text1"/>
              </w:rPr>
              <w:t xml:space="preserve">,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 (µg/L)</w:t>
            </w:r>
          </w:p>
        </w:tc>
        <w:tc>
          <w:tcPr>
            <w:tcW w:w="0" w:type="auto"/>
            <w:vAlign w:val="center"/>
          </w:tcPr>
          <w:p w14:paraId="206D6857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6.7 ± 13.6</w:t>
            </w:r>
          </w:p>
        </w:tc>
        <w:tc>
          <w:tcPr>
            <w:tcW w:w="0" w:type="auto"/>
            <w:vAlign w:val="center"/>
          </w:tcPr>
          <w:p w14:paraId="20488E4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8.4 ± 20.3</w:t>
            </w:r>
          </w:p>
        </w:tc>
        <w:tc>
          <w:tcPr>
            <w:tcW w:w="0" w:type="auto"/>
            <w:vAlign w:val="center"/>
          </w:tcPr>
          <w:p w14:paraId="1A866876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0.978</w:t>
            </w:r>
          </w:p>
        </w:tc>
        <w:tc>
          <w:tcPr>
            <w:tcW w:w="0" w:type="auto"/>
            <w:vAlign w:val="center"/>
          </w:tcPr>
          <w:p w14:paraId="316236F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1FE39DD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26A9A99B" w14:textId="77777777" w:rsidTr="002E358E">
        <w:trPr>
          <w:jc w:val="center"/>
        </w:trPr>
        <w:tc>
          <w:tcPr>
            <w:tcW w:w="4070" w:type="dxa"/>
            <w:vAlign w:val="center"/>
          </w:tcPr>
          <w:p w14:paraId="706F997B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gramStart"/>
            <w:r w:rsidRPr="00791F12">
              <w:rPr>
                <w:color w:val="000000" w:themeColor="text1"/>
              </w:rPr>
              <w:t>PCT &gt;</w:t>
            </w:r>
            <w:proofErr w:type="gramEnd"/>
            <w:r w:rsidRPr="00791F12">
              <w:rPr>
                <w:color w:val="000000" w:themeColor="text1"/>
              </w:rPr>
              <w:t xml:space="preserve">0.5 µg/L,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3, n (%)</w:t>
            </w:r>
          </w:p>
        </w:tc>
        <w:tc>
          <w:tcPr>
            <w:tcW w:w="0" w:type="auto"/>
            <w:vAlign w:val="center"/>
          </w:tcPr>
          <w:p w14:paraId="04600A55" w14:textId="77777777" w:rsidR="00046C2C" w:rsidRPr="00791F12" w:rsidRDefault="00046C2C" w:rsidP="004323AE">
            <w:pPr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17 (70.8%) (n=24)</w:t>
            </w:r>
          </w:p>
        </w:tc>
        <w:tc>
          <w:tcPr>
            <w:tcW w:w="0" w:type="auto"/>
            <w:vAlign w:val="center"/>
          </w:tcPr>
          <w:p w14:paraId="73792216" w14:textId="77777777" w:rsidR="00046C2C" w:rsidRPr="00791F12" w:rsidRDefault="00046C2C" w:rsidP="004323AE">
            <w:pPr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71 (76.3%) </w:t>
            </w:r>
          </w:p>
          <w:p w14:paraId="091DA393" w14:textId="77777777" w:rsidR="00046C2C" w:rsidRPr="00791F12" w:rsidRDefault="00046C2C" w:rsidP="004323AE">
            <w:pPr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(</w:t>
            </w:r>
            <w:proofErr w:type="gramStart"/>
            <w:r w:rsidRPr="00791F12">
              <w:rPr>
                <w:color w:val="000000" w:themeColor="text1"/>
              </w:rPr>
              <w:t>n</w:t>
            </w:r>
            <w:proofErr w:type="gramEnd"/>
            <w:r w:rsidRPr="00791F12">
              <w:rPr>
                <w:color w:val="000000" w:themeColor="text1"/>
              </w:rPr>
              <w:t>=93)</w:t>
            </w:r>
          </w:p>
        </w:tc>
        <w:tc>
          <w:tcPr>
            <w:tcW w:w="0" w:type="auto"/>
            <w:vAlign w:val="center"/>
          </w:tcPr>
          <w:p w14:paraId="5119025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0.770</w:t>
            </w:r>
          </w:p>
        </w:tc>
        <w:tc>
          <w:tcPr>
            <w:tcW w:w="0" w:type="auto"/>
            <w:vAlign w:val="center"/>
          </w:tcPr>
          <w:p w14:paraId="477C79F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0D5F937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30A08CE8" w14:textId="77777777" w:rsidTr="002E358E">
        <w:trPr>
          <w:jc w:val="center"/>
        </w:trPr>
        <w:tc>
          <w:tcPr>
            <w:tcW w:w="4070" w:type="dxa"/>
            <w:vAlign w:val="center"/>
          </w:tcPr>
          <w:p w14:paraId="55DC6391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PCT,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Mean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value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5 (µg/L)</w:t>
            </w:r>
          </w:p>
        </w:tc>
        <w:tc>
          <w:tcPr>
            <w:tcW w:w="0" w:type="auto"/>
            <w:vAlign w:val="center"/>
          </w:tcPr>
          <w:p w14:paraId="02E49DBA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2.0 ± 3.6</w:t>
            </w:r>
          </w:p>
        </w:tc>
        <w:tc>
          <w:tcPr>
            <w:tcW w:w="0" w:type="auto"/>
            <w:vAlign w:val="center"/>
          </w:tcPr>
          <w:p w14:paraId="17839934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6.5 ± 12.5</w:t>
            </w:r>
          </w:p>
        </w:tc>
        <w:tc>
          <w:tcPr>
            <w:tcW w:w="0" w:type="auto"/>
            <w:vAlign w:val="center"/>
          </w:tcPr>
          <w:p w14:paraId="2E990EF3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0.009</w:t>
            </w:r>
          </w:p>
        </w:tc>
        <w:tc>
          <w:tcPr>
            <w:tcW w:w="0" w:type="auto"/>
            <w:vAlign w:val="center"/>
          </w:tcPr>
          <w:p w14:paraId="40DF4D74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791F12">
              <w:rPr>
                <w:b/>
                <w:bCs/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51AB386D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791F12">
              <w:rPr>
                <w:b/>
                <w:bCs/>
                <w:color w:val="000000" w:themeColor="text1"/>
              </w:rPr>
              <w:t>–</w:t>
            </w:r>
          </w:p>
        </w:tc>
      </w:tr>
      <w:tr w:rsidR="00046C2C" w:rsidRPr="00791F12" w14:paraId="706208D9" w14:textId="77777777" w:rsidTr="002E358E">
        <w:trPr>
          <w:jc w:val="center"/>
        </w:trPr>
        <w:tc>
          <w:tcPr>
            <w:tcW w:w="4070" w:type="dxa"/>
            <w:vAlign w:val="center"/>
          </w:tcPr>
          <w:p w14:paraId="1A4A7BEC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proofErr w:type="gramStart"/>
            <w:r w:rsidRPr="00791F12">
              <w:rPr>
                <w:b/>
                <w:bCs/>
                <w:color w:val="000000" w:themeColor="text1"/>
              </w:rPr>
              <w:t>PCT &gt;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 xml:space="preserve">0.5 µg/L,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5, n (%)</w:t>
            </w:r>
          </w:p>
        </w:tc>
        <w:tc>
          <w:tcPr>
            <w:tcW w:w="0" w:type="auto"/>
            <w:vAlign w:val="center"/>
          </w:tcPr>
          <w:p w14:paraId="3680C5D5" w14:textId="77777777" w:rsidR="00046C2C" w:rsidRPr="00791F12" w:rsidRDefault="00046C2C" w:rsidP="004323AE">
            <w:pPr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13 (41.9%) (n=31)</w:t>
            </w:r>
          </w:p>
        </w:tc>
        <w:tc>
          <w:tcPr>
            <w:tcW w:w="0" w:type="auto"/>
            <w:vAlign w:val="center"/>
          </w:tcPr>
          <w:p w14:paraId="05323F98" w14:textId="77777777" w:rsidR="00046C2C" w:rsidRPr="00791F12" w:rsidRDefault="00046C2C" w:rsidP="004323AE">
            <w:pPr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71 (67.6%) (n=105)</w:t>
            </w:r>
          </w:p>
        </w:tc>
        <w:tc>
          <w:tcPr>
            <w:tcW w:w="0" w:type="auto"/>
            <w:vAlign w:val="center"/>
          </w:tcPr>
          <w:p w14:paraId="73BE5B12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0.010</w:t>
            </w:r>
          </w:p>
        </w:tc>
        <w:tc>
          <w:tcPr>
            <w:tcW w:w="0" w:type="auto"/>
            <w:vAlign w:val="center"/>
          </w:tcPr>
          <w:p w14:paraId="68B8ABDC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0.35</w:t>
            </w:r>
          </w:p>
        </w:tc>
        <w:tc>
          <w:tcPr>
            <w:tcW w:w="543" w:type="dxa"/>
            <w:vAlign w:val="center"/>
          </w:tcPr>
          <w:p w14:paraId="0FA60D89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0.14–0.85</w:t>
            </w:r>
          </w:p>
        </w:tc>
      </w:tr>
      <w:tr w:rsidR="00046C2C" w:rsidRPr="00791F12" w14:paraId="73B683B3" w14:textId="77777777" w:rsidTr="002E358E">
        <w:trPr>
          <w:jc w:val="center"/>
        </w:trPr>
        <w:tc>
          <w:tcPr>
            <w:tcW w:w="4070" w:type="dxa"/>
            <w:vAlign w:val="center"/>
          </w:tcPr>
          <w:p w14:paraId="7BFA62FE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PCT, </w:t>
            </w:r>
            <w:proofErr w:type="spellStart"/>
            <w:r w:rsidRPr="00791F12">
              <w:rPr>
                <w:color w:val="000000" w:themeColor="text1"/>
              </w:rPr>
              <w:t>Mean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value</w:t>
            </w:r>
            <w:proofErr w:type="spellEnd"/>
            <w:r w:rsidRPr="00791F12">
              <w:rPr>
                <w:color w:val="000000" w:themeColor="text1"/>
              </w:rPr>
              <w:t xml:space="preserve">,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 (µg/L)</w:t>
            </w:r>
          </w:p>
        </w:tc>
        <w:tc>
          <w:tcPr>
            <w:tcW w:w="0" w:type="auto"/>
            <w:vAlign w:val="center"/>
          </w:tcPr>
          <w:p w14:paraId="4FB4955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1.6 ± 2.0</w:t>
            </w:r>
          </w:p>
        </w:tc>
        <w:tc>
          <w:tcPr>
            <w:tcW w:w="0" w:type="auto"/>
            <w:vAlign w:val="center"/>
          </w:tcPr>
          <w:p w14:paraId="5DD2408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9.0 ± 21.8</w:t>
            </w:r>
          </w:p>
        </w:tc>
        <w:tc>
          <w:tcPr>
            <w:tcW w:w="0" w:type="auto"/>
            <w:vAlign w:val="center"/>
          </w:tcPr>
          <w:p w14:paraId="6602B35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0.128</w:t>
            </w:r>
          </w:p>
        </w:tc>
        <w:tc>
          <w:tcPr>
            <w:tcW w:w="0" w:type="auto"/>
            <w:vAlign w:val="center"/>
          </w:tcPr>
          <w:p w14:paraId="10A7F0B2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15C9A47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48A4DB4B" w14:textId="77777777" w:rsidTr="002E358E">
        <w:trPr>
          <w:jc w:val="center"/>
        </w:trPr>
        <w:tc>
          <w:tcPr>
            <w:tcW w:w="4070" w:type="dxa"/>
            <w:vAlign w:val="center"/>
          </w:tcPr>
          <w:p w14:paraId="3BE76582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gramStart"/>
            <w:r w:rsidRPr="00791F12">
              <w:rPr>
                <w:color w:val="000000" w:themeColor="text1"/>
              </w:rPr>
              <w:t>PCT &gt;</w:t>
            </w:r>
            <w:proofErr w:type="gramEnd"/>
            <w:r w:rsidRPr="00791F12">
              <w:rPr>
                <w:color w:val="000000" w:themeColor="text1"/>
              </w:rPr>
              <w:t xml:space="preserve">0.5 µg/L,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7, n (%)</w:t>
            </w:r>
          </w:p>
        </w:tc>
        <w:tc>
          <w:tcPr>
            <w:tcW w:w="0" w:type="auto"/>
            <w:vAlign w:val="center"/>
          </w:tcPr>
          <w:p w14:paraId="372E1341" w14:textId="77777777" w:rsidR="00046C2C" w:rsidRPr="00791F12" w:rsidRDefault="00046C2C" w:rsidP="004323AE">
            <w:pPr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12 (52.2%) (n=23)</w:t>
            </w:r>
          </w:p>
        </w:tc>
        <w:tc>
          <w:tcPr>
            <w:tcW w:w="0" w:type="auto"/>
            <w:vAlign w:val="center"/>
          </w:tcPr>
          <w:p w14:paraId="7DA57515" w14:textId="77777777" w:rsidR="00046C2C" w:rsidRPr="00791F12" w:rsidRDefault="00046C2C" w:rsidP="004323AE">
            <w:pPr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51 (65.4%) </w:t>
            </w:r>
          </w:p>
          <w:p w14:paraId="4F89A9FA" w14:textId="77777777" w:rsidR="00046C2C" w:rsidRPr="00791F12" w:rsidRDefault="00046C2C" w:rsidP="004323AE">
            <w:pPr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(</w:t>
            </w:r>
            <w:proofErr w:type="gramStart"/>
            <w:r w:rsidRPr="00791F12">
              <w:rPr>
                <w:color w:val="000000" w:themeColor="text1"/>
              </w:rPr>
              <w:t>n</w:t>
            </w:r>
            <w:proofErr w:type="gramEnd"/>
            <w:r w:rsidRPr="00791F12">
              <w:rPr>
                <w:color w:val="000000" w:themeColor="text1"/>
              </w:rPr>
              <w:t>=78)</w:t>
            </w:r>
          </w:p>
        </w:tc>
        <w:tc>
          <w:tcPr>
            <w:tcW w:w="0" w:type="auto"/>
            <w:vAlign w:val="center"/>
          </w:tcPr>
          <w:p w14:paraId="6F4AC5B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0.366</w:t>
            </w:r>
          </w:p>
        </w:tc>
        <w:tc>
          <w:tcPr>
            <w:tcW w:w="0" w:type="auto"/>
            <w:vAlign w:val="center"/>
          </w:tcPr>
          <w:p w14:paraId="228F0A6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543" w:type="dxa"/>
            <w:vAlign w:val="center"/>
          </w:tcPr>
          <w:p w14:paraId="648E782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2A482C71" w14:textId="77777777" w:rsidTr="002E358E">
        <w:trPr>
          <w:jc w:val="center"/>
        </w:trPr>
        <w:tc>
          <w:tcPr>
            <w:tcW w:w="8647" w:type="dxa"/>
            <w:gridSpan w:val="6"/>
            <w:vAlign w:val="center"/>
          </w:tcPr>
          <w:p w14:paraId="777DA5A2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PCT: </w:t>
            </w:r>
            <w:proofErr w:type="spellStart"/>
            <w:r w:rsidRPr="00791F12">
              <w:rPr>
                <w:color w:val="000000" w:themeColor="text1"/>
              </w:rPr>
              <w:t>Prokalsitonin</w:t>
            </w:r>
            <w:proofErr w:type="spellEnd"/>
            <w:r w:rsidRPr="00791F12">
              <w:rPr>
                <w:color w:val="000000" w:themeColor="text1"/>
              </w:rPr>
              <w:t xml:space="preserve">, OR: </w:t>
            </w:r>
            <w:proofErr w:type="spellStart"/>
            <w:r w:rsidRPr="00791F12">
              <w:rPr>
                <w:color w:val="000000" w:themeColor="text1"/>
              </w:rPr>
              <w:t>Odds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ratio</w:t>
            </w:r>
            <w:proofErr w:type="spellEnd"/>
            <w:r w:rsidRPr="00791F12">
              <w:rPr>
                <w:color w:val="000000" w:themeColor="text1"/>
              </w:rPr>
              <w:t>, GA: Güven aralığı, CRP: C reaktif protein, AFR: Akut faz reaktanları, ESH: Eritrosit sedimentasyon hızı</w:t>
            </w:r>
          </w:p>
        </w:tc>
      </w:tr>
    </w:tbl>
    <w:p w14:paraId="2DDDB6CE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1B6B471" w14:textId="61F72F2C" w:rsidR="00046C2C" w:rsidRPr="002E358E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5.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Changes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in Renal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Function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Parameters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During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Treatment</w:t>
      </w:r>
      <w:proofErr w:type="spellEnd"/>
    </w:p>
    <w:tbl>
      <w:tblPr>
        <w:tblStyle w:val="TabloKlavuzu"/>
        <w:tblW w:w="8222" w:type="dxa"/>
        <w:tblInd w:w="108" w:type="dxa"/>
        <w:tblLook w:val="04A0" w:firstRow="1" w:lastRow="0" w:firstColumn="1" w:lastColumn="0" w:noHBand="0" w:noVBand="1"/>
      </w:tblPr>
      <w:tblGrid>
        <w:gridCol w:w="4565"/>
        <w:gridCol w:w="1276"/>
        <w:gridCol w:w="1417"/>
        <w:gridCol w:w="964"/>
      </w:tblGrid>
      <w:tr w:rsidR="00046C2C" w:rsidRPr="00791F12" w14:paraId="4FB0AEA0" w14:textId="77777777" w:rsidTr="002E358E">
        <w:tc>
          <w:tcPr>
            <w:tcW w:w="4565" w:type="dxa"/>
            <w:vAlign w:val="center"/>
          </w:tcPr>
          <w:p w14:paraId="09354DF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bookmarkStart w:id="0" w:name="_Hlk15012201"/>
            <w:proofErr w:type="spellStart"/>
            <w:r w:rsidRPr="00791F12">
              <w:rPr>
                <w:color w:val="000000" w:themeColor="text1"/>
              </w:rPr>
              <w:t>Parameters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by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</w:p>
        </w:tc>
        <w:tc>
          <w:tcPr>
            <w:tcW w:w="1276" w:type="dxa"/>
            <w:vAlign w:val="center"/>
          </w:tcPr>
          <w:p w14:paraId="5CFB9F7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STTG </w:t>
            </w:r>
          </w:p>
          <w:p w14:paraId="3C2189A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(</w:t>
            </w:r>
            <w:proofErr w:type="gramStart"/>
            <w:r w:rsidRPr="00791F12">
              <w:rPr>
                <w:color w:val="000000" w:themeColor="text1"/>
              </w:rPr>
              <w:t>n</w:t>
            </w:r>
            <w:proofErr w:type="gramEnd"/>
            <w:r w:rsidRPr="00791F12">
              <w:rPr>
                <w:color w:val="000000" w:themeColor="text1"/>
              </w:rPr>
              <w:t>=35)</w:t>
            </w:r>
          </w:p>
        </w:tc>
        <w:tc>
          <w:tcPr>
            <w:tcW w:w="1417" w:type="dxa"/>
            <w:vAlign w:val="center"/>
          </w:tcPr>
          <w:p w14:paraId="6DAB6579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LTTG </w:t>
            </w:r>
          </w:p>
          <w:p w14:paraId="6360B29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(</w:t>
            </w:r>
            <w:proofErr w:type="gramStart"/>
            <w:r w:rsidRPr="00791F12">
              <w:rPr>
                <w:color w:val="000000" w:themeColor="text1"/>
              </w:rPr>
              <w:t>n</w:t>
            </w:r>
            <w:proofErr w:type="gramEnd"/>
            <w:r w:rsidRPr="00791F12">
              <w:rPr>
                <w:color w:val="000000" w:themeColor="text1"/>
              </w:rPr>
              <w:t>=112)</w:t>
            </w:r>
          </w:p>
        </w:tc>
        <w:tc>
          <w:tcPr>
            <w:tcW w:w="964" w:type="dxa"/>
            <w:vAlign w:val="center"/>
          </w:tcPr>
          <w:p w14:paraId="0FAF35D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proofErr w:type="gramStart"/>
            <w:r w:rsidRPr="00791F12">
              <w:rPr>
                <w:color w:val="000000" w:themeColor="text1"/>
              </w:rPr>
              <w:t>p</w:t>
            </w:r>
            <w:proofErr w:type="gram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value</w:t>
            </w:r>
            <w:proofErr w:type="spellEnd"/>
          </w:p>
        </w:tc>
      </w:tr>
      <w:bookmarkEnd w:id="0"/>
      <w:tr w:rsidR="00046C2C" w:rsidRPr="00791F12" w14:paraId="7BE85137" w14:textId="77777777" w:rsidTr="002E358E">
        <w:tc>
          <w:tcPr>
            <w:tcW w:w="4565" w:type="dxa"/>
          </w:tcPr>
          <w:p w14:paraId="48281B33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Serum </w:t>
            </w:r>
            <w:proofErr w:type="spellStart"/>
            <w:r w:rsidRPr="00791F12">
              <w:rPr>
                <w:color w:val="000000" w:themeColor="text1"/>
              </w:rPr>
              <w:t>creatinine</w:t>
            </w:r>
            <w:proofErr w:type="spellEnd"/>
            <w:r w:rsidRPr="00791F12">
              <w:rPr>
                <w:color w:val="000000" w:themeColor="text1"/>
              </w:rPr>
              <w:t xml:space="preserve">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45A83CA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1.3 ± 1.0</w:t>
            </w:r>
          </w:p>
        </w:tc>
        <w:tc>
          <w:tcPr>
            <w:tcW w:w="1417" w:type="dxa"/>
            <w:vAlign w:val="center"/>
          </w:tcPr>
          <w:p w14:paraId="622BDDA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1.2 ± 1.1</w:t>
            </w:r>
          </w:p>
        </w:tc>
        <w:tc>
          <w:tcPr>
            <w:tcW w:w="964" w:type="dxa"/>
            <w:vAlign w:val="center"/>
          </w:tcPr>
          <w:p w14:paraId="47E3740F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0.294</w:t>
            </w:r>
          </w:p>
        </w:tc>
      </w:tr>
      <w:tr w:rsidR="00046C2C" w:rsidRPr="00791F12" w14:paraId="4CEC8FA0" w14:textId="77777777" w:rsidTr="002E358E">
        <w:tc>
          <w:tcPr>
            <w:tcW w:w="4565" w:type="dxa"/>
          </w:tcPr>
          <w:p w14:paraId="1A80AF28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Serum </w:t>
            </w:r>
            <w:proofErr w:type="spellStart"/>
            <w:r w:rsidRPr="00791F12">
              <w:rPr>
                <w:color w:val="000000" w:themeColor="text1"/>
              </w:rPr>
              <w:t>creatinine</w:t>
            </w:r>
            <w:proofErr w:type="spellEnd"/>
            <w:r w:rsidRPr="00791F12">
              <w:rPr>
                <w:color w:val="000000" w:themeColor="text1"/>
              </w:rPr>
              <w:t xml:space="preserve">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14:paraId="55CC54E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1.1 ± 0.8</w:t>
            </w:r>
          </w:p>
        </w:tc>
        <w:tc>
          <w:tcPr>
            <w:tcW w:w="1417" w:type="dxa"/>
            <w:vAlign w:val="center"/>
          </w:tcPr>
          <w:p w14:paraId="1AE193F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1.2 ± 0.9</w:t>
            </w:r>
          </w:p>
        </w:tc>
        <w:tc>
          <w:tcPr>
            <w:tcW w:w="964" w:type="dxa"/>
            <w:vAlign w:val="center"/>
          </w:tcPr>
          <w:p w14:paraId="5AF6E643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0.837</w:t>
            </w:r>
          </w:p>
        </w:tc>
      </w:tr>
      <w:tr w:rsidR="00046C2C" w:rsidRPr="00791F12" w14:paraId="265C27D3" w14:textId="77777777" w:rsidTr="002E358E">
        <w:tc>
          <w:tcPr>
            <w:tcW w:w="4565" w:type="dxa"/>
          </w:tcPr>
          <w:p w14:paraId="2A4ECD8F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Serum </w:t>
            </w:r>
            <w:proofErr w:type="spellStart"/>
            <w:r w:rsidRPr="00791F12">
              <w:rPr>
                <w:color w:val="000000" w:themeColor="text1"/>
              </w:rPr>
              <w:t>creatinine</w:t>
            </w:r>
            <w:proofErr w:type="spellEnd"/>
            <w:r w:rsidRPr="00791F12">
              <w:rPr>
                <w:color w:val="000000" w:themeColor="text1"/>
              </w:rPr>
              <w:t xml:space="preserve">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</w:t>
            </w:r>
          </w:p>
        </w:tc>
        <w:tc>
          <w:tcPr>
            <w:tcW w:w="1276" w:type="dxa"/>
            <w:vAlign w:val="center"/>
          </w:tcPr>
          <w:p w14:paraId="2C30B80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1.2 ± 0.9</w:t>
            </w:r>
          </w:p>
        </w:tc>
        <w:tc>
          <w:tcPr>
            <w:tcW w:w="1417" w:type="dxa"/>
            <w:vAlign w:val="center"/>
          </w:tcPr>
          <w:p w14:paraId="6410862F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1.2 ± 1.1</w:t>
            </w:r>
          </w:p>
        </w:tc>
        <w:tc>
          <w:tcPr>
            <w:tcW w:w="964" w:type="dxa"/>
            <w:vAlign w:val="center"/>
          </w:tcPr>
          <w:p w14:paraId="68F8A84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0.996</w:t>
            </w:r>
          </w:p>
        </w:tc>
      </w:tr>
      <w:tr w:rsidR="00046C2C" w:rsidRPr="00791F12" w14:paraId="35236D31" w14:textId="77777777" w:rsidTr="002E358E">
        <w:tc>
          <w:tcPr>
            <w:tcW w:w="4565" w:type="dxa"/>
          </w:tcPr>
          <w:p w14:paraId="38708B71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Serum </w:t>
            </w:r>
            <w:proofErr w:type="spellStart"/>
            <w:r w:rsidRPr="00791F12">
              <w:rPr>
                <w:color w:val="000000" w:themeColor="text1"/>
              </w:rPr>
              <w:t>creatinine</w:t>
            </w:r>
            <w:proofErr w:type="spellEnd"/>
            <w:r w:rsidRPr="00791F12">
              <w:rPr>
                <w:color w:val="000000" w:themeColor="text1"/>
              </w:rPr>
              <w:t xml:space="preserve">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 xml:space="preserve">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</w:t>
            </w:r>
          </w:p>
        </w:tc>
        <w:tc>
          <w:tcPr>
            <w:tcW w:w="1276" w:type="dxa"/>
            <w:vAlign w:val="center"/>
          </w:tcPr>
          <w:p w14:paraId="50A233F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1.1 ± 0.7</w:t>
            </w:r>
          </w:p>
        </w:tc>
        <w:tc>
          <w:tcPr>
            <w:tcW w:w="1417" w:type="dxa"/>
            <w:vAlign w:val="center"/>
          </w:tcPr>
          <w:p w14:paraId="79B029E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1.2 ± 1.1</w:t>
            </w:r>
          </w:p>
        </w:tc>
        <w:tc>
          <w:tcPr>
            <w:tcW w:w="964" w:type="dxa"/>
            <w:vAlign w:val="center"/>
          </w:tcPr>
          <w:p w14:paraId="76444BF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0.854</w:t>
            </w:r>
          </w:p>
        </w:tc>
      </w:tr>
      <w:tr w:rsidR="00046C2C" w:rsidRPr="00791F12" w14:paraId="2986AEDF" w14:textId="77777777" w:rsidTr="002E358E">
        <w:tc>
          <w:tcPr>
            <w:tcW w:w="4565" w:type="dxa"/>
          </w:tcPr>
          <w:p w14:paraId="2B20D3A2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GFR (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</w:t>
            </w:r>
          </w:p>
        </w:tc>
        <w:tc>
          <w:tcPr>
            <w:tcW w:w="1276" w:type="dxa"/>
          </w:tcPr>
          <w:p w14:paraId="2563B7B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74,8 ± 40,7</w:t>
            </w:r>
          </w:p>
        </w:tc>
        <w:tc>
          <w:tcPr>
            <w:tcW w:w="1417" w:type="dxa"/>
          </w:tcPr>
          <w:p w14:paraId="7D8C5E8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75,3 ± 40,6</w:t>
            </w:r>
          </w:p>
        </w:tc>
        <w:tc>
          <w:tcPr>
            <w:tcW w:w="964" w:type="dxa"/>
          </w:tcPr>
          <w:p w14:paraId="0D12E923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0,806</w:t>
            </w:r>
          </w:p>
        </w:tc>
      </w:tr>
      <w:tr w:rsidR="00046C2C" w:rsidRPr="00791F12" w14:paraId="38867FCE" w14:textId="77777777" w:rsidTr="002E358E">
        <w:tc>
          <w:tcPr>
            <w:tcW w:w="4565" w:type="dxa"/>
          </w:tcPr>
          <w:p w14:paraId="2EEF5B9B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GFR (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</w:t>
            </w:r>
          </w:p>
        </w:tc>
        <w:tc>
          <w:tcPr>
            <w:tcW w:w="1276" w:type="dxa"/>
          </w:tcPr>
          <w:p w14:paraId="2F9A24C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79,1 ± 40,9</w:t>
            </w:r>
          </w:p>
        </w:tc>
        <w:tc>
          <w:tcPr>
            <w:tcW w:w="1417" w:type="dxa"/>
          </w:tcPr>
          <w:p w14:paraId="478277A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72,1 ± 38,6</w:t>
            </w:r>
          </w:p>
        </w:tc>
        <w:tc>
          <w:tcPr>
            <w:tcW w:w="964" w:type="dxa"/>
          </w:tcPr>
          <w:p w14:paraId="73344D4D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0,375</w:t>
            </w:r>
          </w:p>
        </w:tc>
      </w:tr>
      <w:tr w:rsidR="00046C2C" w:rsidRPr="00791F12" w14:paraId="63165D9C" w14:textId="77777777" w:rsidTr="002E358E">
        <w:tc>
          <w:tcPr>
            <w:tcW w:w="4565" w:type="dxa"/>
          </w:tcPr>
          <w:p w14:paraId="1AE1CCFE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GFR (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</w:t>
            </w:r>
          </w:p>
        </w:tc>
        <w:tc>
          <w:tcPr>
            <w:tcW w:w="1276" w:type="dxa"/>
          </w:tcPr>
          <w:p w14:paraId="6381E6D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78,8 ± 41,8</w:t>
            </w:r>
          </w:p>
        </w:tc>
        <w:tc>
          <w:tcPr>
            <w:tcW w:w="1417" w:type="dxa"/>
          </w:tcPr>
          <w:p w14:paraId="0982AE2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72,4 ± 40,9</w:t>
            </w:r>
          </w:p>
        </w:tc>
        <w:tc>
          <w:tcPr>
            <w:tcW w:w="964" w:type="dxa"/>
          </w:tcPr>
          <w:p w14:paraId="755F463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0,437</w:t>
            </w:r>
          </w:p>
        </w:tc>
      </w:tr>
      <w:tr w:rsidR="00046C2C" w:rsidRPr="00791F12" w14:paraId="0EE96E1F" w14:textId="77777777" w:rsidTr="002E358E">
        <w:tc>
          <w:tcPr>
            <w:tcW w:w="4565" w:type="dxa"/>
          </w:tcPr>
          <w:p w14:paraId="6C122693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GFR (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</w:t>
            </w:r>
          </w:p>
        </w:tc>
        <w:tc>
          <w:tcPr>
            <w:tcW w:w="1276" w:type="dxa"/>
          </w:tcPr>
          <w:p w14:paraId="0F5ECDB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81,3 ± 42,7</w:t>
            </w:r>
          </w:p>
        </w:tc>
        <w:tc>
          <w:tcPr>
            <w:tcW w:w="1417" w:type="dxa"/>
          </w:tcPr>
          <w:p w14:paraId="43079AB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71,9 ± 42,8</w:t>
            </w:r>
          </w:p>
        </w:tc>
        <w:tc>
          <w:tcPr>
            <w:tcW w:w="964" w:type="dxa"/>
          </w:tcPr>
          <w:p w14:paraId="15C703C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0,219</w:t>
            </w:r>
          </w:p>
        </w:tc>
      </w:tr>
      <w:tr w:rsidR="00046C2C" w:rsidRPr="00791F12" w14:paraId="3CD1FBFB" w14:textId="77777777" w:rsidTr="002E358E">
        <w:tc>
          <w:tcPr>
            <w:tcW w:w="4565" w:type="dxa"/>
            <w:vAlign w:val="center"/>
          </w:tcPr>
          <w:p w14:paraId="2C3259E7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GFR &lt;60 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 </w:t>
            </w:r>
            <w:proofErr w:type="spellStart"/>
            <w:r w:rsidRPr="00791F12">
              <w:rPr>
                <w:color w:val="000000" w:themeColor="text1"/>
              </w:rPr>
              <w:t>during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76" w:type="dxa"/>
            <w:vAlign w:val="center"/>
          </w:tcPr>
          <w:p w14:paraId="22AFC71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15 (42.9%)</w:t>
            </w:r>
          </w:p>
        </w:tc>
        <w:tc>
          <w:tcPr>
            <w:tcW w:w="1417" w:type="dxa"/>
            <w:vAlign w:val="center"/>
          </w:tcPr>
          <w:p w14:paraId="4C7489F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63 (56.3%)</w:t>
            </w:r>
          </w:p>
        </w:tc>
        <w:tc>
          <w:tcPr>
            <w:tcW w:w="964" w:type="dxa"/>
            <w:vAlign w:val="center"/>
          </w:tcPr>
          <w:p w14:paraId="2DDE1B8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0.233</w:t>
            </w:r>
          </w:p>
        </w:tc>
      </w:tr>
      <w:tr w:rsidR="00046C2C" w:rsidRPr="00791F12" w14:paraId="053C01CD" w14:textId="77777777" w:rsidTr="002E358E">
        <w:tc>
          <w:tcPr>
            <w:tcW w:w="4565" w:type="dxa"/>
            <w:vAlign w:val="center"/>
          </w:tcPr>
          <w:p w14:paraId="5EBC9709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GFR &lt;30 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 </w:t>
            </w:r>
            <w:proofErr w:type="spellStart"/>
            <w:r w:rsidRPr="00791F12">
              <w:rPr>
                <w:color w:val="000000" w:themeColor="text1"/>
              </w:rPr>
              <w:t>during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76" w:type="dxa"/>
            <w:vAlign w:val="center"/>
          </w:tcPr>
          <w:p w14:paraId="03FB1FB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10 (28.6%)</w:t>
            </w:r>
          </w:p>
        </w:tc>
        <w:tc>
          <w:tcPr>
            <w:tcW w:w="1417" w:type="dxa"/>
            <w:vAlign w:val="center"/>
          </w:tcPr>
          <w:p w14:paraId="53FC9B7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 (33.0%)</w:t>
            </w:r>
          </w:p>
        </w:tc>
        <w:tc>
          <w:tcPr>
            <w:tcW w:w="964" w:type="dxa"/>
            <w:vAlign w:val="center"/>
          </w:tcPr>
          <w:p w14:paraId="1CE4812B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0.774</w:t>
            </w:r>
          </w:p>
        </w:tc>
      </w:tr>
      <w:tr w:rsidR="00046C2C" w:rsidRPr="00791F12" w14:paraId="6BD93685" w14:textId="77777777" w:rsidTr="002E358E">
        <w:tc>
          <w:tcPr>
            <w:tcW w:w="4565" w:type="dxa"/>
            <w:vAlign w:val="center"/>
          </w:tcPr>
          <w:p w14:paraId="6A1DCB45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GFR &lt;15 </w:t>
            </w:r>
            <w:proofErr w:type="spellStart"/>
            <w:r w:rsidRPr="00791F12">
              <w:rPr>
                <w:color w:val="000000" w:themeColor="text1"/>
              </w:rPr>
              <w:t>mL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spellStart"/>
            <w:r w:rsidRPr="00791F12">
              <w:rPr>
                <w:color w:val="000000" w:themeColor="text1"/>
              </w:rPr>
              <w:t>min</w:t>
            </w:r>
            <w:proofErr w:type="spellEnd"/>
            <w:r w:rsidRPr="00791F12">
              <w:rPr>
                <w:color w:val="000000" w:themeColor="text1"/>
              </w:rPr>
              <w:t>/</w:t>
            </w:r>
            <w:proofErr w:type="gramStart"/>
            <w:r w:rsidRPr="00791F12">
              <w:rPr>
                <w:color w:val="000000" w:themeColor="text1"/>
              </w:rPr>
              <w:t>1.73</w:t>
            </w:r>
            <w:proofErr w:type="gramEnd"/>
            <w:r w:rsidRPr="00791F12">
              <w:rPr>
                <w:color w:val="000000" w:themeColor="text1"/>
              </w:rPr>
              <w:t xml:space="preserve"> m² </w:t>
            </w:r>
            <w:proofErr w:type="spellStart"/>
            <w:r w:rsidRPr="00791F12">
              <w:rPr>
                <w:color w:val="000000" w:themeColor="text1"/>
              </w:rPr>
              <w:t>during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76" w:type="dxa"/>
            <w:vAlign w:val="center"/>
          </w:tcPr>
          <w:p w14:paraId="140BFFF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 (8.6%)</w:t>
            </w:r>
          </w:p>
        </w:tc>
        <w:tc>
          <w:tcPr>
            <w:tcW w:w="1417" w:type="dxa"/>
            <w:vAlign w:val="center"/>
          </w:tcPr>
          <w:p w14:paraId="2B668D4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12 (10.7%)</w:t>
            </w:r>
          </w:p>
        </w:tc>
        <w:tc>
          <w:tcPr>
            <w:tcW w:w="964" w:type="dxa"/>
            <w:vAlign w:val="center"/>
          </w:tcPr>
          <w:p w14:paraId="1846B6A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0.963</w:t>
            </w:r>
          </w:p>
        </w:tc>
      </w:tr>
      <w:tr w:rsidR="00046C2C" w:rsidRPr="00791F12" w14:paraId="3ACD76D4" w14:textId="77777777" w:rsidTr="004323AE">
        <w:tc>
          <w:tcPr>
            <w:tcW w:w="8222" w:type="dxa"/>
            <w:gridSpan w:val="4"/>
            <w:vAlign w:val="center"/>
          </w:tcPr>
          <w:p w14:paraId="070D8C13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Abbreviations</w:t>
            </w:r>
            <w:proofErr w:type="spellEnd"/>
            <w:r w:rsidRPr="00791F12">
              <w:rPr>
                <w:color w:val="000000" w:themeColor="text1"/>
              </w:rPr>
              <w:t xml:space="preserve">: GFR, </w:t>
            </w:r>
            <w:proofErr w:type="spellStart"/>
            <w:r w:rsidRPr="00791F12">
              <w:rPr>
                <w:color w:val="000000" w:themeColor="text1"/>
              </w:rPr>
              <w:t>glomerular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filtration</w:t>
            </w:r>
            <w:proofErr w:type="spellEnd"/>
            <w:r w:rsidRPr="00791F12">
              <w:rPr>
                <w:color w:val="000000" w:themeColor="text1"/>
              </w:rPr>
              <w:t xml:space="preserve"> rate.</w:t>
            </w:r>
          </w:p>
          <w:p w14:paraId="2DC35CD7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Formula: </w:t>
            </w:r>
            <w:proofErr w:type="spellStart"/>
            <w:r w:rsidRPr="00791F12">
              <w:rPr>
                <w:color w:val="000000" w:themeColor="text1"/>
              </w:rPr>
              <w:t>Glomerular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filtration</w:t>
            </w:r>
            <w:proofErr w:type="spellEnd"/>
            <w:r w:rsidRPr="00791F12">
              <w:rPr>
                <w:color w:val="000000" w:themeColor="text1"/>
              </w:rPr>
              <w:t xml:space="preserve"> rate (GFR) = 186 × (serum </w:t>
            </w:r>
            <w:proofErr w:type="spellStart"/>
            <w:proofErr w:type="gramStart"/>
            <w:r w:rsidRPr="00791F12">
              <w:rPr>
                <w:color w:val="000000" w:themeColor="text1"/>
              </w:rPr>
              <w:t>creatinine</w:t>
            </w:r>
            <w:proofErr w:type="spellEnd"/>
            <w:r w:rsidRPr="00791F12">
              <w:rPr>
                <w:color w:val="000000" w:themeColor="text1"/>
              </w:rPr>
              <w:t>)^</w:t>
            </w:r>
            <w:proofErr w:type="gramEnd"/>
            <w:r w:rsidRPr="00791F12">
              <w:rPr>
                <w:color w:val="000000" w:themeColor="text1"/>
              </w:rPr>
              <w:t>−1.154 × (</w:t>
            </w:r>
            <w:proofErr w:type="spellStart"/>
            <w:r w:rsidRPr="00791F12">
              <w:rPr>
                <w:color w:val="000000" w:themeColor="text1"/>
              </w:rPr>
              <w:t>age</w:t>
            </w:r>
            <w:proofErr w:type="spellEnd"/>
            <w:r w:rsidRPr="00791F12">
              <w:rPr>
                <w:color w:val="000000" w:themeColor="text1"/>
              </w:rPr>
              <w:t xml:space="preserve">)^−0.203 × </w:t>
            </w:r>
            <w:proofErr w:type="spellStart"/>
            <w:r w:rsidRPr="00791F12">
              <w:rPr>
                <w:color w:val="000000" w:themeColor="text1"/>
              </w:rPr>
              <w:t>sex</w:t>
            </w:r>
            <w:proofErr w:type="spellEnd"/>
            <w:r w:rsidRPr="00791F12">
              <w:rPr>
                <w:color w:val="000000" w:themeColor="text1"/>
              </w:rPr>
              <w:t xml:space="preserve"> × race</w:t>
            </w:r>
          </w:p>
        </w:tc>
      </w:tr>
    </w:tbl>
    <w:p w14:paraId="77546ADE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C94CE44" w14:textId="77777777" w:rsidR="00046C2C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72640B6" w14:textId="77777777" w:rsidR="006B0EA2" w:rsidRDefault="006B0EA2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870429F" w14:textId="77777777" w:rsidR="006B0EA2" w:rsidRDefault="006B0EA2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AB47195" w14:textId="77777777" w:rsidR="006B0EA2" w:rsidRDefault="006B0EA2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9320246" w14:textId="77777777" w:rsidR="006B0EA2" w:rsidRDefault="006B0EA2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8EEF020" w14:textId="77777777" w:rsidR="006B0EA2" w:rsidRDefault="006B0EA2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3809096" w14:textId="77777777" w:rsidR="006B0EA2" w:rsidRDefault="006B0EA2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BF94CF8" w14:textId="77777777" w:rsidR="006B0EA2" w:rsidRPr="00791F12" w:rsidRDefault="006B0EA2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3B9FE36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6.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Changes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in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PaO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₂/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FiO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₂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Ratio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Glasgow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Coma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Scale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(GCS),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Pulmonary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Infection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Score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(CPIS)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During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Treatment</w:t>
      </w:r>
      <w:proofErr w:type="spellEnd"/>
    </w:p>
    <w:p w14:paraId="415A5308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8653" w:type="dxa"/>
        <w:jc w:val="center"/>
        <w:tblLook w:val="04A0" w:firstRow="1" w:lastRow="0" w:firstColumn="1" w:lastColumn="0" w:noHBand="0" w:noVBand="1"/>
      </w:tblPr>
      <w:tblGrid>
        <w:gridCol w:w="4531"/>
        <w:gridCol w:w="1560"/>
        <w:gridCol w:w="1337"/>
        <w:gridCol w:w="1225"/>
      </w:tblGrid>
      <w:tr w:rsidR="00046C2C" w:rsidRPr="00791F12" w14:paraId="1EC51D35" w14:textId="77777777" w:rsidTr="006B0EA2">
        <w:trPr>
          <w:jc w:val="center"/>
        </w:trPr>
        <w:tc>
          <w:tcPr>
            <w:tcW w:w="4531" w:type="dxa"/>
            <w:vAlign w:val="center"/>
          </w:tcPr>
          <w:p w14:paraId="413025A9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/ </w:t>
            </w:r>
            <w:proofErr w:type="spellStart"/>
            <w:r w:rsidRPr="00791F12">
              <w:rPr>
                <w:color w:val="000000" w:themeColor="text1"/>
              </w:rPr>
              <w:t>Parameter</w:t>
            </w:r>
            <w:proofErr w:type="spellEnd"/>
          </w:p>
        </w:tc>
        <w:tc>
          <w:tcPr>
            <w:tcW w:w="1560" w:type="dxa"/>
            <w:vAlign w:val="center"/>
          </w:tcPr>
          <w:p w14:paraId="6F21905F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STTG (n=35)</w:t>
            </w:r>
          </w:p>
        </w:tc>
        <w:tc>
          <w:tcPr>
            <w:tcW w:w="1337" w:type="dxa"/>
            <w:vAlign w:val="center"/>
          </w:tcPr>
          <w:p w14:paraId="75AC6D6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LTTG (n=112)</w:t>
            </w:r>
          </w:p>
        </w:tc>
        <w:tc>
          <w:tcPr>
            <w:tcW w:w="1225" w:type="dxa"/>
            <w:vAlign w:val="center"/>
          </w:tcPr>
          <w:p w14:paraId="72ED904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proofErr w:type="gramStart"/>
            <w:r w:rsidRPr="00791F12">
              <w:rPr>
                <w:color w:val="000000" w:themeColor="text1"/>
              </w:rPr>
              <w:t>p</w:t>
            </w:r>
            <w:proofErr w:type="gram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value</w:t>
            </w:r>
            <w:proofErr w:type="spellEnd"/>
          </w:p>
        </w:tc>
      </w:tr>
      <w:tr w:rsidR="00046C2C" w:rsidRPr="00791F12" w14:paraId="2D55A1B6" w14:textId="77777777" w:rsidTr="006B0EA2">
        <w:trPr>
          <w:jc w:val="center"/>
        </w:trPr>
        <w:tc>
          <w:tcPr>
            <w:tcW w:w="4531" w:type="dxa"/>
          </w:tcPr>
          <w:p w14:paraId="0AFE4842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>₂/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 xml:space="preserve">₂ </w:t>
            </w:r>
            <w:proofErr w:type="spellStart"/>
            <w:r w:rsidRPr="00791F12">
              <w:rPr>
                <w:color w:val="000000" w:themeColor="text1"/>
              </w:rPr>
              <w:t>ratio</w:t>
            </w:r>
            <w:proofErr w:type="spellEnd"/>
            <w:r w:rsidRPr="00791F12">
              <w:rPr>
                <w:color w:val="000000" w:themeColor="text1"/>
              </w:rPr>
              <w:t xml:space="preserve"> (mmHg)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046C2C" w:rsidRPr="00791F12" w14:paraId="620CF0FE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26C2D3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212.5 ± 62.0</w:t>
                  </w:r>
                </w:p>
              </w:tc>
            </w:tr>
          </w:tbl>
          <w:p w14:paraId="25862009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046C2C" w:rsidRPr="00791F12" w14:paraId="61C42401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87B1FE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224.0 ± 88.6</w:t>
                  </w:r>
                </w:p>
              </w:tc>
            </w:tr>
          </w:tbl>
          <w:p w14:paraId="3CA6263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09F41377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3C186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0.691</w:t>
                  </w:r>
                </w:p>
              </w:tc>
            </w:tr>
          </w:tbl>
          <w:p w14:paraId="739B714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</w:tr>
      <w:tr w:rsidR="00046C2C" w:rsidRPr="00791F12" w14:paraId="5FE1F17D" w14:textId="77777777" w:rsidTr="006B0EA2">
        <w:trPr>
          <w:jc w:val="center"/>
        </w:trPr>
        <w:tc>
          <w:tcPr>
            <w:tcW w:w="4531" w:type="dxa"/>
          </w:tcPr>
          <w:p w14:paraId="492992C4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>₂/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 xml:space="preserve">₂ </w:t>
            </w:r>
            <w:proofErr w:type="spellStart"/>
            <w:r w:rsidRPr="00791F12">
              <w:rPr>
                <w:color w:val="000000" w:themeColor="text1"/>
              </w:rPr>
              <w:t>ratio</w:t>
            </w:r>
            <w:proofErr w:type="spellEnd"/>
            <w:r w:rsidRPr="00791F12">
              <w:rPr>
                <w:color w:val="000000" w:themeColor="text1"/>
              </w:rPr>
              <w:t xml:space="preserve"> (mmHg)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046C2C" w:rsidRPr="00791F12" w14:paraId="4EC4691B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04643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287.5 ± 63.2</w:t>
                  </w:r>
                </w:p>
              </w:tc>
            </w:tr>
          </w:tbl>
          <w:p w14:paraId="600118CF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046C2C" w:rsidRPr="00791F12" w14:paraId="1558A48C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219B89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265.5±79.3</w:t>
                  </w:r>
                </w:p>
              </w:tc>
            </w:tr>
          </w:tbl>
          <w:p w14:paraId="04AD572B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58781E00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F5CAF7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0.138</w:t>
                  </w:r>
                </w:p>
              </w:tc>
            </w:tr>
          </w:tbl>
          <w:p w14:paraId="1323CFA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</w:tr>
      <w:tr w:rsidR="00046C2C" w:rsidRPr="00791F12" w14:paraId="7A07E590" w14:textId="77777777" w:rsidTr="006B0EA2">
        <w:trPr>
          <w:jc w:val="center"/>
        </w:trPr>
        <w:tc>
          <w:tcPr>
            <w:tcW w:w="4531" w:type="dxa"/>
          </w:tcPr>
          <w:p w14:paraId="79FA2E9C" w14:textId="77777777" w:rsidR="00046C2C" w:rsidRPr="00791F12" w:rsidRDefault="00046C2C" w:rsidP="004323AE">
            <w:pPr>
              <w:spacing w:before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PaO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₂/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FiO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₂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ratio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(mmHg)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5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046C2C" w:rsidRPr="00791F12" w14:paraId="27A4F129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DB0D96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335.6 ± 63.0</w:t>
                  </w:r>
                </w:p>
              </w:tc>
            </w:tr>
          </w:tbl>
          <w:p w14:paraId="7DC4782C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046C2C" w:rsidRPr="00791F12" w14:paraId="2FCA1A19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433EB8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274.9± 95.4</w:t>
                  </w:r>
                </w:p>
              </w:tc>
            </w:tr>
          </w:tbl>
          <w:p w14:paraId="7757F14B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03D0BDA4" w14:textId="77777777" w:rsidR="00046C2C" w:rsidRPr="00791F12" w:rsidRDefault="00046C2C" w:rsidP="004323AE">
            <w:pPr>
              <w:spacing w:before="60"/>
              <w:jc w:val="both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&lt;0.001</w:t>
            </w:r>
          </w:p>
        </w:tc>
      </w:tr>
      <w:tr w:rsidR="00046C2C" w:rsidRPr="00791F12" w14:paraId="36B8CFFC" w14:textId="77777777" w:rsidTr="006B0EA2">
        <w:trPr>
          <w:jc w:val="center"/>
        </w:trPr>
        <w:tc>
          <w:tcPr>
            <w:tcW w:w="4531" w:type="dxa"/>
          </w:tcPr>
          <w:p w14:paraId="1BFEACDE" w14:textId="77777777" w:rsidR="00046C2C" w:rsidRPr="00791F12" w:rsidRDefault="00046C2C" w:rsidP="004323AE">
            <w:pPr>
              <w:spacing w:before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PaO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₂/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FiO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₂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ratio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(mmHg)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7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046C2C" w:rsidRPr="00791F12" w14:paraId="21B3BF3B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3A7553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349.7 ± 77.6</w:t>
                  </w:r>
                </w:p>
              </w:tc>
            </w:tr>
          </w:tbl>
          <w:p w14:paraId="07BBF841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046C2C" w:rsidRPr="00791F12" w14:paraId="26D372BB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2F8378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280.1± 99.5</w:t>
                  </w:r>
                </w:p>
              </w:tc>
            </w:tr>
          </w:tbl>
          <w:p w14:paraId="18E52523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4"/>
            </w:tblGrid>
            <w:tr w:rsidR="00046C2C" w:rsidRPr="00791F12" w14:paraId="6D8C62CC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CE61D8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&lt;0.001</w:t>
                  </w:r>
                </w:p>
              </w:tc>
            </w:tr>
          </w:tbl>
          <w:p w14:paraId="3DB72951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6C2C" w:rsidRPr="00791F12" w14:paraId="1350B791" w14:textId="77777777" w:rsidTr="006B0EA2">
        <w:trPr>
          <w:jc w:val="center"/>
        </w:trPr>
        <w:tc>
          <w:tcPr>
            <w:tcW w:w="4531" w:type="dxa"/>
          </w:tcPr>
          <w:p w14:paraId="6B0FBBEE" w14:textId="77777777" w:rsidR="00046C2C" w:rsidRPr="00791F12" w:rsidRDefault="00046C2C" w:rsidP="004323AE">
            <w:pPr>
              <w:spacing w:before="60"/>
              <w:rPr>
                <w:b/>
                <w:color w:val="000000" w:themeColor="text1"/>
              </w:rPr>
            </w:pPr>
            <w:r w:rsidRPr="00791F12">
              <w:rPr>
                <w:b/>
                <w:color w:val="000000" w:themeColor="text1"/>
              </w:rPr>
              <w:t xml:space="preserve">Glasgow </w:t>
            </w:r>
            <w:proofErr w:type="spellStart"/>
            <w:r w:rsidRPr="00791F12">
              <w:rPr>
                <w:b/>
                <w:color w:val="000000" w:themeColor="text1"/>
              </w:rPr>
              <w:t>Coma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color w:val="000000" w:themeColor="text1"/>
              </w:rPr>
              <w:t>Scale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(GCS) </w:t>
            </w:r>
            <w:proofErr w:type="spellStart"/>
            <w:r w:rsidRPr="00791F12">
              <w:rPr>
                <w:b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1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61DE5587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A97AF1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7.7 ± 2.4</w:t>
                  </w:r>
                </w:p>
              </w:tc>
            </w:tr>
          </w:tbl>
          <w:p w14:paraId="2983FE0D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2C918B67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B602AD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6.7 ± 2.2</w:t>
                  </w:r>
                </w:p>
              </w:tc>
            </w:tr>
          </w:tbl>
          <w:p w14:paraId="669DBF1D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0A3F0C09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B9AD6D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0.025</w:t>
                  </w:r>
                </w:p>
              </w:tc>
            </w:tr>
          </w:tbl>
          <w:p w14:paraId="2FBD7C27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</w:tr>
      <w:tr w:rsidR="00046C2C" w:rsidRPr="00791F12" w14:paraId="619BE83E" w14:textId="77777777" w:rsidTr="006B0EA2">
        <w:trPr>
          <w:jc w:val="center"/>
        </w:trPr>
        <w:tc>
          <w:tcPr>
            <w:tcW w:w="4531" w:type="dxa"/>
          </w:tcPr>
          <w:p w14:paraId="1A9EEF86" w14:textId="77777777" w:rsidR="00046C2C" w:rsidRPr="00791F12" w:rsidRDefault="00046C2C" w:rsidP="004323AE">
            <w:pPr>
              <w:spacing w:before="60"/>
              <w:rPr>
                <w:b/>
                <w:color w:val="000000" w:themeColor="text1"/>
              </w:rPr>
            </w:pPr>
            <w:r w:rsidRPr="00791F12">
              <w:rPr>
                <w:b/>
                <w:color w:val="000000" w:themeColor="text1"/>
              </w:rPr>
              <w:t xml:space="preserve">Glasgow </w:t>
            </w:r>
            <w:proofErr w:type="spellStart"/>
            <w:r w:rsidRPr="00791F12">
              <w:rPr>
                <w:b/>
                <w:color w:val="000000" w:themeColor="text1"/>
              </w:rPr>
              <w:t>Coma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color w:val="000000" w:themeColor="text1"/>
              </w:rPr>
              <w:t>Scale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(GCS) </w:t>
            </w:r>
            <w:proofErr w:type="spellStart"/>
            <w:r w:rsidRPr="00791F12">
              <w:rPr>
                <w:b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3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63359033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57A3D8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8.2 ± 2.7</w:t>
                  </w:r>
                </w:p>
              </w:tc>
            </w:tr>
          </w:tbl>
          <w:p w14:paraId="18E9E29A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1F28A929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A6DAE7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6.9 ± 2.1</w:t>
                  </w:r>
                </w:p>
              </w:tc>
            </w:tr>
          </w:tbl>
          <w:p w14:paraId="75EE4A2E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1F1B9AD8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A0C111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0.010</w:t>
                  </w:r>
                </w:p>
              </w:tc>
            </w:tr>
          </w:tbl>
          <w:p w14:paraId="01101901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</w:tr>
      <w:tr w:rsidR="00046C2C" w:rsidRPr="00791F12" w14:paraId="2FCE6E72" w14:textId="77777777" w:rsidTr="006B0EA2">
        <w:trPr>
          <w:jc w:val="center"/>
        </w:trPr>
        <w:tc>
          <w:tcPr>
            <w:tcW w:w="4531" w:type="dxa"/>
          </w:tcPr>
          <w:p w14:paraId="35298B29" w14:textId="77777777" w:rsidR="00046C2C" w:rsidRPr="00791F12" w:rsidRDefault="00046C2C" w:rsidP="004323AE">
            <w:pPr>
              <w:spacing w:before="60"/>
              <w:rPr>
                <w:b/>
                <w:color w:val="000000" w:themeColor="text1"/>
              </w:rPr>
            </w:pPr>
            <w:r w:rsidRPr="00791F12">
              <w:rPr>
                <w:b/>
                <w:color w:val="000000" w:themeColor="text1"/>
              </w:rPr>
              <w:t xml:space="preserve">Glasgow </w:t>
            </w:r>
            <w:proofErr w:type="spellStart"/>
            <w:r w:rsidRPr="00791F12">
              <w:rPr>
                <w:b/>
                <w:color w:val="000000" w:themeColor="text1"/>
              </w:rPr>
              <w:t>Coma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color w:val="000000" w:themeColor="text1"/>
              </w:rPr>
              <w:t>Scale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(GCS) </w:t>
            </w:r>
            <w:proofErr w:type="spellStart"/>
            <w:r w:rsidRPr="00791F12">
              <w:rPr>
                <w:b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5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5F82182B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CC73C5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8.8 ± 3.2</w:t>
                  </w:r>
                </w:p>
              </w:tc>
            </w:tr>
          </w:tbl>
          <w:p w14:paraId="1CE60E07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76CDB51A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B4E54E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7.2 ± 2.4</w:t>
                  </w:r>
                </w:p>
              </w:tc>
            </w:tr>
          </w:tbl>
          <w:p w14:paraId="4CA9A97F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39618AED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D83B24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0.010</w:t>
                  </w:r>
                </w:p>
              </w:tc>
            </w:tr>
          </w:tbl>
          <w:p w14:paraId="6E1B7E70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</w:tr>
      <w:tr w:rsidR="00046C2C" w:rsidRPr="00791F12" w14:paraId="410556A4" w14:textId="77777777" w:rsidTr="006B0EA2">
        <w:trPr>
          <w:jc w:val="center"/>
        </w:trPr>
        <w:tc>
          <w:tcPr>
            <w:tcW w:w="4531" w:type="dxa"/>
          </w:tcPr>
          <w:p w14:paraId="1D6FEAA6" w14:textId="77777777" w:rsidR="00046C2C" w:rsidRPr="00791F12" w:rsidRDefault="00046C2C" w:rsidP="004323AE">
            <w:pPr>
              <w:spacing w:before="60"/>
              <w:rPr>
                <w:b/>
                <w:color w:val="000000" w:themeColor="text1"/>
              </w:rPr>
            </w:pPr>
            <w:r w:rsidRPr="00791F12">
              <w:rPr>
                <w:b/>
                <w:color w:val="000000" w:themeColor="text1"/>
              </w:rPr>
              <w:t xml:space="preserve">Glasgow </w:t>
            </w:r>
            <w:proofErr w:type="spellStart"/>
            <w:r w:rsidRPr="00791F12">
              <w:rPr>
                <w:b/>
                <w:color w:val="000000" w:themeColor="text1"/>
              </w:rPr>
              <w:t>Coma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color w:val="000000" w:themeColor="text1"/>
              </w:rPr>
              <w:t>Scale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(GCS) </w:t>
            </w:r>
            <w:proofErr w:type="spellStart"/>
            <w:r w:rsidRPr="00791F12">
              <w:rPr>
                <w:b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color w:val="000000" w:themeColor="text1"/>
              </w:rPr>
              <w:t xml:space="preserve"> 7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633D5209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89B6F9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8.9 ± 3.3</w:t>
                  </w:r>
                </w:p>
              </w:tc>
            </w:tr>
          </w:tbl>
          <w:p w14:paraId="42810C78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7A3FBF71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83254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7.2 ± 2.7</w:t>
                  </w:r>
                </w:p>
              </w:tc>
            </w:tr>
          </w:tbl>
          <w:p w14:paraId="7AA046DC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24221F7A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CB6D04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0.012</w:t>
                  </w:r>
                </w:p>
              </w:tc>
            </w:tr>
          </w:tbl>
          <w:p w14:paraId="4C1E49E3" w14:textId="77777777" w:rsidR="00046C2C" w:rsidRPr="00791F12" w:rsidRDefault="00046C2C" w:rsidP="004323AE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</w:tr>
      <w:tr w:rsidR="00046C2C" w:rsidRPr="00791F12" w14:paraId="23EFFCCA" w14:textId="77777777" w:rsidTr="006B0EA2">
        <w:trPr>
          <w:jc w:val="center"/>
        </w:trPr>
        <w:tc>
          <w:tcPr>
            <w:tcW w:w="4531" w:type="dxa"/>
          </w:tcPr>
          <w:p w14:paraId="04D9AEDE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Clinical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Pulmonary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Infection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Score</w:t>
            </w:r>
            <w:proofErr w:type="spellEnd"/>
            <w:r w:rsidRPr="00791F12">
              <w:rPr>
                <w:color w:val="000000" w:themeColor="text1"/>
              </w:rPr>
              <w:t xml:space="preserve"> (CPIS) 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1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24C629DC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163398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7.7 ± 1.3</w:t>
                  </w:r>
                </w:p>
              </w:tc>
            </w:tr>
          </w:tbl>
          <w:p w14:paraId="6140960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64DC40C2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C80108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7.9 ± 1.5</w:t>
                  </w:r>
                </w:p>
              </w:tc>
            </w:tr>
          </w:tbl>
          <w:p w14:paraId="70AD3CC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11762592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0254A5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0.517</w:t>
                  </w:r>
                </w:p>
              </w:tc>
            </w:tr>
          </w:tbl>
          <w:p w14:paraId="7C8C0D8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</w:p>
        </w:tc>
      </w:tr>
      <w:tr w:rsidR="00046C2C" w:rsidRPr="00791F12" w14:paraId="4D3EC090" w14:textId="77777777" w:rsidTr="006B0EA2">
        <w:trPr>
          <w:jc w:val="center"/>
        </w:trPr>
        <w:tc>
          <w:tcPr>
            <w:tcW w:w="4531" w:type="dxa"/>
          </w:tcPr>
          <w:p w14:paraId="48C197E4" w14:textId="77777777" w:rsidR="00046C2C" w:rsidRPr="00791F12" w:rsidRDefault="00046C2C" w:rsidP="004323AE">
            <w:pPr>
              <w:spacing w:before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Clinical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Pulmonary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Infection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Score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(CPIS)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3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2ADD59D7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ECDCBF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4.9 ± 1.7</w:t>
                  </w:r>
                </w:p>
              </w:tc>
            </w:tr>
          </w:tbl>
          <w:p w14:paraId="08CC4767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5513E6E9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DBFA09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5.7 ± 1.9</w:t>
                  </w:r>
                </w:p>
              </w:tc>
            </w:tr>
          </w:tbl>
          <w:p w14:paraId="778E68F5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46C2C" w:rsidRPr="00791F12" w14:paraId="7880F394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D89EC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0.036</w:t>
                  </w:r>
                </w:p>
              </w:tc>
            </w:tr>
          </w:tbl>
          <w:p w14:paraId="060D7499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6C2C" w:rsidRPr="00791F12" w14:paraId="5B8798E8" w14:textId="77777777" w:rsidTr="006B0EA2">
        <w:trPr>
          <w:jc w:val="center"/>
        </w:trPr>
        <w:tc>
          <w:tcPr>
            <w:tcW w:w="4531" w:type="dxa"/>
          </w:tcPr>
          <w:p w14:paraId="7B6E29E1" w14:textId="77777777" w:rsidR="00046C2C" w:rsidRPr="00791F12" w:rsidRDefault="00046C2C" w:rsidP="004323AE">
            <w:pPr>
              <w:spacing w:before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Clinical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Pulmonary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Infection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Score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(CPIS)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5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3BD500CD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498736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3.8 ± 1.2</w:t>
                  </w:r>
                </w:p>
              </w:tc>
            </w:tr>
          </w:tbl>
          <w:p w14:paraId="758C9EAC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364ABDB9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B02366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5.0 ± 2.1</w:t>
                  </w:r>
                </w:p>
              </w:tc>
            </w:tr>
          </w:tbl>
          <w:p w14:paraId="6C5D287D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4CE72BC9" w14:textId="77777777" w:rsidR="00046C2C" w:rsidRPr="00791F12" w:rsidRDefault="00046C2C" w:rsidP="004323AE">
            <w:pPr>
              <w:spacing w:before="60"/>
              <w:jc w:val="both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 0.003</w:t>
            </w:r>
          </w:p>
        </w:tc>
      </w:tr>
      <w:tr w:rsidR="00046C2C" w:rsidRPr="00791F12" w14:paraId="02724CD2" w14:textId="77777777" w:rsidTr="006B0EA2">
        <w:trPr>
          <w:jc w:val="center"/>
        </w:trPr>
        <w:tc>
          <w:tcPr>
            <w:tcW w:w="4531" w:type="dxa"/>
          </w:tcPr>
          <w:p w14:paraId="7C01E2C8" w14:textId="77777777" w:rsidR="00046C2C" w:rsidRPr="00791F12" w:rsidRDefault="00046C2C" w:rsidP="004323AE">
            <w:pPr>
              <w:spacing w:before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Clinical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Pulmonary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Infection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Score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(CPIS)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7</w:t>
            </w:r>
          </w:p>
        </w:tc>
        <w:tc>
          <w:tcPr>
            <w:tcW w:w="15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36F775D0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65FF13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3.4 ± 1.2</w:t>
                  </w:r>
                </w:p>
              </w:tc>
            </w:tr>
          </w:tbl>
          <w:p w14:paraId="4E6F746B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046C2C" w:rsidRPr="00791F12" w14:paraId="2974D8FD" w14:textId="77777777" w:rsidTr="00432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D20E21" w14:textId="77777777" w:rsidR="00046C2C" w:rsidRPr="00791F12" w:rsidRDefault="00046C2C" w:rsidP="0043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91F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4.5 ± 2.1</w:t>
                  </w:r>
                </w:p>
              </w:tc>
            </w:tr>
          </w:tbl>
          <w:p w14:paraId="02B522F4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7A0A913A" w14:textId="77777777" w:rsidR="00046C2C" w:rsidRPr="00791F12" w:rsidRDefault="00046C2C" w:rsidP="004323AE">
            <w:pPr>
              <w:spacing w:before="60"/>
              <w:jc w:val="both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 0.005</w:t>
            </w:r>
          </w:p>
        </w:tc>
      </w:tr>
      <w:tr w:rsidR="00046C2C" w:rsidRPr="00791F12" w14:paraId="0AD3377C" w14:textId="77777777" w:rsidTr="004323AE">
        <w:trPr>
          <w:jc w:val="center"/>
        </w:trPr>
        <w:tc>
          <w:tcPr>
            <w:tcW w:w="8653" w:type="dxa"/>
            <w:gridSpan w:val="4"/>
          </w:tcPr>
          <w:p w14:paraId="75F9CA4F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 xml:space="preserve">₂, </w:t>
            </w:r>
            <w:proofErr w:type="spellStart"/>
            <w:r w:rsidRPr="00791F12">
              <w:rPr>
                <w:color w:val="000000" w:themeColor="text1"/>
              </w:rPr>
              <w:t>arterial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partial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pressure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oxygen</w:t>
            </w:r>
            <w:proofErr w:type="spellEnd"/>
            <w:r w:rsidRPr="00791F12">
              <w:rPr>
                <w:color w:val="000000" w:themeColor="text1"/>
              </w:rPr>
              <w:t xml:space="preserve">; 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 xml:space="preserve">₂, </w:t>
            </w:r>
            <w:proofErr w:type="spellStart"/>
            <w:r w:rsidRPr="00791F12">
              <w:rPr>
                <w:color w:val="000000" w:themeColor="text1"/>
              </w:rPr>
              <w:t>fraction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inspired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oxygen</w:t>
            </w:r>
            <w:proofErr w:type="spellEnd"/>
          </w:p>
        </w:tc>
      </w:tr>
    </w:tbl>
    <w:p w14:paraId="6404411F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9344296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4EB36BB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7.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Causative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Microorganism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Groups</w:t>
      </w:r>
      <w:proofErr w:type="spellEnd"/>
    </w:p>
    <w:tbl>
      <w:tblPr>
        <w:tblStyle w:val="TabloKlavuzu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4300"/>
        <w:gridCol w:w="1400"/>
        <w:gridCol w:w="1401"/>
        <w:gridCol w:w="1121"/>
      </w:tblGrid>
      <w:tr w:rsidR="00046C2C" w:rsidRPr="00791F12" w14:paraId="723B45D1" w14:textId="77777777" w:rsidTr="004323AE">
        <w:trPr>
          <w:jc w:val="center"/>
        </w:trPr>
        <w:tc>
          <w:tcPr>
            <w:tcW w:w="4300" w:type="dxa"/>
            <w:vAlign w:val="center"/>
          </w:tcPr>
          <w:p w14:paraId="6E9F6D49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1400" w:type="dxa"/>
            <w:vAlign w:val="center"/>
          </w:tcPr>
          <w:p w14:paraId="7530830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STTG (n=35)</w:t>
            </w:r>
          </w:p>
        </w:tc>
        <w:tc>
          <w:tcPr>
            <w:tcW w:w="1401" w:type="dxa"/>
            <w:vAlign w:val="center"/>
          </w:tcPr>
          <w:p w14:paraId="61207B89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LTTG (n=112)</w:t>
            </w:r>
          </w:p>
        </w:tc>
        <w:tc>
          <w:tcPr>
            <w:tcW w:w="1121" w:type="dxa"/>
            <w:vAlign w:val="center"/>
          </w:tcPr>
          <w:p w14:paraId="363033A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791F12">
              <w:rPr>
                <w:b/>
                <w:bCs/>
              </w:rPr>
              <w:t>p</w:t>
            </w:r>
            <w:proofErr w:type="gram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value</w:t>
            </w:r>
            <w:proofErr w:type="spellEnd"/>
          </w:p>
        </w:tc>
      </w:tr>
      <w:tr w:rsidR="00046C2C" w:rsidRPr="00791F12" w14:paraId="397909A8" w14:textId="77777777" w:rsidTr="004323AE">
        <w:trPr>
          <w:jc w:val="center"/>
        </w:trPr>
        <w:tc>
          <w:tcPr>
            <w:tcW w:w="4300" w:type="dxa"/>
          </w:tcPr>
          <w:p w14:paraId="66F25830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r w:rsidRPr="00791F12">
              <w:t xml:space="preserve">VAP </w:t>
            </w:r>
            <w:proofErr w:type="spellStart"/>
            <w:r w:rsidRPr="00791F12">
              <w:t>pathogen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pattern</w:t>
            </w:r>
            <w:proofErr w:type="spellEnd"/>
            <w:r w:rsidRPr="00791F12">
              <w:t>, n (%)</w:t>
            </w:r>
            <w:r w:rsidRPr="00791F12">
              <w:rPr>
                <w:color w:val="000000" w:themeColor="text1"/>
              </w:rPr>
              <w:t xml:space="preserve"> </w:t>
            </w:r>
          </w:p>
          <w:p w14:paraId="7A2E0D9D" w14:textId="77777777" w:rsidR="00046C2C" w:rsidRPr="00791F12" w:rsidRDefault="00046C2C" w:rsidP="004323AE">
            <w:pPr>
              <w:spacing w:before="40" w:after="40"/>
            </w:pPr>
            <w:proofErr w:type="spellStart"/>
            <w:r w:rsidRPr="00791F12">
              <w:t>None</w:t>
            </w:r>
            <w:proofErr w:type="spellEnd"/>
          </w:p>
          <w:p w14:paraId="53CD3A9E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t>Monomicrobial</w:t>
            </w:r>
            <w:proofErr w:type="spellEnd"/>
          </w:p>
          <w:p w14:paraId="034E9F89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Polymicrobial</w:t>
            </w:r>
            <w:proofErr w:type="spellEnd"/>
          </w:p>
        </w:tc>
        <w:tc>
          <w:tcPr>
            <w:tcW w:w="1400" w:type="dxa"/>
          </w:tcPr>
          <w:p w14:paraId="7A4AFFF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</w:p>
          <w:p w14:paraId="2A4AA597" w14:textId="77777777" w:rsidR="00046C2C" w:rsidRPr="00791F12" w:rsidRDefault="00046C2C" w:rsidP="004323AE">
            <w:pPr>
              <w:spacing w:before="40" w:after="40"/>
              <w:jc w:val="center"/>
            </w:pPr>
            <w:r w:rsidRPr="00791F12">
              <w:t>1 (2.9%)</w:t>
            </w:r>
          </w:p>
          <w:p w14:paraId="0CBF49D5" w14:textId="77777777" w:rsidR="00046C2C" w:rsidRPr="00791F12" w:rsidRDefault="00046C2C" w:rsidP="004323AE">
            <w:pPr>
              <w:spacing w:before="40" w:after="40"/>
              <w:jc w:val="center"/>
            </w:pPr>
            <w:r w:rsidRPr="00791F12">
              <w:t>7 (20.0%)</w:t>
            </w:r>
          </w:p>
          <w:p w14:paraId="218017C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27 (77.1%)</w:t>
            </w:r>
          </w:p>
        </w:tc>
        <w:tc>
          <w:tcPr>
            <w:tcW w:w="1401" w:type="dxa"/>
          </w:tcPr>
          <w:p w14:paraId="4A1D8F0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</w:p>
          <w:p w14:paraId="6B05CA6D" w14:textId="77777777" w:rsidR="00046C2C" w:rsidRPr="00791F12" w:rsidRDefault="00046C2C" w:rsidP="004323AE">
            <w:pPr>
              <w:spacing w:before="40" w:after="40"/>
              <w:jc w:val="center"/>
            </w:pPr>
            <w:r w:rsidRPr="00791F12">
              <w:t>10 (8.9%)</w:t>
            </w:r>
          </w:p>
          <w:p w14:paraId="5833963B" w14:textId="77777777" w:rsidR="00046C2C" w:rsidRPr="00791F12" w:rsidRDefault="00046C2C" w:rsidP="004323AE">
            <w:pPr>
              <w:spacing w:before="40" w:after="40"/>
              <w:jc w:val="center"/>
            </w:pPr>
            <w:r w:rsidRPr="00791F12">
              <w:t>35 (31.3%)</w:t>
            </w:r>
          </w:p>
          <w:p w14:paraId="4E173F28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67 (59.8%)</w:t>
            </w:r>
          </w:p>
        </w:tc>
        <w:tc>
          <w:tcPr>
            <w:tcW w:w="1121" w:type="dxa"/>
            <w:vAlign w:val="center"/>
          </w:tcPr>
          <w:p w14:paraId="6CDEC6A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0.154</w:t>
            </w:r>
          </w:p>
        </w:tc>
      </w:tr>
      <w:tr w:rsidR="00046C2C" w:rsidRPr="00791F12" w14:paraId="7209B35D" w14:textId="77777777" w:rsidTr="004323AE">
        <w:trPr>
          <w:jc w:val="center"/>
        </w:trPr>
        <w:tc>
          <w:tcPr>
            <w:tcW w:w="4300" w:type="dxa"/>
            <w:vAlign w:val="center"/>
          </w:tcPr>
          <w:p w14:paraId="73744307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Episodes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with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non-fermenter</w:t>
            </w:r>
            <w:proofErr w:type="spellEnd"/>
            <w:r w:rsidRPr="00791F12">
              <w:t xml:space="preserve"> Gram-</w:t>
            </w:r>
            <w:proofErr w:type="spellStart"/>
            <w:r w:rsidRPr="00791F12">
              <w:t>negative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bacilli</w:t>
            </w:r>
            <w:proofErr w:type="spellEnd"/>
            <w:r w:rsidRPr="00791F12">
              <w:t xml:space="preserve"> (NF-GNB), n (%)</w:t>
            </w:r>
          </w:p>
        </w:tc>
        <w:tc>
          <w:tcPr>
            <w:tcW w:w="1400" w:type="dxa"/>
            <w:vAlign w:val="center"/>
          </w:tcPr>
          <w:p w14:paraId="4E3C4AF2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26 (74.3%)</w:t>
            </w:r>
          </w:p>
        </w:tc>
        <w:tc>
          <w:tcPr>
            <w:tcW w:w="1401" w:type="dxa"/>
            <w:vAlign w:val="center"/>
          </w:tcPr>
          <w:p w14:paraId="7A13F2D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87 (77.7%)</w:t>
            </w:r>
          </w:p>
        </w:tc>
        <w:tc>
          <w:tcPr>
            <w:tcW w:w="1121" w:type="dxa"/>
            <w:vAlign w:val="center"/>
          </w:tcPr>
          <w:p w14:paraId="6A58F70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0.852</w:t>
            </w:r>
          </w:p>
        </w:tc>
      </w:tr>
      <w:tr w:rsidR="00046C2C" w:rsidRPr="00791F12" w14:paraId="6A241892" w14:textId="77777777" w:rsidTr="004323AE">
        <w:trPr>
          <w:jc w:val="center"/>
        </w:trPr>
        <w:tc>
          <w:tcPr>
            <w:tcW w:w="4300" w:type="dxa"/>
            <w:vAlign w:val="center"/>
          </w:tcPr>
          <w:p w14:paraId="7932DF3B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Episodes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with</w:t>
            </w:r>
            <w:proofErr w:type="spellEnd"/>
            <w:r w:rsidRPr="00791F12">
              <w:t xml:space="preserve"> Gram-</w:t>
            </w:r>
            <w:proofErr w:type="spellStart"/>
            <w:r w:rsidRPr="00791F12">
              <w:t>negative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microorganisms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other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than</w:t>
            </w:r>
            <w:proofErr w:type="spellEnd"/>
            <w:r w:rsidRPr="00791F12">
              <w:t xml:space="preserve"> NF-GNB, n (%)</w:t>
            </w:r>
          </w:p>
        </w:tc>
        <w:tc>
          <w:tcPr>
            <w:tcW w:w="1400" w:type="dxa"/>
            <w:vAlign w:val="center"/>
          </w:tcPr>
          <w:p w14:paraId="2FAAE2B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8 (22.9%)</w:t>
            </w:r>
          </w:p>
        </w:tc>
        <w:tc>
          <w:tcPr>
            <w:tcW w:w="1401" w:type="dxa"/>
            <w:vAlign w:val="center"/>
          </w:tcPr>
          <w:p w14:paraId="49C8E2F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12 (10.7%)</w:t>
            </w:r>
          </w:p>
        </w:tc>
        <w:tc>
          <w:tcPr>
            <w:tcW w:w="1121" w:type="dxa"/>
            <w:vAlign w:val="center"/>
          </w:tcPr>
          <w:p w14:paraId="3AB919E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0.121</w:t>
            </w:r>
          </w:p>
        </w:tc>
      </w:tr>
      <w:tr w:rsidR="00046C2C" w:rsidRPr="00791F12" w14:paraId="62E36C06" w14:textId="77777777" w:rsidTr="004323AE">
        <w:trPr>
          <w:jc w:val="center"/>
        </w:trPr>
        <w:tc>
          <w:tcPr>
            <w:tcW w:w="4300" w:type="dxa"/>
            <w:vAlign w:val="center"/>
          </w:tcPr>
          <w:p w14:paraId="05CF8ED5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t>Episodes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involving</w:t>
            </w:r>
            <w:proofErr w:type="spellEnd"/>
            <w:r w:rsidRPr="00791F12">
              <w:t xml:space="preserve"> Gram-</w:t>
            </w:r>
            <w:proofErr w:type="spellStart"/>
            <w:r w:rsidRPr="00791F12">
              <w:t>positive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pathogens</w:t>
            </w:r>
            <w:proofErr w:type="spellEnd"/>
            <w:r w:rsidRPr="00791F12">
              <w:t>, n (%)</w:t>
            </w:r>
          </w:p>
        </w:tc>
        <w:tc>
          <w:tcPr>
            <w:tcW w:w="1400" w:type="dxa"/>
            <w:vAlign w:val="center"/>
          </w:tcPr>
          <w:p w14:paraId="06A7232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8 (22.9%)</w:t>
            </w:r>
          </w:p>
        </w:tc>
        <w:tc>
          <w:tcPr>
            <w:tcW w:w="1401" w:type="dxa"/>
            <w:vAlign w:val="center"/>
          </w:tcPr>
          <w:p w14:paraId="54FD25C0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24 (21.4%)</w:t>
            </w:r>
          </w:p>
        </w:tc>
        <w:tc>
          <w:tcPr>
            <w:tcW w:w="1121" w:type="dxa"/>
            <w:vAlign w:val="center"/>
          </w:tcPr>
          <w:p w14:paraId="0E9E1DA1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t>0.601</w:t>
            </w:r>
          </w:p>
        </w:tc>
      </w:tr>
      <w:tr w:rsidR="00046C2C" w:rsidRPr="00791F12" w14:paraId="2FBEFD2F" w14:textId="77777777" w:rsidTr="004323AE">
        <w:trPr>
          <w:jc w:val="center"/>
        </w:trPr>
        <w:tc>
          <w:tcPr>
            <w:tcW w:w="8222" w:type="dxa"/>
            <w:gridSpan w:val="4"/>
          </w:tcPr>
          <w:p w14:paraId="49B40768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Abbreviations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: </w:t>
            </w:r>
            <w:r w:rsidRPr="00791F12">
              <w:rPr>
                <w:color w:val="000000" w:themeColor="text1"/>
              </w:rPr>
              <w:t xml:space="preserve">NF-GNB, </w:t>
            </w:r>
            <w:proofErr w:type="spellStart"/>
            <w:r w:rsidRPr="00791F12">
              <w:rPr>
                <w:color w:val="000000" w:themeColor="text1"/>
              </w:rPr>
              <w:t>non-fermenter</w:t>
            </w:r>
            <w:proofErr w:type="spellEnd"/>
            <w:r w:rsidRPr="00791F12">
              <w:rPr>
                <w:color w:val="000000" w:themeColor="text1"/>
              </w:rPr>
              <w:t xml:space="preserve"> Gram-</w:t>
            </w:r>
            <w:proofErr w:type="spellStart"/>
            <w:r w:rsidRPr="00791F12">
              <w:rPr>
                <w:color w:val="000000" w:themeColor="text1"/>
              </w:rPr>
              <w:t>negative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bacilli</w:t>
            </w:r>
            <w:proofErr w:type="spellEnd"/>
            <w:r w:rsidRPr="00791F12">
              <w:rPr>
                <w:color w:val="000000" w:themeColor="text1"/>
              </w:rPr>
              <w:t xml:space="preserve">; VAP, </w:t>
            </w:r>
            <w:proofErr w:type="spellStart"/>
            <w:r w:rsidRPr="00791F12">
              <w:rPr>
                <w:color w:val="000000" w:themeColor="text1"/>
              </w:rPr>
              <w:t>ventilator-associated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pneumonia</w:t>
            </w:r>
            <w:proofErr w:type="spellEnd"/>
            <w:r w:rsidRPr="00791F12">
              <w:rPr>
                <w:color w:val="000000" w:themeColor="text1"/>
              </w:rPr>
              <w:t>.</w:t>
            </w:r>
          </w:p>
          <w:p w14:paraId="1A8D09D5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</w:p>
        </w:tc>
      </w:tr>
    </w:tbl>
    <w:p w14:paraId="4D03AE85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EB6DE52" w14:textId="77777777" w:rsidR="006B0EA2" w:rsidRDefault="006B0EA2" w:rsidP="00046C2C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14AF1DF" w14:textId="4996869C" w:rsidR="00046C2C" w:rsidRPr="00791F12" w:rsidRDefault="00046C2C" w:rsidP="00046C2C">
      <w:pPr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8.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Regimens</w:t>
      </w:r>
      <w:proofErr w:type="spellEnd"/>
    </w:p>
    <w:tbl>
      <w:tblPr>
        <w:tblStyle w:val="TabloKlavuzu"/>
        <w:tblW w:w="82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661"/>
        <w:gridCol w:w="714"/>
        <w:gridCol w:w="1040"/>
      </w:tblGrid>
      <w:tr w:rsidR="00046C2C" w:rsidRPr="00791F12" w14:paraId="3D0B24BD" w14:textId="77777777" w:rsidTr="004323AE">
        <w:tc>
          <w:tcPr>
            <w:tcW w:w="3681" w:type="dxa"/>
            <w:vAlign w:val="center"/>
          </w:tcPr>
          <w:p w14:paraId="532DAB69" w14:textId="77777777" w:rsidR="00046C2C" w:rsidRPr="00791F12" w:rsidRDefault="00046C2C" w:rsidP="004323AE">
            <w:pPr>
              <w:spacing w:before="60" w:after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Parameter</w:t>
            </w:r>
            <w:proofErr w:type="spellEnd"/>
          </w:p>
        </w:tc>
        <w:tc>
          <w:tcPr>
            <w:tcW w:w="1134" w:type="dxa"/>
            <w:vAlign w:val="center"/>
          </w:tcPr>
          <w:p w14:paraId="1A15CC37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STTG </w:t>
            </w:r>
          </w:p>
          <w:p w14:paraId="51481121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(</w:t>
            </w:r>
            <w:proofErr w:type="gramStart"/>
            <w:r w:rsidRPr="00791F12">
              <w:rPr>
                <w:b/>
                <w:bCs/>
                <w:color w:val="000000" w:themeColor="text1"/>
              </w:rPr>
              <w:t>n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>=35)</w:t>
            </w:r>
          </w:p>
        </w:tc>
        <w:tc>
          <w:tcPr>
            <w:tcW w:w="992" w:type="dxa"/>
            <w:vAlign w:val="center"/>
          </w:tcPr>
          <w:p w14:paraId="54C5ECD6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LTTG (n=112)</w:t>
            </w:r>
          </w:p>
        </w:tc>
        <w:tc>
          <w:tcPr>
            <w:tcW w:w="661" w:type="dxa"/>
            <w:vAlign w:val="center"/>
          </w:tcPr>
          <w:p w14:paraId="481BC361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791F12">
              <w:rPr>
                <w:b/>
                <w:bCs/>
                <w:color w:val="000000" w:themeColor="text1"/>
              </w:rPr>
              <w:t>p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value</w:t>
            </w:r>
            <w:proofErr w:type="spellEnd"/>
          </w:p>
        </w:tc>
        <w:tc>
          <w:tcPr>
            <w:tcW w:w="714" w:type="dxa"/>
            <w:vAlign w:val="center"/>
          </w:tcPr>
          <w:p w14:paraId="6C2340D2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OR</w:t>
            </w:r>
          </w:p>
        </w:tc>
        <w:tc>
          <w:tcPr>
            <w:tcW w:w="1040" w:type="dxa"/>
            <w:vAlign w:val="center"/>
          </w:tcPr>
          <w:p w14:paraId="1F7A974D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95% CI</w:t>
            </w:r>
          </w:p>
        </w:tc>
      </w:tr>
      <w:tr w:rsidR="00046C2C" w:rsidRPr="00791F12" w14:paraId="5DE3CAE9" w14:textId="77777777" w:rsidTr="004323AE">
        <w:tc>
          <w:tcPr>
            <w:tcW w:w="3681" w:type="dxa"/>
          </w:tcPr>
          <w:p w14:paraId="6F8D303D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Initial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primary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antibiotic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regimen</w:t>
            </w:r>
            <w:proofErr w:type="spellEnd"/>
            <w:r w:rsidRPr="00791F12">
              <w:rPr>
                <w:color w:val="000000" w:themeColor="text1"/>
              </w:rPr>
              <w:t xml:space="preserve">, n (%)   </w:t>
            </w:r>
          </w:p>
          <w:p w14:paraId="16807C3D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            Meropenem / </w:t>
            </w:r>
            <w:proofErr w:type="spellStart"/>
            <w:r w:rsidRPr="00791F12">
              <w:rPr>
                <w:color w:val="000000" w:themeColor="text1"/>
              </w:rPr>
              <w:t>Imipenem</w:t>
            </w:r>
            <w:proofErr w:type="spellEnd"/>
          </w:p>
          <w:p w14:paraId="5A2AEF2C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Ceftazidime</w:t>
            </w:r>
            <w:proofErr w:type="spellEnd"/>
            <w:r w:rsidRPr="00791F12">
              <w:rPr>
                <w:color w:val="000000" w:themeColor="text1"/>
              </w:rPr>
              <w:t xml:space="preserve"> / </w:t>
            </w:r>
            <w:proofErr w:type="spellStart"/>
            <w:r w:rsidRPr="00791F12">
              <w:rPr>
                <w:color w:val="000000" w:themeColor="text1"/>
              </w:rPr>
              <w:t>Cefoperazone</w:t>
            </w:r>
            <w:proofErr w:type="spellEnd"/>
          </w:p>
          <w:p w14:paraId="3C2661F9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Piperacillin</w:t>
            </w:r>
            <w:proofErr w:type="spellEnd"/>
            <w:r w:rsidRPr="00791F12">
              <w:rPr>
                <w:color w:val="000000" w:themeColor="text1"/>
              </w:rPr>
              <w:t>–</w:t>
            </w:r>
            <w:proofErr w:type="spellStart"/>
            <w:r w:rsidRPr="00791F12">
              <w:rPr>
                <w:color w:val="000000" w:themeColor="text1"/>
              </w:rPr>
              <w:t>tazobactam</w:t>
            </w:r>
            <w:proofErr w:type="spellEnd"/>
          </w:p>
          <w:p w14:paraId="27895205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Other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antibiotics</w:t>
            </w:r>
            <w:proofErr w:type="spellEnd"/>
          </w:p>
        </w:tc>
        <w:tc>
          <w:tcPr>
            <w:tcW w:w="1134" w:type="dxa"/>
            <w:vAlign w:val="center"/>
          </w:tcPr>
          <w:p w14:paraId="5A1C450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</w:p>
          <w:p w14:paraId="09904A9A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 (11.4%)</w:t>
            </w:r>
          </w:p>
          <w:p w14:paraId="7F8AA67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 (20%)</w:t>
            </w:r>
          </w:p>
          <w:p w14:paraId="05224AF4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16 (45.7%)</w:t>
            </w:r>
          </w:p>
          <w:p w14:paraId="0FA22D03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 (22.9%)</w:t>
            </w:r>
          </w:p>
        </w:tc>
        <w:tc>
          <w:tcPr>
            <w:tcW w:w="992" w:type="dxa"/>
            <w:vAlign w:val="center"/>
          </w:tcPr>
          <w:p w14:paraId="5BA592AC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</w:p>
          <w:p w14:paraId="79F8AE5E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32 (28.6%)</w:t>
            </w:r>
          </w:p>
          <w:p w14:paraId="54463CD7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26 (23.2%)</w:t>
            </w:r>
          </w:p>
          <w:p w14:paraId="2598E524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29 (25.9%)</w:t>
            </w:r>
          </w:p>
          <w:p w14:paraId="759B522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25 (22.3%)</w:t>
            </w:r>
          </w:p>
        </w:tc>
        <w:tc>
          <w:tcPr>
            <w:tcW w:w="661" w:type="dxa"/>
            <w:vAlign w:val="center"/>
          </w:tcPr>
          <w:p w14:paraId="62AC2F6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</w:p>
          <w:p w14:paraId="02A2B4D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0,080</w:t>
            </w:r>
          </w:p>
        </w:tc>
        <w:tc>
          <w:tcPr>
            <w:tcW w:w="714" w:type="dxa"/>
            <w:vAlign w:val="center"/>
          </w:tcPr>
          <w:p w14:paraId="37018290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</w:p>
        </w:tc>
        <w:tc>
          <w:tcPr>
            <w:tcW w:w="1040" w:type="dxa"/>
            <w:vAlign w:val="center"/>
          </w:tcPr>
          <w:p w14:paraId="4FFAA6F4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</w:p>
        </w:tc>
      </w:tr>
      <w:tr w:rsidR="00046C2C" w:rsidRPr="00791F12" w14:paraId="651C6F94" w14:textId="77777777" w:rsidTr="004323AE">
        <w:tc>
          <w:tcPr>
            <w:tcW w:w="3681" w:type="dxa"/>
            <w:vAlign w:val="center"/>
          </w:tcPr>
          <w:p w14:paraId="06EC388C" w14:textId="77777777" w:rsidR="00046C2C" w:rsidRPr="00791F12" w:rsidRDefault="00046C2C" w:rsidP="004323AE">
            <w:pPr>
              <w:spacing w:before="60" w:after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Colistin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included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in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initial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regimen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2F41F58D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9 (25.7%)</w:t>
            </w:r>
          </w:p>
        </w:tc>
        <w:tc>
          <w:tcPr>
            <w:tcW w:w="992" w:type="dxa"/>
            <w:vAlign w:val="center"/>
          </w:tcPr>
          <w:p w14:paraId="1075FFE3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53 (47.3%)</w:t>
            </w:r>
          </w:p>
        </w:tc>
        <w:tc>
          <w:tcPr>
            <w:tcW w:w="661" w:type="dxa"/>
            <w:vAlign w:val="center"/>
          </w:tcPr>
          <w:p w14:paraId="19E65CE4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0.039</w:t>
            </w:r>
          </w:p>
        </w:tc>
        <w:tc>
          <w:tcPr>
            <w:tcW w:w="714" w:type="dxa"/>
            <w:vAlign w:val="center"/>
          </w:tcPr>
          <w:p w14:paraId="35865DDC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0.39</w:t>
            </w:r>
          </w:p>
        </w:tc>
        <w:tc>
          <w:tcPr>
            <w:tcW w:w="1040" w:type="dxa"/>
            <w:vAlign w:val="center"/>
          </w:tcPr>
          <w:p w14:paraId="7ECBA240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0.15–0.96</w:t>
            </w:r>
          </w:p>
        </w:tc>
      </w:tr>
      <w:tr w:rsidR="00046C2C" w:rsidRPr="00791F12" w14:paraId="5BE9E527" w14:textId="77777777" w:rsidTr="004323AE">
        <w:tc>
          <w:tcPr>
            <w:tcW w:w="3681" w:type="dxa"/>
            <w:vAlign w:val="center"/>
          </w:tcPr>
          <w:p w14:paraId="0EF16433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Gram-</w:t>
            </w:r>
            <w:proofErr w:type="spellStart"/>
            <w:r w:rsidRPr="00791F12">
              <w:rPr>
                <w:color w:val="000000" w:themeColor="text1"/>
              </w:rPr>
              <w:t>positive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coverage</w:t>
            </w:r>
            <w:proofErr w:type="spellEnd"/>
            <w:r w:rsidRPr="00791F12">
              <w:rPr>
                <w:color w:val="000000" w:themeColor="text1"/>
              </w:rPr>
              <w:t xml:space="preserve"> in </w:t>
            </w:r>
            <w:proofErr w:type="spellStart"/>
            <w:r w:rsidRPr="00791F12">
              <w:rPr>
                <w:color w:val="000000" w:themeColor="text1"/>
              </w:rPr>
              <w:t>initial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regimen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5D9DAD6D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 (20.0%)</w:t>
            </w:r>
          </w:p>
        </w:tc>
        <w:tc>
          <w:tcPr>
            <w:tcW w:w="992" w:type="dxa"/>
            <w:vAlign w:val="center"/>
          </w:tcPr>
          <w:p w14:paraId="05131195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26 (23.2%)</w:t>
            </w:r>
          </w:p>
        </w:tc>
        <w:tc>
          <w:tcPr>
            <w:tcW w:w="661" w:type="dxa"/>
            <w:vAlign w:val="center"/>
          </w:tcPr>
          <w:p w14:paraId="47963295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0.868</w:t>
            </w:r>
          </w:p>
        </w:tc>
        <w:tc>
          <w:tcPr>
            <w:tcW w:w="714" w:type="dxa"/>
            <w:vAlign w:val="center"/>
          </w:tcPr>
          <w:p w14:paraId="681F5378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40" w:type="dxa"/>
            <w:vAlign w:val="center"/>
          </w:tcPr>
          <w:p w14:paraId="14D21E87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3A643CA7" w14:textId="77777777" w:rsidTr="004323AE">
        <w:tc>
          <w:tcPr>
            <w:tcW w:w="3681" w:type="dxa"/>
            <w:vAlign w:val="center"/>
          </w:tcPr>
          <w:p w14:paraId="3708E747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Aminoglycoside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or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quinolone</w:t>
            </w:r>
            <w:proofErr w:type="spellEnd"/>
            <w:r w:rsidRPr="00791F12">
              <w:rPr>
                <w:color w:val="000000" w:themeColor="text1"/>
              </w:rPr>
              <w:t xml:space="preserve"> in </w:t>
            </w:r>
            <w:proofErr w:type="spellStart"/>
            <w:r w:rsidRPr="00791F12">
              <w:rPr>
                <w:color w:val="000000" w:themeColor="text1"/>
              </w:rPr>
              <w:t>initial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regimen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6B9D6E06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 (11.4%)</w:t>
            </w:r>
          </w:p>
        </w:tc>
        <w:tc>
          <w:tcPr>
            <w:tcW w:w="992" w:type="dxa"/>
            <w:vAlign w:val="center"/>
          </w:tcPr>
          <w:p w14:paraId="1192D737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 (7.1%)</w:t>
            </w:r>
          </w:p>
        </w:tc>
        <w:tc>
          <w:tcPr>
            <w:tcW w:w="661" w:type="dxa"/>
            <w:vAlign w:val="center"/>
          </w:tcPr>
          <w:p w14:paraId="49571659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0.480</w:t>
            </w:r>
          </w:p>
        </w:tc>
        <w:tc>
          <w:tcPr>
            <w:tcW w:w="714" w:type="dxa"/>
            <w:vAlign w:val="center"/>
          </w:tcPr>
          <w:p w14:paraId="2D01251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40" w:type="dxa"/>
            <w:vAlign w:val="center"/>
          </w:tcPr>
          <w:p w14:paraId="1FF94F4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511C5AA3" w14:textId="77777777" w:rsidTr="004323AE">
        <w:tc>
          <w:tcPr>
            <w:tcW w:w="3681" w:type="dxa"/>
            <w:vAlign w:val="center"/>
          </w:tcPr>
          <w:p w14:paraId="327799ED" w14:textId="77777777" w:rsidR="00046C2C" w:rsidRPr="00791F12" w:rsidRDefault="00046C2C" w:rsidP="004323AE">
            <w:pPr>
              <w:spacing w:before="60" w:after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Episodes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requiring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modification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during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follow-up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3158E8F9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8 (22.9%)</w:t>
            </w:r>
          </w:p>
        </w:tc>
        <w:tc>
          <w:tcPr>
            <w:tcW w:w="992" w:type="dxa"/>
            <w:vAlign w:val="center"/>
          </w:tcPr>
          <w:p w14:paraId="3AEE640F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63 (56.3%)</w:t>
            </w:r>
          </w:p>
        </w:tc>
        <w:tc>
          <w:tcPr>
            <w:tcW w:w="661" w:type="dxa"/>
            <w:vAlign w:val="center"/>
          </w:tcPr>
          <w:p w14:paraId="668177DA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0.001</w:t>
            </w:r>
          </w:p>
        </w:tc>
        <w:tc>
          <w:tcPr>
            <w:tcW w:w="714" w:type="dxa"/>
            <w:vAlign w:val="center"/>
          </w:tcPr>
          <w:p w14:paraId="0FDFCF53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0.23</w:t>
            </w:r>
          </w:p>
        </w:tc>
        <w:tc>
          <w:tcPr>
            <w:tcW w:w="1040" w:type="dxa"/>
            <w:vAlign w:val="center"/>
          </w:tcPr>
          <w:p w14:paraId="18215090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0.09–0.59</w:t>
            </w:r>
          </w:p>
        </w:tc>
      </w:tr>
      <w:tr w:rsidR="00046C2C" w:rsidRPr="00791F12" w14:paraId="73F766B9" w14:textId="77777777" w:rsidTr="004323AE">
        <w:tc>
          <w:tcPr>
            <w:tcW w:w="3681" w:type="dxa"/>
            <w:vAlign w:val="center"/>
          </w:tcPr>
          <w:p w14:paraId="47CDED24" w14:textId="77777777" w:rsidR="00046C2C" w:rsidRPr="00791F12" w:rsidRDefault="00046C2C" w:rsidP="004323AE">
            <w:pPr>
              <w:spacing w:before="60" w:after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Day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modification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mean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± SD)</w:t>
            </w:r>
          </w:p>
        </w:tc>
        <w:tc>
          <w:tcPr>
            <w:tcW w:w="1134" w:type="dxa"/>
            <w:vAlign w:val="center"/>
          </w:tcPr>
          <w:p w14:paraId="420F5452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2.3 ± 1.3 </w:t>
            </w:r>
          </w:p>
          <w:p w14:paraId="6122AA40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(</w:t>
            </w:r>
            <w:proofErr w:type="gramStart"/>
            <w:r w:rsidRPr="00791F12">
              <w:rPr>
                <w:b/>
                <w:bCs/>
                <w:color w:val="000000" w:themeColor="text1"/>
              </w:rPr>
              <w:t>n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>=8)</w:t>
            </w:r>
          </w:p>
        </w:tc>
        <w:tc>
          <w:tcPr>
            <w:tcW w:w="992" w:type="dxa"/>
            <w:vAlign w:val="center"/>
          </w:tcPr>
          <w:p w14:paraId="09EA38A3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5.7 ± 3.9 (n=63)</w:t>
            </w:r>
          </w:p>
        </w:tc>
        <w:tc>
          <w:tcPr>
            <w:tcW w:w="661" w:type="dxa"/>
            <w:vAlign w:val="center"/>
          </w:tcPr>
          <w:p w14:paraId="798B8174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0.007</w:t>
            </w:r>
          </w:p>
        </w:tc>
        <w:tc>
          <w:tcPr>
            <w:tcW w:w="714" w:type="dxa"/>
            <w:vAlign w:val="center"/>
          </w:tcPr>
          <w:p w14:paraId="77F240D7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–</w:t>
            </w:r>
          </w:p>
        </w:tc>
        <w:tc>
          <w:tcPr>
            <w:tcW w:w="1040" w:type="dxa"/>
            <w:vAlign w:val="center"/>
          </w:tcPr>
          <w:p w14:paraId="23AE6222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–</w:t>
            </w:r>
          </w:p>
        </w:tc>
      </w:tr>
      <w:tr w:rsidR="00046C2C" w:rsidRPr="00791F12" w14:paraId="2FD16C0F" w14:textId="77777777" w:rsidTr="004323AE">
        <w:tc>
          <w:tcPr>
            <w:tcW w:w="3681" w:type="dxa"/>
            <w:vAlign w:val="center"/>
          </w:tcPr>
          <w:p w14:paraId="752CC622" w14:textId="77777777" w:rsidR="00046C2C" w:rsidRPr="00791F12" w:rsidRDefault="00046C2C" w:rsidP="004323AE">
            <w:pPr>
              <w:spacing w:before="60" w:after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Appropriate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empirical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therapy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51B9FB2A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32 (91.4%)</w:t>
            </w:r>
          </w:p>
        </w:tc>
        <w:tc>
          <w:tcPr>
            <w:tcW w:w="992" w:type="dxa"/>
            <w:vAlign w:val="center"/>
          </w:tcPr>
          <w:p w14:paraId="66E55AFD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80 (71.4%)</w:t>
            </w:r>
          </w:p>
        </w:tc>
        <w:tc>
          <w:tcPr>
            <w:tcW w:w="661" w:type="dxa"/>
            <w:vAlign w:val="center"/>
          </w:tcPr>
          <w:p w14:paraId="07E088DC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0.021</w:t>
            </w:r>
          </w:p>
        </w:tc>
        <w:tc>
          <w:tcPr>
            <w:tcW w:w="714" w:type="dxa"/>
            <w:vAlign w:val="center"/>
          </w:tcPr>
          <w:p w14:paraId="4BEF1771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4.27</w:t>
            </w:r>
          </w:p>
        </w:tc>
        <w:tc>
          <w:tcPr>
            <w:tcW w:w="1040" w:type="dxa"/>
            <w:vAlign w:val="center"/>
          </w:tcPr>
          <w:p w14:paraId="2E633ABF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1.14–18.85</w:t>
            </w:r>
          </w:p>
        </w:tc>
      </w:tr>
      <w:tr w:rsidR="00046C2C" w:rsidRPr="00791F12" w14:paraId="5D9E7F27" w14:textId="77777777" w:rsidTr="004323AE">
        <w:tc>
          <w:tcPr>
            <w:tcW w:w="3681" w:type="dxa"/>
            <w:vAlign w:val="center"/>
          </w:tcPr>
          <w:p w14:paraId="102B378C" w14:textId="77777777" w:rsidR="00046C2C" w:rsidRPr="00791F12" w:rsidRDefault="00046C2C" w:rsidP="004323AE">
            <w:pPr>
              <w:spacing w:before="60" w:after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Appropriateness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initial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therapy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according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identified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pathogen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1134" w:type="dxa"/>
            <w:vAlign w:val="center"/>
          </w:tcPr>
          <w:p w14:paraId="64FE9CE5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31 (91.2%) (n=34)</w:t>
            </w:r>
          </w:p>
        </w:tc>
        <w:tc>
          <w:tcPr>
            <w:tcW w:w="992" w:type="dxa"/>
            <w:vAlign w:val="center"/>
          </w:tcPr>
          <w:p w14:paraId="16D5EF63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73 (71.6%) (n=102)</w:t>
            </w:r>
          </w:p>
        </w:tc>
        <w:tc>
          <w:tcPr>
            <w:tcW w:w="661" w:type="dxa"/>
            <w:vAlign w:val="center"/>
          </w:tcPr>
          <w:p w14:paraId="284D558D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0.035</w:t>
            </w:r>
          </w:p>
        </w:tc>
        <w:tc>
          <w:tcPr>
            <w:tcW w:w="714" w:type="dxa"/>
            <w:vAlign w:val="center"/>
          </w:tcPr>
          <w:p w14:paraId="39D7B89F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4.11</w:t>
            </w:r>
          </w:p>
        </w:tc>
        <w:tc>
          <w:tcPr>
            <w:tcW w:w="1040" w:type="dxa"/>
            <w:vAlign w:val="center"/>
          </w:tcPr>
          <w:p w14:paraId="23D280A8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1.08–18.31</w:t>
            </w:r>
          </w:p>
        </w:tc>
      </w:tr>
      <w:tr w:rsidR="00046C2C" w:rsidRPr="00791F12" w14:paraId="6A0DCBD2" w14:textId="77777777" w:rsidTr="004323AE">
        <w:tc>
          <w:tcPr>
            <w:tcW w:w="3681" w:type="dxa"/>
            <w:vAlign w:val="center"/>
          </w:tcPr>
          <w:p w14:paraId="2480D802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Colistin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added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after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modification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7DEB7A39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 (2.9%)</w:t>
            </w:r>
          </w:p>
        </w:tc>
        <w:tc>
          <w:tcPr>
            <w:tcW w:w="992" w:type="dxa"/>
            <w:vAlign w:val="center"/>
          </w:tcPr>
          <w:p w14:paraId="4DBCD11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17 (15.2%)</w:t>
            </w:r>
          </w:p>
        </w:tc>
        <w:tc>
          <w:tcPr>
            <w:tcW w:w="661" w:type="dxa"/>
            <w:vAlign w:val="center"/>
          </w:tcPr>
          <w:p w14:paraId="5FAD7CD3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0.073</w:t>
            </w:r>
          </w:p>
        </w:tc>
        <w:tc>
          <w:tcPr>
            <w:tcW w:w="714" w:type="dxa"/>
            <w:vAlign w:val="center"/>
          </w:tcPr>
          <w:p w14:paraId="1D9A89F7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40" w:type="dxa"/>
            <w:vAlign w:val="center"/>
          </w:tcPr>
          <w:p w14:paraId="4CAB7E01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2A68BEDF" w14:textId="77777777" w:rsidTr="004323AE">
        <w:tc>
          <w:tcPr>
            <w:tcW w:w="3681" w:type="dxa"/>
            <w:vAlign w:val="center"/>
          </w:tcPr>
          <w:p w14:paraId="2E5120DD" w14:textId="77777777" w:rsidR="00046C2C" w:rsidRPr="00791F12" w:rsidRDefault="00046C2C" w:rsidP="004323AE">
            <w:pPr>
              <w:spacing w:before="60" w:after="6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Colistin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use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at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any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time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during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79669580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10 (28.6%)</w:t>
            </w:r>
          </w:p>
        </w:tc>
        <w:tc>
          <w:tcPr>
            <w:tcW w:w="992" w:type="dxa"/>
            <w:vAlign w:val="center"/>
          </w:tcPr>
          <w:p w14:paraId="6F8239D2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70 (62.5%)</w:t>
            </w:r>
          </w:p>
        </w:tc>
        <w:tc>
          <w:tcPr>
            <w:tcW w:w="661" w:type="dxa"/>
            <w:vAlign w:val="center"/>
          </w:tcPr>
          <w:p w14:paraId="71F123E6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&lt;0.001</w:t>
            </w:r>
          </w:p>
        </w:tc>
        <w:tc>
          <w:tcPr>
            <w:tcW w:w="714" w:type="dxa"/>
            <w:vAlign w:val="center"/>
          </w:tcPr>
          <w:p w14:paraId="4AFB1D13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0.24</w:t>
            </w:r>
          </w:p>
        </w:tc>
        <w:tc>
          <w:tcPr>
            <w:tcW w:w="1040" w:type="dxa"/>
            <w:vAlign w:val="center"/>
          </w:tcPr>
          <w:p w14:paraId="1E9738BF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0.10–0.59</w:t>
            </w:r>
          </w:p>
        </w:tc>
      </w:tr>
      <w:tr w:rsidR="00046C2C" w:rsidRPr="00791F12" w14:paraId="3E19BF01" w14:textId="77777777" w:rsidTr="004323AE">
        <w:tc>
          <w:tcPr>
            <w:tcW w:w="3681" w:type="dxa"/>
            <w:vAlign w:val="center"/>
          </w:tcPr>
          <w:p w14:paraId="0F6F2F6E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Gram-</w:t>
            </w:r>
            <w:proofErr w:type="spellStart"/>
            <w:r w:rsidRPr="00791F12">
              <w:rPr>
                <w:color w:val="000000" w:themeColor="text1"/>
              </w:rPr>
              <w:t>positive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agent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added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after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modification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377B4E34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 (11.4%)</w:t>
            </w:r>
          </w:p>
        </w:tc>
        <w:tc>
          <w:tcPr>
            <w:tcW w:w="992" w:type="dxa"/>
            <w:vAlign w:val="center"/>
          </w:tcPr>
          <w:p w14:paraId="1073E00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17 (15.2%)</w:t>
            </w:r>
          </w:p>
        </w:tc>
        <w:tc>
          <w:tcPr>
            <w:tcW w:w="661" w:type="dxa"/>
            <w:vAlign w:val="center"/>
          </w:tcPr>
          <w:p w14:paraId="486757A5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0.782</w:t>
            </w:r>
          </w:p>
        </w:tc>
        <w:tc>
          <w:tcPr>
            <w:tcW w:w="714" w:type="dxa"/>
            <w:vAlign w:val="center"/>
          </w:tcPr>
          <w:p w14:paraId="3F9A379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40" w:type="dxa"/>
            <w:vAlign w:val="center"/>
          </w:tcPr>
          <w:p w14:paraId="1A54B11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76B703CC" w14:textId="77777777" w:rsidTr="004323AE">
        <w:tc>
          <w:tcPr>
            <w:tcW w:w="3681" w:type="dxa"/>
            <w:vAlign w:val="center"/>
          </w:tcPr>
          <w:p w14:paraId="7CC15D6E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Gram-</w:t>
            </w:r>
            <w:proofErr w:type="spellStart"/>
            <w:r w:rsidRPr="00791F12">
              <w:rPr>
                <w:color w:val="000000" w:themeColor="text1"/>
              </w:rPr>
              <w:t>positive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therapy</w:t>
            </w:r>
            <w:proofErr w:type="spellEnd"/>
            <w:r w:rsidRPr="00791F12">
              <w:rPr>
                <w:color w:val="000000" w:themeColor="text1"/>
              </w:rPr>
              <w:t xml:space="preserve"> at </w:t>
            </w:r>
            <w:proofErr w:type="spellStart"/>
            <w:r w:rsidRPr="00791F12">
              <w:rPr>
                <w:color w:val="000000" w:themeColor="text1"/>
              </w:rPr>
              <w:t>any</w:t>
            </w:r>
            <w:proofErr w:type="spellEnd"/>
            <w:r w:rsidRPr="00791F12">
              <w:rPr>
                <w:color w:val="000000" w:themeColor="text1"/>
              </w:rPr>
              <w:t xml:space="preserve"> time </w:t>
            </w:r>
            <w:proofErr w:type="spellStart"/>
            <w:r w:rsidRPr="00791F12">
              <w:rPr>
                <w:color w:val="000000" w:themeColor="text1"/>
              </w:rPr>
              <w:t>during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212A3D86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10 (28.6%)</w:t>
            </w:r>
          </w:p>
        </w:tc>
        <w:tc>
          <w:tcPr>
            <w:tcW w:w="992" w:type="dxa"/>
            <w:vAlign w:val="center"/>
          </w:tcPr>
          <w:p w14:paraId="6C86FB3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42 (37.5%)</w:t>
            </w:r>
          </w:p>
        </w:tc>
        <w:tc>
          <w:tcPr>
            <w:tcW w:w="661" w:type="dxa"/>
            <w:vAlign w:val="center"/>
          </w:tcPr>
          <w:p w14:paraId="115F8BE0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0.446</w:t>
            </w:r>
          </w:p>
        </w:tc>
        <w:tc>
          <w:tcPr>
            <w:tcW w:w="714" w:type="dxa"/>
            <w:vAlign w:val="center"/>
          </w:tcPr>
          <w:p w14:paraId="1985DAA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40" w:type="dxa"/>
            <w:vAlign w:val="center"/>
          </w:tcPr>
          <w:p w14:paraId="3F212C8D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043796CC" w14:textId="77777777" w:rsidTr="004323AE">
        <w:tc>
          <w:tcPr>
            <w:tcW w:w="3681" w:type="dxa"/>
            <w:vAlign w:val="center"/>
          </w:tcPr>
          <w:p w14:paraId="66199C7F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Inhaled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colistin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added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134" w:type="dxa"/>
            <w:vAlign w:val="center"/>
          </w:tcPr>
          <w:p w14:paraId="7F95A9D8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 (2.9%)</w:t>
            </w:r>
          </w:p>
        </w:tc>
        <w:tc>
          <w:tcPr>
            <w:tcW w:w="992" w:type="dxa"/>
            <w:vAlign w:val="center"/>
          </w:tcPr>
          <w:p w14:paraId="2BA1D16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16 (14.3%)</w:t>
            </w:r>
          </w:p>
        </w:tc>
        <w:tc>
          <w:tcPr>
            <w:tcW w:w="661" w:type="dxa"/>
            <w:vAlign w:val="center"/>
          </w:tcPr>
          <w:p w14:paraId="79EA77A3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0.074</w:t>
            </w:r>
          </w:p>
        </w:tc>
        <w:tc>
          <w:tcPr>
            <w:tcW w:w="714" w:type="dxa"/>
            <w:vAlign w:val="center"/>
          </w:tcPr>
          <w:p w14:paraId="32FC9CA8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40" w:type="dxa"/>
            <w:vAlign w:val="center"/>
          </w:tcPr>
          <w:p w14:paraId="20129700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67371A7D" w14:textId="77777777" w:rsidTr="004323AE">
        <w:tc>
          <w:tcPr>
            <w:tcW w:w="8222" w:type="dxa"/>
            <w:gridSpan w:val="6"/>
            <w:vAlign w:val="center"/>
          </w:tcPr>
          <w:p w14:paraId="63A0C1A3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Abbreviations</w:t>
            </w:r>
            <w:proofErr w:type="spellEnd"/>
            <w:r w:rsidRPr="00791F12">
              <w:rPr>
                <w:color w:val="000000" w:themeColor="text1"/>
              </w:rPr>
              <w:t xml:space="preserve">: OR, </w:t>
            </w:r>
            <w:proofErr w:type="spellStart"/>
            <w:r w:rsidRPr="00791F12">
              <w:rPr>
                <w:color w:val="000000" w:themeColor="text1"/>
              </w:rPr>
              <w:t>odds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ratio</w:t>
            </w:r>
            <w:proofErr w:type="spellEnd"/>
            <w:r w:rsidRPr="00791F12">
              <w:rPr>
                <w:color w:val="000000" w:themeColor="text1"/>
              </w:rPr>
              <w:t xml:space="preserve">; CI, </w:t>
            </w:r>
            <w:proofErr w:type="spellStart"/>
            <w:r w:rsidRPr="00791F12">
              <w:rPr>
                <w:color w:val="000000" w:themeColor="text1"/>
              </w:rPr>
              <w:t>confidence</w:t>
            </w:r>
            <w:proofErr w:type="spellEnd"/>
            <w:r w:rsidRPr="00791F12">
              <w:rPr>
                <w:color w:val="000000" w:themeColor="text1"/>
              </w:rPr>
              <w:t xml:space="preserve"> interval.</w:t>
            </w:r>
          </w:p>
          <w:p w14:paraId="29316687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*Analysis </w:t>
            </w:r>
            <w:proofErr w:type="spellStart"/>
            <w:r w:rsidRPr="00791F12">
              <w:rPr>
                <w:color w:val="000000" w:themeColor="text1"/>
              </w:rPr>
              <w:t>limited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to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patients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with</w:t>
            </w:r>
            <w:proofErr w:type="spellEnd"/>
            <w:r w:rsidRPr="00791F12">
              <w:rPr>
                <w:color w:val="000000" w:themeColor="text1"/>
              </w:rPr>
              <w:t xml:space="preserve"> an </w:t>
            </w:r>
            <w:proofErr w:type="spellStart"/>
            <w:r w:rsidRPr="00791F12">
              <w:rPr>
                <w:color w:val="000000" w:themeColor="text1"/>
              </w:rPr>
              <w:t>identified</w:t>
            </w:r>
            <w:proofErr w:type="spellEnd"/>
            <w:r w:rsidRPr="00791F12">
              <w:rPr>
                <w:color w:val="000000" w:themeColor="text1"/>
              </w:rPr>
              <w:t xml:space="preserve"> VAP </w:t>
            </w:r>
            <w:proofErr w:type="spellStart"/>
            <w:r w:rsidRPr="00791F12">
              <w:rPr>
                <w:color w:val="000000" w:themeColor="text1"/>
              </w:rPr>
              <w:t>pathogen</w:t>
            </w:r>
            <w:proofErr w:type="spellEnd"/>
            <w:r w:rsidRPr="00791F12">
              <w:rPr>
                <w:color w:val="000000" w:themeColor="text1"/>
              </w:rPr>
              <w:t>.</w:t>
            </w:r>
          </w:p>
        </w:tc>
      </w:tr>
    </w:tbl>
    <w:p w14:paraId="48001842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AF7691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464634E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9.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Clinical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Outcomes</w:t>
      </w:r>
      <w:proofErr w:type="spellEnd"/>
    </w:p>
    <w:p w14:paraId="2A427DE1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865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0"/>
        <w:gridCol w:w="1211"/>
        <w:gridCol w:w="1210"/>
        <w:gridCol w:w="822"/>
        <w:gridCol w:w="547"/>
        <w:gridCol w:w="1053"/>
      </w:tblGrid>
      <w:tr w:rsidR="00046C2C" w:rsidRPr="00791F12" w14:paraId="3C0FF07B" w14:textId="77777777" w:rsidTr="003A6370">
        <w:trPr>
          <w:jc w:val="center"/>
        </w:trPr>
        <w:tc>
          <w:tcPr>
            <w:tcW w:w="3810" w:type="dxa"/>
            <w:vAlign w:val="center"/>
          </w:tcPr>
          <w:p w14:paraId="53E3F2B5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Parameters</w:t>
            </w:r>
            <w:proofErr w:type="spellEnd"/>
          </w:p>
        </w:tc>
        <w:tc>
          <w:tcPr>
            <w:tcW w:w="1211" w:type="dxa"/>
            <w:vAlign w:val="center"/>
          </w:tcPr>
          <w:p w14:paraId="6AE2FF04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STTG (n=35)</w:t>
            </w:r>
          </w:p>
        </w:tc>
        <w:tc>
          <w:tcPr>
            <w:tcW w:w="1210" w:type="dxa"/>
            <w:vAlign w:val="center"/>
          </w:tcPr>
          <w:p w14:paraId="215E208F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LTTG (n=112)</w:t>
            </w:r>
          </w:p>
        </w:tc>
        <w:tc>
          <w:tcPr>
            <w:tcW w:w="822" w:type="dxa"/>
            <w:vAlign w:val="center"/>
          </w:tcPr>
          <w:p w14:paraId="3313DB34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791F12">
              <w:rPr>
                <w:b/>
                <w:bCs/>
                <w:color w:val="000000" w:themeColor="text1"/>
              </w:rPr>
              <w:t>p</w:t>
            </w:r>
            <w:proofErr w:type="gram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value</w:t>
            </w:r>
            <w:proofErr w:type="spellEnd"/>
          </w:p>
        </w:tc>
        <w:tc>
          <w:tcPr>
            <w:tcW w:w="547" w:type="dxa"/>
            <w:vAlign w:val="center"/>
          </w:tcPr>
          <w:p w14:paraId="1BCD17C9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OR</w:t>
            </w:r>
          </w:p>
        </w:tc>
        <w:tc>
          <w:tcPr>
            <w:tcW w:w="1053" w:type="dxa"/>
            <w:vAlign w:val="center"/>
          </w:tcPr>
          <w:p w14:paraId="26162ED9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95% CI</w:t>
            </w:r>
          </w:p>
        </w:tc>
      </w:tr>
      <w:tr w:rsidR="00046C2C" w:rsidRPr="00791F12" w14:paraId="010FB1A9" w14:textId="77777777" w:rsidTr="003A6370">
        <w:trPr>
          <w:jc w:val="center"/>
        </w:trPr>
        <w:tc>
          <w:tcPr>
            <w:tcW w:w="3810" w:type="dxa"/>
            <w:vAlign w:val="center"/>
          </w:tcPr>
          <w:p w14:paraId="4A897A9F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Bacteremia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secondary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to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VAP, n (%)</w:t>
            </w:r>
          </w:p>
        </w:tc>
        <w:tc>
          <w:tcPr>
            <w:tcW w:w="1211" w:type="dxa"/>
            <w:vAlign w:val="center"/>
          </w:tcPr>
          <w:p w14:paraId="1731FABC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3 (8.6%)</w:t>
            </w:r>
          </w:p>
        </w:tc>
        <w:tc>
          <w:tcPr>
            <w:tcW w:w="1210" w:type="dxa"/>
            <w:vAlign w:val="center"/>
          </w:tcPr>
          <w:p w14:paraId="736CB105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38 (33.9%)</w:t>
            </w:r>
          </w:p>
        </w:tc>
        <w:tc>
          <w:tcPr>
            <w:tcW w:w="822" w:type="dxa"/>
            <w:vAlign w:val="center"/>
          </w:tcPr>
          <w:p w14:paraId="2BD00BE5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0.003</w:t>
            </w:r>
          </w:p>
        </w:tc>
        <w:tc>
          <w:tcPr>
            <w:tcW w:w="547" w:type="dxa"/>
            <w:vAlign w:val="center"/>
          </w:tcPr>
          <w:p w14:paraId="67652C6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0.18</w:t>
            </w:r>
          </w:p>
        </w:tc>
        <w:tc>
          <w:tcPr>
            <w:tcW w:w="1053" w:type="dxa"/>
            <w:vAlign w:val="center"/>
          </w:tcPr>
          <w:p w14:paraId="2F664271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0.04–0.68</w:t>
            </w:r>
          </w:p>
        </w:tc>
      </w:tr>
      <w:tr w:rsidR="00046C2C" w:rsidRPr="00791F12" w14:paraId="496AE140" w14:textId="77777777" w:rsidTr="003A6370">
        <w:trPr>
          <w:jc w:val="center"/>
        </w:trPr>
        <w:tc>
          <w:tcPr>
            <w:tcW w:w="3810" w:type="dxa"/>
            <w:vAlign w:val="center"/>
          </w:tcPr>
          <w:p w14:paraId="521F543E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Hospital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length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stay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after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11" w:type="dxa"/>
            <w:vAlign w:val="center"/>
          </w:tcPr>
          <w:p w14:paraId="16EFC30A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51.0 ± 52.9</w:t>
            </w:r>
          </w:p>
        </w:tc>
        <w:tc>
          <w:tcPr>
            <w:tcW w:w="1210" w:type="dxa"/>
            <w:vAlign w:val="center"/>
          </w:tcPr>
          <w:p w14:paraId="071A26E3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59.6 ± 87.7</w:t>
            </w:r>
          </w:p>
        </w:tc>
        <w:tc>
          <w:tcPr>
            <w:tcW w:w="822" w:type="dxa"/>
            <w:vAlign w:val="center"/>
          </w:tcPr>
          <w:p w14:paraId="11527430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0.749</w:t>
            </w:r>
          </w:p>
        </w:tc>
        <w:tc>
          <w:tcPr>
            <w:tcW w:w="547" w:type="dxa"/>
            <w:vAlign w:val="center"/>
          </w:tcPr>
          <w:p w14:paraId="233FFEE0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69219C02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502E973A" w14:textId="77777777" w:rsidTr="003A6370">
        <w:trPr>
          <w:jc w:val="center"/>
        </w:trPr>
        <w:tc>
          <w:tcPr>
            <w:tcW w:w="3810" w:type="dxa"/>
            <w:vAlign w:val="center"/>
          </w:tcPr>
          <w:p w14:paraId="24503D00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ICU </w:t>
            </w:r>
            <w:proofErr w:type="spellStart"/>
            <w:r w:rsidRPr="00791F12">
              <w:rPr>
                <w:color w:val="000000" w:themeColor="text1"/>
              </w:rPr>
              <w:t>length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stay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after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11" w:type="dxa"/>
            <w:vAlign w:val="center"/>
          </w:tcPr>
          <w:p w14:paraId="3541004B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47.3 ± 51.5</w:t>
            </w:r>
          </w:p>
        </w:tc>
        <w:tc>
          <w:tcPr>
            <w:tcW w:w="1210" w:type="dxa"/>
            <w:vAlign w:val="center"/>
          </w:tcPr>
          <w:p w14:paraId="19B5082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56.3 ± 85.2</w:t>
            </w:r>
          </w:p>
        </w:tc>
        <w:tc>
          <w:tcPr>
            <w:tcW w:w="822" w:type="dxa"/>
            <w:vAlign w:val="center"/>
          </w:tcPr>
          <w:p w14:paraId="51077266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0.550</w:t>
            </w:r>
          </w:p>
        </w:tc>
        <w:tc>
          <w:tcPr>
            <w:tcW w:w="547" w:type="dxa"/>
            <w:vAlign w:val="center"/>
          </w:tcPr>
          <w:p w14:paraId="25BC9AE8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4F8F86AE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4E3077E9" w14:textId="77777777" w:rsidTr="003A6370">
        <w:trPr>
          <w:jc w:val="center"/>
        </w:trPr>
        <w:tc>
          <w:tcPr>
            <w:tcW w:w="3810" w:type="dxa"/>
            <w:vAlign w:val="center"/>
          </w:tcPr>
          <w:p w14:paraId="266C79FE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Recurrent</w:t>
            </w:r>
            <w:proofErr w:type="spellEnd"/>
            <w:r w:rsidRPr="00791F12">
              <w:rPr>
                <w:color w:val="000000" w:themeColor="text1"/>
              </w:rPr>
              <w:t xml:space="preserve"> VAP </w:t>
            </w:r>
            <w:proofErr w:type="spellStart"/>
            <w:r w:rsidRPr="00791F12">
              <w:rPr>
                <w:color w:val="000000" w:themeColor="text1"/>
              </w:rPr>
              <w:t>episode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11" w:type="dxa"/>
            <w:vAlign w:val="center"/>
          </w:tcPr>
          <w:p w14:paraId="2A90CAA9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5 (16.7%) </w:t>
            </w:r>
          </w:p>
          <w:p w14:paraId="0FBB7084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(</w:t>
            </w:r>
            <w:proofErr w:type="gramStart"/>
            <w:r w:rsidRPr="00791F12">
              <w:rPr>
                <w:color w:val="000000" w:themeColor="text1"/>
              </w:rPr>
              <w:t>n</w:t>
            </w:r>
            <w:proofErr w:type="gramEnd"/>
            <w:r w:rsidRPr="00791F12">
              <w:rPr>
                <w:color w:val="000000" w:themeColor="text1"/>
              </w:rPr>
              <w:t>=30)</w:t>
            </w:r>
          </w:p>
        </w:tc>
        <w:tc>
          <w:tcPr>
            <w:tcW w:w="1210" w:type="dxa"/>
            <w:vAlign w:val="center"/>
          </w:tcPr>
          <w:p w14:paraId="24D8377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31 (38.3%) (n=81)</w:t>
            </w:r>
          </w:p>
        </w:tc>
        <w:tc>
          <w:tcPr>
            <w:tcW w:w="822" w:type="dxa"/>
            <w:vAlign w:val="center"/>
          </w:tcPr>
          <w:p w14:paraId="15D5B7D0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0.167</w:t>
            </w:r>
          </w:p>
        </w:tc>
        <w:tc>
          <w:tcPr>
            <w:tcW w:w="547" w:type="dxa"/>
            <w:vAlign w:val="center"/>
          </w:tcPr>
          <w:p w14:paraId="42F974A3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76FC7564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490FC855" w14:textId="77777777" w:rsidTr="003A6370">
        <w:trPr>
          <w:jc w:val="center"/>
        </w:trPr>
        <w:tc>
          <w:tcPr>
            <w:tcW w:w="3810" w:type="dxa"/>
            <w:vAlign w:val="center"/>
          </w:tcPr>
          <w:p w14:paraId="347505C7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Time </w:t>
            </w:r>
            <w:proofErr w:type="spellStart"/>
            <w:r w:rsidRPr="00791F12">
              <w:rPr>
                <w:color w:val="000000" w:themeColor="text1"/>
              </w:rPr>
              <w:t>from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completion</w:t>
            </w:r>
            <w:proofErr w:type="spellEnd"/>
            <w:r w:rsidRPr="00791F12">
              <w:rPr>
                <w:color w:val="000000" w:themeColor="text1"/>
              </w:rPr>
              <w:t xml:space="preserve"> of VAP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to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recurrence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1211" w:type="dxa"/>
            <w:vAlign w:val="center"/>
          </w:tcPr>
          <w:p w14:paraId="086B7EDC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31.7 ± 37.8</w:t>
            </w:r>
          </w:p>
        </w:tc>
        <w:tc>
          <w:tcPr>
            <w:tcW w:w="1210" w:type="dxa"/>
            <w:vAlign w:val="center"/>
          </w:tcPr>
          <w:p w14:paraId="1EEE700D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25.1 ± 42.2</w:t>
            </w:r>
          </w:p>
        </w:tc>
        <w:tc>
          <w:tcPr>
            <w:tcW w:w="822" w:type="dxa"/>
            <w:vAlign w:val="center"/>
          </w:tcPr>
          <w:p w14:paraId="3C4D6A0E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0.207</w:t>
            </w:r>
          </w:p>
        </w:tc>
        <w:tc>
          <w:tcPr>
            <w:tcW w:w="547" w:type="dxa"/>
            <w:vAlign w:val="center"/>
          </w:tcPr>
          <w:p w14:paraId="00EA71E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3D217EF1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4B50594B" w14:textId="77777777" w:rsidTr="003A6370">
        <w:trPr>
          <w:jc w:val="center"/>
        </w:trPr>
        <w:tc>
          <w:tcPr>
            <w:tcW w:w="3810" w:type="dxa"/>
            <w:vAlign w:val="center"/>
          </w:tcPr>
          <w:p w14:paraId="7D852F94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lastRenderedPageBreak/>
              <w:t>VAP-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free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days</w:t>
            </w:r>
            <w:proofErr w:type="spellEnd"/>
          </w:p>
        </w:tc>
        <w:tc>
          <w:tcPr>
            <w:tcW w:w="1211" w:type="dxa"/>
            <w:vAlign w:val="center"/>
          </w:tcPr>
          <w:p w14:paraId="797F44A3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17.6 ± 10.3</w:t>
            </w:r>
          </w:p>
        </w:tc>
        <w:tc>
          <w:tcPr>
            <w:tcW w:w="1210" w:type="dxa"/>
            <w:vAlign w:val="center"/>
          </w:tcPr>
          <w:p w14:paraId="2279156E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12.1 ± 10.7</w:t>
            </w:r>
          </w:p>
        </w:tc>
        <w:tc>
          <w:tcPr>
            <w:tcW w:w="822" w:type="dxa"/>
            <w:vAlign w:val="center"/>
          </w:tcPr>
          <w:p w14:paraId="1A37EC50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0.004</w:t>
            </w:r>
          </w:p>
        </w:tc>
        <w:tc>
          <w:tcPr>
            <w:tcW w:w="547" w:type="dxa"/>
            <w:vAlign w:val="center"/>
          </w:tcPr>
          <w:p w14:paraId="6E717A3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126BC424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7AC40D73" w14:textId="77777777" w:rsidTr="003A6370">
        <w:trPr>
          <w:jc w:val="center"/>
        </w:trPr>
        <w:tc>
          <w:tcPr>
            <w:tcW w:w="3810" w:type="dxa"/>
            <w:vAlign w:val="center"/>
          </w:tcPr>
          <w:p w14:paraId="647E5F45" w14:textId="77777777" w:rsidR="00046C2C" w:rsidRPr="00791F12" w:rsidRDefault="00046C2C" w:rsidP="004323AE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Microbiological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eradication</w:t>
            </w:r>
            <w:proofErr w:type="spellEnd"/>
            <w:r w:rsidRPr="00791F12">
              <w:rPr>
                <w:color w:val="000000" w:themeColor="text1"/>
              </w:rPr>
              <w:t>, n (%)</w:t>
            </w:r>
          </w:p>
        </w:tc>
        <w:tc>
          <w:tcPr>
            <w:tcW w:w="1211" w:type="dxa"/>
            <w:vAlign w:val="center"/>
          </w:tcPr>
          <w:p w14:paraId="5F19CFC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7 (38.9%) </w:t>
            </w:r>
          </w:p>
          <w:p w14:paraId="7C44ECD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(</w:t>
            </w:r>
            <w:proofErr w:type="gramStart"/>
            <w:r w:rsidRPr="00791F12">
              <w:rPr>
                <w:color w:val="000000" w:themeColor="text1"/>
              </w:rPr>
              <w:t>n</w:t>
            </w:r>
            <w:proofErr w:type="gramEnd"/>
            <w:r w:rsidRPr="00791F12">
              <w:rPr>
                <w:color w:val="000000" w:themeColor="text1"/>
              </w:rPr>
              <w:t>=18)</w:t>
            </w:r>
          </w:p>
        </w:tc>
        <w:tc>
          <w:tcPr>
            <w:tcW w:w="1210" w:type="dxa"/>
            <w:vAlign w:val="center"/>
          </w:tcPr>
          <w:p w14:paraId="7B3EF55A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21 (28.8%) (n=73)</w:t>
            </w:r>
          </w:p>
        </w:tc>
        <w:tc>
          <w:tcPr>
            <w:tcW w:w="822" w:type="dxa"/>
            <w:vAlign w:val="center"/>
          </w:tcPr>
          <w:p w14:paraId="39578AA3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0.583</w:t>
            </w:r>
          </w:p>
        </w:tc>
        <w:tc>
          <w:tcPr>
            <w:tcW w:w="547" w:type="dxa"/>
            <w:vAlign w:val="center"/>
          </w:tcPr>
          <w:p w14:paraId="6E6E5C50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1AD865B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5558AD94" w14:textId="77777777" w:rsidTr="003A6370">
        <w:trPr>
          <w:jc w:val="center"/>
        </w:trPr>
        <w:tc>
          <w:tcPr>
            <w:tcW w:w="3810" w:type="dxa"/>
            <w:vAlign w:val="center"/>
          </w:tcPr>
          <w:p w14:paraId="4E44F667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duration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211" w:type="dxa"/>
            <w:vAlign w:val="center"/>
          </w:tcPr>
          <w:p w14:paraId="46ADB08C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8.7 ± 1.5</w:t>
            </w:r>
          </w:p>
        </w:tc>
        <w:tc>
          <w:tcPr>
            <w:tcW w:w="1210" w:type="dxa"/>
            <w:vAlign w:val="center"/>
          </w:tcPr>
          <w:p w14:paraId="105AD09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14.5 ± 4.2</w:t>
            </w:r>
          </w:p>
        </w:tc>
        <w:tc>
          <w:tcPr>
            <w:tcW w:w="822" w:type="dxa"/>
            <w:vAlign w:val="center"/>
          </w:tcPr>
          <w:p w14:paraId="0701E424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&lt;0.001</w:t>
            </w:r>
          </w:p>
        </w:tc>
        <w:tc>
          <w:tcPr>
            <w:tcW w:w="547" w:type="dxa"/>
            <w:vAlign w:val="center"/>
          </w:tcPr>
          <w:p w14:paraId="6E99E908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218DBB57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7C0A48AA" w14:textId="77777777" w:rsidTr="003A6370">
        <w:trPr>
          <w:jc w:val="center"/>
        </w:trPr>
        <w:tc>
          <w:tcPr>
            <w:tcW w:w="3810" w:type="dxa"/>
            <w:vAlign w:val="center"/>
          </w:tcPr>
          <w:p w14:paraId="4607F0B7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duration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in NF-GNB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infections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211" w:type="dxa"/>
            <w:vAlign w:val="center"/>
          </w:tcPr>
          <w:p w14:paraId="39AA702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8.8 ± 1.4 (n=26)</w:t>
            </w:r>
          </w:p>
        </w:tc>
        <w:tc>
          <w:tcPr>
            <w:tcW w:w="1210" w:type="dxa"/>
            <w:vAlign w:val="center"/>
          </w:tcPr>
          <w:p w14:paraId="5A9E4410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14.3 ± 4.2 (n=87)</w:t>
            </w:r>
          </w:p>
        </w:tc>
        <w:tc>
          <w:tcPr>
            <w:tcW w:w="822" w:type="dxa"/>
            <w:vAlign w:val="center"/>
          </w:tcPr>
          <w:p w14:paraId="04A6123A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&lt;0.001</w:t>
            </w:r>
          </w:p>
        </w:tc>
        <w:tc>
          <w:tcPr>
            <w:tcW w:w="547" w:type="dxa"/>
            <w:vAlign w:val="center"/>
          </w:tcPr>
          <w:p w14:paraId="7215EA92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4DD4E963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1C0946C4" w14:textId="77777777" w:rsidTr="003A6370">
        <w:trPr>
          <w:jc w:val="center"/>
        </w:trPr>
        <w:tc>
          <w:tcPr>
            <w:tcW w:w="3810" w:type="dxa"/>
            <w:vAlign w:val="center"/>
          </w:tcPr>
          <w:p w14:paraId="31928976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duration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in </w:t>
            </w:r>
            <w:r w:rsidRPr="00791F12">
              <w:rPr>
                <w:b/>
                <w:bCs/>
                <w:i/>
                <w:iCs/>
                <w:color w:val="000000" w:themeColor="text1"/>
              </w:rPr>
              <w:t xml:space="preserve">S. </w:t>
            </w:r>
            <w:proofErr w:type="spellStart"/>
            <w:r w:rsidRPr="00791F12">
              <w:rPr>
                <w:b/>
                <w:bCs/>
                <w:i/>
                <w:iCs/>
                <w:color w:val="000000" w:themeColor="text1"/>
              </w:rPr>
              <w:t>aureus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infections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211" w:type="dxa"/>
            <w:vAlign w:val="center"/>
          </w:tcPr>
          <w:p w14:paraId="5DB03654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8.4 ± 1.5 (n=7)</w:t>
            </w:r>
          </w:p>
        </w:tc>
        <w:tc>
          <w:tcPr>
            <w:tcW w:w="1210" w:type="dxa"/>
            <w:vAlign w:val="center"/>
          </w:tcPr>
          <w:p w14:paraId="4C2112C6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14.1 ± 4.8 (n=24)</w:t>
            </w:r>
          </w:p>
        </w:tc>
        <w:tc>
          <w:tcPr>
            <w:tcW w:w="822" w:type="dxa"/>
            <w:vAlign w:val="center"/>
          </w:tcPr>
          <w:p w14:paraId="2BDA231A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0.001</w:t>
            </w:r>
          </w:p>
        </w:tc>
        <w:tc>
          <w:tcPr>
            <w:tcW w:w="547" w:type="dxa"/>
            <w:vAlign w:val="center"/>
          </w:tcPr>
          <w:p w14:paraId="6A8168D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01A11758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32BD9B55" w14:textId="77777777" w:rsidTr="003A6370">
        <w:trPr>
          <w:jc w:val="center"/>
        </w:trPr>
        <w:tc>
          <w:tcPr>
            <w:tcW w:w="3810" w:type="dxa"/>
            <w:vAlign w:val="center"/>
          </w:tcPr>
          <w:p w14:paraId="2AEC7EBC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Antibiotic-free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days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after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</w:p>
        </w:tc>
        <w:tc>
          <w:tcPr>
            <w:tcW w:w="1211" w:type="dxa"/>
            <w:vAlign w:val="center"/>
          </w:tcPr>
          <w:p w14:paraId="4DC6B3BF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15.9 ± 22.7</w:t>
            </w:r>
          </w:p>
        </w:tc>
        <w:tc>
          <w:tcPr>
            <w:tcW w:w="1210" w:type="dxa"/>
            <w:vAlign w:val="center"/>
          </w:tcPr>
          <w:p w14:paraId="5AEA867B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8.2 ± 10.6</w:t>
            </w:r>
          </w:p>
        </w:tc>
        <w:tc>
          <w:tcPr>
            <w:tcW w:w="822" w:type="dxa"/>
            <w:vAlign w:val="center"/>
          </w:tcPr>
          <w:p w14:paraId="723607FA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0.004</w:t>
            </w:r>
          </w:p>
        </w:tc>
        <w:tc>
          <w:tcPr>
            <w:tcW w:w="547" w:type="dxa"/>
            <w:vAlign w:val="center"/>
          </w:tcPr>
          <w:p w14:paraId="1DDD0639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43446AAF" w14:textId="77777777" w:rsidR="00046C2C" w:rsidRPr="00791F12" w:rsidRDefault="00046C2C" w:rsidP="004323AE">
            <w:pPr>
              <w:spacing w:before="40" w:after="4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–</w:t>
            </w:r>
          </w:p>
        </w:tc>
      </w:tr>
      <w:tr w:rsidR="00046C2C" w:rsidRPr="00791F12" w14:paraId="5D6F8206" w14:textId="77777777" w:rsidTr="003A6370">
        <w:trPr>
          <w:jc w:val="center"/>
        </w:trPr>
        <w:tc>
          <w:tcPr>
            <w:tcW w:w="3810" w:type="dxa"/>
            <w:vAlign w:val="center"/>
          </w:tcPr>
          <w:p w14:paraId="2EFCEAF7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Mortality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at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end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treatment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211" w:type="dxa"/>
            <w:vAlign w:val="center"/>
          </w:tcPr>
          <w:p w14:paraId="37CECC77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10" w:type="dxa"/>
            <w:vAlign w:val="center"/>
          </w:tcPr>
          <w:p w14:paraId="1386B6B1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23 (20.5%)</w:t>
            </w:r>
          </w:p>
        </w:tc>
        <w:tc>
          <w:tcPr>
            <w:tcW w:w="822" w:type="dxa"/>
            <w:vAlign w:val="center"/>
          </w:tcPr>
          <w:p w14:paraId="321B6664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0.008</w:t>
            </w:r>
          </w:p>
        </w:tc>
        <w:tc>
          <w:tcPr>
            <w:tcW w:w="547" w:type="dxa"/>
            <w:vAlign w:val="center"/>
          </w:tcPr>
          <w:p w14:paraId="6033C5BF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–</w:t>
            </w:r>
          </w:p>
        </w:tc>
        <w:tc>
          <w:tcPr>
            <w:tcW w:w="1053" w:type="dxa"/>
            <w:vAlign w:val="center"/>
          </w:tcPr>
          <w:p w14:paraId="3D360BC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–</w:t>
            </w:r>
          </w:p>
        </w:tc>
      </w:tr>
      <w:tr w:rsidR="00046C2C" w:rsidRPr="00791F12" w14:paraId="1970FCA8" w14:textId="77777777" w:rsidTr="003A6370">
        <w:trPr>
          <w:jc w:val="center"/>
        </w:trPr>
        <w:tc>
          <w:tcPr>
            <w:tcW w:w="3810" w:type="dxa"/>
            <w:vAlign w:val="center"/>
          </w:tcPr>
          <w:p w14:paraId="19DC161F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 xml:space="preserve">28-day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mortality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211" w:type="dxa"/>
            <w:vAlign w:val="center"/>
          </w:tcPr>
          <w:p w14:paraId="2B4952FE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2 (5.7%)</w:t>
            </w:r>
          </w:p>
        </w:tc>
        <w:tc>
          <w:tcPr>
            <w:tcW w:w="1210" w:type="dxa"/>
            <w:vAlign w:val="center"/>
          </w:tcPr>
          <w:p w14:paraId="3701A8C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29 (25.9%)</w:t>
            </w:r>
          </w:p>
        </w:tc>
        <w:tc>
          <w:tcPr>
            <w:tcW w:w="822" w:type="dxa"/>
            <w:vAlign w:val="center"/>
          </w:tcPr>
          <w:p w14:paraId="55B581BC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0.020</w:t>
            </w:r>
          </w:p>
        </w:tc>
        <w:tc>
          <w:tcPr>
            <w:tcW w:w="547" w:type="dxa"/>
            <w:vAlign w:val="center"/>
          </w:tcPr>
          <w:p w14:paraId="2F3EEB28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0.17</w:t>
            </w:r>
          </w:p>
        </w:tc>
        <w:tc>
          <w:tcPr>
            <w:tcW w:w="1053" w:type="dxa"/>
            <w:vAlign w:val="center"/>
          </w:tcPr>
          <w:p w14:paraId="1BD0198D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0.03–0.81</w:t>
            </w:r>
          </w:p>
        </w:tc>
      </w:tr>
      <w:tr w:rsidR="00046C2C" w:rsidRPr="00791F12" w14:paraId="39C07812" w14:textId="77777777" w:rsidTr="003A6370">
        <w:trPr>
          <w:jc w:val="center"/>
        </w:trPr>
        <w:tc>
          <w:tcPr>
            <w:tcW w:w="3810" w:type="dxa"/>
            <w:vAlign w:val="center"/>
          </w:tcPr>
          <w:p w14:paraId="1E9988FB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In-hospital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mortality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211" w:type="dxa"/>
            <w:vAlign w:val="center"/>
          </w:tcPr>
          <w:p w14:paraId="0328D7C2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13 (37.1%)</w:t>
            </w:r>
          </w:p>
        </w:tc>
        <w:tc>
          <w:tcPr>
            <w:tcW w:w="1210" w:type="dxa"/>
            <w:vAlign w:val="center"/>
          </w:tcPr>
          <w:p w14:paraId="50E9E765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72 (64.3%)</w:t>
            </w:r>
          </w:p>
        </w:tc>
        <w:tc>
          <w:tcPr>
            <w:tcW w:w="822" w:type="dxa"/>
            <w:vAlign w:val="center"/>
          </w:tcPr>
          <w:p w14:paraId="385EF732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0.008</w:t>
            </w:r>
          </w:p>
        </w:tc>
        <w:tc>
          <w:tcPr>
            <w:tcW w:w="547" w:type="dxa"/>
            <w:vAlign w:val="center"/>
          </w:tcPr>
          <w:p w14:paraId="2E3DFA0E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0.33</w:t>
            </w:r>
          </w:p>
        </w:tc>
        <w:tc>
          <w:tcPr>
            <w:tcW w:w="1053" w:type="dxa"/>
            <w:vAlign w:val="center"/>
          </w:tcPr>
          <w:p w14:paraId="1AAEAA1A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0.14–0.77</w:t>
            </w:r>
          </w:p>
        </w:tc>
      </w:tr>
      <w:tr w:rsidR="00046C2C" w:rsidRPr="00791F12" w14:paraId="439839DA" w14:textId="77777777" w:rsidTr="003A6370">
        <w:trPr>
          <w:jc w:val="center"/>
        </w:trPr>
        <w:tc>
          <w:tcPr>
            <w:tcW w:w="3810" w:type="dxa"/>
            <w:vAlign w:val="center"/>
          </w:tcPr>
          <w:p w14:paraId="27CB0F1A" w14:textId="77777777" w:rsidR="00046C2C" w:rsidRPr="00791F12" w:rsidRDefault="00046C2C" w:rsidP="004323AE">
            <w:pPr>
              <w:spacing w:before="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In-hospital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b/>
                <w:bCs/>
                <w:color w:val="000000" w:themeColor="text1"/>
              </w:rPr>
              <w:t>survival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>, n (%)</w:t>
            </w:r>
          </w:p>
        </w:tc>
        <w:tc>
          <w:tcPr>
            <w:tcW w:w="1211" w:type="dxa"/>
            <w:vAlign w:val="center"/>
          </w:tcPr>
          <w:p w14:paraId="340F13A4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22 (62.9%)</w:t>
            </w:r>
          </w:p>
        </w:tc>
        <w:tc>
          <w:tcPr>
            <w:tcW w:w="1210" w:type="dxa"/>
            <w:vAlign w:val="center"/>
          </w:tcPr>
          <w:p w14:paraId="41714116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40 (35.7%)</w:t>
            </w:r>
          </w:p>
        </w:tc>
        <w:tc>
          <w:tcPr>
            <w:tcW w:w="822" w:type="dxa"/>
            <w:vAlign w:val="center"/>
          </w:tcPr>
          <w:p w14:paraId="30DABFE9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0.008</w:t>
            </w:r>
          </w:p>
        </w:tc>
        <w:tc>
          <w:tcPr>
            <w:tcW w:w="547" w:type="dxa"/>
            <w:vAlign w:val="center"/>
          </w:tcPr>
          <w:p w14:paraId="53011C18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3.05</w:t>
            </w:r>
          </w:p>
        </w:tc>
        <w:tc>
          <w:tcPr>
            <w:tcW w:w="1053" w:type="dxa"/>
            <w:vAlign w:val="center"/>
          </w:tcPr>
          <w:p w14:paraId="6C9FA560" w14:textId="77777777" w:rsidR="00046C2C" w:rsidRPr="00791F12" w:rsidRDefault="00046C2C" w:rsidP="004323AE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1.30–7.22</w:t>
            </w:r>
          </w:p>
        </w:tc>
      </w:tr>
      <w:tr w:rsidR="00046C2C" w:rsidRPr="00791F12" w14:paraId="392B6EB7" w14:textId="77777777" w:rsidTr="003A6370">
        <w:trPr>
          <w:jc w:val="center"/>
        </w:trPr>
        <w:tc>
          <w:tcPr>
            <w:tcW w:w="8653" w:type="dxa"/>
            <w:gridSpan w:val="6"/>
            <w:vAlign w:val="center"/>
          </w:tcPr>
          <w:p w14:paraId="41F04247" w14:textId="77777777" w:rsidR="00046C2C" w:rsidRPr="00791F12" w:rsidRDefault="00046C2C" w:rsidP="004323AE">
            <w:pPr>
              <w:spacing w:before="240" w:after="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Abbreviations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: </w:t>
            </w:r>
            <w:r w:rsidRPr="00791F12">
              <w:rPr>
                <w:color w:val="000000" w:themeColor="text1"/>
              </w:rPr>
              <w:t xml:space="preserve">NF-GNB, </w:t>
            </w:r>
            <w:proofErr w:type="spellStart"/>
            <w:r w:rsidRPr="00791F12">
              <w:rPr>
                <w:color w:val="000000" w:themeColor="text1"/>
              </w:rPr>
              <w:t>non-fermenter</w:t>
            </w:r>
            <w:proofErr w:type="spellEnd"/>
            <w:r w:rsidRPr="00791F12">
              <w:rPr>
                <w:color w:val="000000" w:themeColor="text1"/>
              </w:rPr>
              <w:t xml:space="preserve"> Gram-</w:t>
            </w:r>
            <w:proofErr w:type="spellStart"/>
            <w:r w:rsidRPr="00791F12">
              <w:rPr>
                <w:color w:val="000000" w:themeColor="text1"/>
              </w:rPr>
              <w:t>negative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bacilli</w:t>
            </w:r>
            <w:proofErr w:type="spellEnd"/>
            <w:r w:rsidRPr="00791F12">
              <w:rPr>
                <w:color w:val="000000" w:themeColor="text1"/>
              </w:rPr>
              <w:t xml:space="preserve">; OR, </w:t>
            </w:r>
            <w:proofErr w:type="spellStart"/>
            <w:r w:rsidRPr="00791F12">
              <w:rPr>
                <w:color w:val="000000" w:themeColor="text1"/>
              </w:rPr>
              <w:t>odds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ratio</w:t>
            </w:r>
            <w:proofErr w:type="spellEnd"/>
            <w:r w:rsidRPr="00791F12">
              <w:rPr>
                <w:color w:val="000000" w:themeColor="text1"/>
              </w:rPr>
              <w:t xml:space="preserve">; CI, </w:t>
            </w:r>
            <w:proofErr w:type="spellStart"/>
            <w:r w:rsidRPr="00791F12">
              <w:rPr>
                <w:color w:val="000000" w:themeColor="text1"/>
              </w:rPr>
              <w:t>confidence</w:t>
            </w:r>
            <w:proofErr w:type="spellEnd"/>
            <w:r w:rsidRPr="00791F12">
              <w:rPr>
                <w:color w:val="000000" w:themeColor="text1"/>
              </w:rPr>
              <w:t xml:space="preserve"> interval; STTG, </w:t>
            </w:r>
            <w:proofErr w:type="spellStart"/>
            <w:r w:rsidRPr="00791F12">
              <w:rPr>
                <w:color w:val="000000" w:themeColor="text1"/>
              </w:rPr>
              <w:t>short-term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group</w:t>
            </w:r>
            <w:proofErr w:type="spellEnd"/>
            <w:r w:rsidRPr="00791F12">
              <w:rPr>
                <w:color w:val="000000" w:themeColor="text1"/>
              </w:rPr>
              <w:t xml:space="preserve">; LTTG, </w:t>
            </w:r>
            <w:proofErr w:type="spellStart"/>
            <w:r w:rsidRPr="00791F12">
              <w:rPr>
                <w:color w:val="000000" w:themeColor="text1"/>
              </w:rPr>
              <w:t>long-term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group</w:t>
            </w:r>
            <w:proofErr w:type="spellEnd"/>
            <w:r w:rsidRPr="00791F12">
              <w:rPr>
                <w:color w:val="000000" w:themeColor="text1"/>
              </w:rPr>
              <w:t xml:space="preserve">; VAP, </w:t>
            </w:r>
            <w:proofErr w:type="spellStart"/>
            <w:r w:rsidRPr="00791F12">
              <w:rPr>
                <w:color w:val="000000" w:themeColor="text1"/>
              </w:rPr>
              <w:t>ventilator-associated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pneumonia</w:t>
            </w:r>
            <w:proofErr w:type="spellEnd"/>
            <w:r w:rsidRPr="00791F12">
              <w:rPr>
                <w:color w:val="000000" w:themeColor="text1"/>
              </w:rPr>
              <w:t xml:space="preserve">; ICU, </w:t>
            </w:r>
            <w:proofErr w:type="spellStart"/>
            <w:r w:rsidRPr="00791F12">
              <w:rPr>
                <w:color w:val="000000" w:themeColor="text1"/>
              </w:rPr>
              <w:t>intensive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care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unit</w:t>
            </w:r>
            <w:proofErr w:type="spellEnd"/>
            <w:r w:rsidRPr="00791F12">
              <w:rPr>
                <w:color w:val="000000" w:themeColor="text1"/>
              </w:rPr>
              <w:t>.</w:t>
            </w:r>
          </w:p>
        </w:tc>
      </w:tr>
    </w:tbl>
    <w:p w14:paraId="524342EA" w14:textId="77777777" w:rsidR="00046C2C" w:rsidRPr="00791F12" w:rsidRDefault="00046C2C" w:rsidP="00046C2C">
      <w:pPr>
        <w:ind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6ADC14" w14:textId="77777777" w:rsidR="00046C2C" w:rsidRPr="00791F12" w:rsidRDefault="00046C2C" w:rsidP="00046C2C">
      <w:pPr>
        <w:ind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89D9A3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1F12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6AB4ED43" wp14:editId="39FF05DF">
            <wp:extent cx="5760720" cy="4743450"/>
            <wp:effectExtent l="0" t="0" r="0" b="0"/>
            <wp:docPr id="13978734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73493" name="Resim 13978734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0B1F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2</w:t>
      </w:r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ROC Analysis of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Parameters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Statistically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Significant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Discriminatory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Performance</w:t>
      </w:r>
      <w:proofErr w:type="spellEnd"/>
    </w:p>
    <w:p w14:paraId="010A73FD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*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In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ROC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analysis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day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PaO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₂/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FiO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₂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ratio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emerged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most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powerful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discriminator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demonstrating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largest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area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under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curve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(AUC)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thus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strongest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predictive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performance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among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evaluated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parameters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Early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defervescence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together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lower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day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levels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PCT, CRP,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CPIS,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also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showed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substantial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AUC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values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reinforcing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their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role as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dynamic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response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markers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rather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than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static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severity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indicators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Collectively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these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findings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support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concept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that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early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physiological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biomarker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improvement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—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particularly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oxygenation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recovery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—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provides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objective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quantifiable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guidance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individualization</w:t>
      </w:r>
      <w:proofErr w:type="spellEnd"/>
      <w:r w:rsidRPr="00791F1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98C8609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FEC7C8" w14:textId="77777777" w:rsidR="00046C2C" w:rsidRPr="00791F12" w:rsidRDefault="00046C2C" w:rsidP="00046C2C">
      <w:pPr>
        <w:spacing w:after="240"/>
        <w:ind w:left="1304" w:hanging="1304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10.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Cut-off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Values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AUC, 95% CI,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Sensitivity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Specificity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PPV,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NPV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Derived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from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ROC Analysis</w:t>
      </w:r>
    </w:p>
    <w:tbl>
      <w:tblPr>
        <w:tblStyle w:val="TabloKlavuzu"/>
        <w:tblW w:w="822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695"/>
        <w:gridCol w:w="689"/>
        <w:gridCol w:w="1166"/>
        <w:gridCol w:w="1029"/>
        <w:gridCol w:w="964"/>
        <w:gridCol w:w="570"/>
        <w:gridCol w:w="685"/>
      </w:tblGrid>
      <w:tr w:rsidR="00046C2C" w:rsidRPr="00791F12" w14:paraId="1B3AE6A9" w14:textId="77777777" w:rsidTr="004323AE">
        <w:trPr>
          <w:jc w:val="center"/>
        </w:trPr>
        <w:tc>
          <w:tcPr>
            <w:tcW w:w="2424" w:type="dxa"/>
            <w:vAlign w:val="center"/>
          </w:tcPr>
          <w:p w14:paraId="3F432C8E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Parameter</w:t>
            </w:r>
            <w:proofErr w:type="spellEnd"/>
          </w:p>
        </w:tc>
        <w:tc>
          <w:tcPr>
            <w:tcW w:w="695" w:type="dxa"/>
            <w:vAlign w:val="center"/>
          </w:tcPr>
          <w:p w14:paraId="0F1128D1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Cut-off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Value</w:t>
            </w:r>
          </w:p>
        </w:tc>
        <w:tc>
          <w:tcPr>
            <w:tcW w:w="689" w:type="dxa"/>
            <w:vAlign w:val="center"/>
          </w:tcPr>
          <w:p w14:paraId="20579C9D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AUC</w:t>
            </w:r>
          </w:p>
        </w:tc>
        <w:tc>
          <w:tcPr>
            <w:tcW w:w="1166" w:type="dxa"/>
            <w:vAlign w:val="center"/>
          </w:tcPr>
          <w:p w14:paraId="5C1FFFD6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95% CI</w:t>
            </w:r>
          </w:p>
        </w:tc>
        <w:tc>
          <w:tcPr>
            <w:tcW w:w="1029" w:type="dxa"/>
            <w:vAlign w:val="center"/>
          </w:tcPr>
          <w:p w14:paraId="52A6958C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Sensitivity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(%)</w:t>
            </w:r>
          </w:p>
        </w:tc>
        <w:tc>
          <w:tcPr>
            <w:tcW w:w="964" w:type="dxa"/>
            <w:vAlign w:val="center"/>
          </w:tcPr>
          <w:p w14:paraId="5BC40FC6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Specificity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 (%)</w:t>
            </w:r>
          </w:p>
        </w:tc>
        <w:tc>
          <w:tcPr>
            <w:tcW w:w="570" w:type="dxa"/>
            <w:vAlign w:val="center"/>
          </w:tcPr>
          <w:p w14:paraId="0B9DF8B3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PPV (%)</w:t>
            </w:r>
          </w:p>
        </w:tc>
        <w:tc>
          <w:tcPr>
            <w:tcW w:w="685" w:type="dxa"/>
            <w:vAlign w:val="center"/>
          </w:tcPr>
          <w:p w14:paraId="465A8F5E" w14:textId="77777777" w:rsidR="00046C2C" w:rsidRPr="00791F12" w:rsidRDefault="00046C2C" w:rsidP="004323AE">
            <w:pPr>
              <w:spacing w:before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  <w:color w:val="000000" w:themeColor="text1"/>
              </w:rPr>
              <w:t>NPV (%)</w:t>
            </w:r>
          </w:p>
        </w:tc>
      </w:tr>
      <w:tr w:rsidR="00046C2C" w:rsidRPr="00791F12" w14:paraId="21568582" w14:textId="77777777" w:rsidTr="004323AE">
        <w:trPr>
          <w:jc w:val="center"/>
        </w:trPr>
        <w:tc>
          <w:tcPr>
            <w:tcW w:w="2424" w:type="dxa"/>
            <w:vAlign w:val="center"/>
          </w:tcPr>
          <w:p w14:paraId="3DAFAF3F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Infiltration</w:t>
            </w:r>
            <w:proofErr w:type="spellEnd"/>
            <w:r w:rsidRPr="00791F12">
              <w:rPr>
                <w:color w:val="000000" w:themeColor="text1"/>
              </w:rPr>
              <w:t xml:space="preserve"> on PA </w:t>
            </w:r>
            <w:proofErr w:type="spellStart"/>
            <w:r w:rsidRPr="00791F12">
              <w:rPr>
                <w:color w:val="000000" w:themeColor="text1"/>
              </w:rPr>
              <w:t>chest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radiograph</w:t>
            </w:r>
            <w:proofErr w:type="spellEnd"/>
          </w:p>
        </w:tc>
        <w:tc>
          <w:tcPr>
            <w:tcW w:w="695" w:type="dxa"/>
            <w:vAlign w:val="center"/>
          </w:tcPr>
          <w:p w14:paraId="17E2D32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</w:t>
            </w:r>
          </w:p>
        </w:tc>
        <w:tc>
          <w:tcPr>
            <w:tcW w:w="689" w:type="dxa"/>
            <w:vAlign w:val="center"/>
          </w:tcPr>
          <w:p w14:paraId="73CBAC79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0.596</w:t>
            </w:r>
          </w:p>
        </w:tc>
        <w:tc>
          <w:tcPr>
            <w:tcW w:w="1166" w:type="dxa"/>
            <w:vAlign w:val="center"/>
          </w:tcPr>
          <w:p w14:paraId="67A4A35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0.512–0.676</w:t>
            </w:r>
          </w:p>
        </w:tc>
        <w:tc>
          <w:tcPr>
            <w:tcW w:w="1029" w:type="dxa"/>
            <w:vAlign w:val="center"/>
          </w:tcPr>
          <w:p w14:paraId="321AB3A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34.3</w:t>
            </w:r>
          </w:p>
        </w:tc>
        <w:tc>
          <w:tcPr>
            <w:tcW w:w="964" w:type="dxa"/>
            <w:vAlign w:val="center"/>
          </w:tcPr>
          <w:p w14:paraId="456A8A8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84.8</w:t>
            </w:r>
          </w:p>
        </w:tc>
        <w:tc>
          <w:tcPr>
            <w:tcW w:w="570" w:type="dxa"/>
            <w:vAlign w:val="center"/>
          </w:tcPr>
          <w:p w14:paraId="2350F86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41.4</w:t>
            </w:r>
          </w:p>
        </w:tc>
        <w:tc>
          <w:tcPr>
            <w:tcW w:w="685" w:type="dxa"/>
            <w:vAlign w:val="center"/>
          </w:tcPr>
          <w:p w14:paraId="7455F9A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80.5</w:t>
            </w:r>
          </w:p>
        </w:tc>
      </w:tr>
      <w:tr w:rsidR="00046C2C" w:rsidRPr="00791F12" w14:paraId="2E16B6FE" w14:textId="77777777" w:rsidTr="004323AE">
        <w:trPr>
          <w:jc w:val="center"/>
        </w:trPr>
        <w:tc>
          <w:tcPr>
            <w:tcW w:w="2424" w:type="dxa"/>
            <w:vAlign w:val="center"/>
          </w:tcPr>
          <w:p w14:paraId="0F4C94FC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Time </w:t>
            </w:r>
            <w:proofErr w:type="spellStart"/>
            <w:r w:rsidRPr="00791F12">
              <w:rPr>
                <w:color w:val="000000" w:themeColor="text1"/>
              </w:rPr>
              <w:t>to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defervescence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695" w:type="dxa"/>
            <w:vAlign w:val="center"/>
          </w:tcPr>
          <w:p w14:paraId="07FC495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≤5</w:t>
            </w:r>
          </w:p>
        </w:tc>
        <w:tc>
          <w:tcPr>
            <w:tcW w:w="689" w:type="dxa"/>
            <w:vAlign w:val="center"/>
          </w:tcPr>
          <w:p w14:paraId="74962E2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0.622</w:t>
            </w:r>
          </w:p>
        </w:tc>
        <w:tc>
          <w:tcPr>
            <w:tcW w:w="1166" w:type="dxa"/>
            <w:vAlign w:val="center"/>
          </w:tcPr>
          <w:p w14:paraId="407553B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0.539–0.701</w:t>
            </w:r>
          </w:p>
        </w:tc>
        <w:tc>
          <w:tcPr>
            <w:tcW w:w="1029" w:type="dxa"/>
            <w:vAlign w:val="center"/>
          </w:tcPr>
          <w:p w14:paraId="7018E97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91.4</w:t>
            </w:r>
          </w:p>
        </w:tc>
        <w:tc>
          <w:tcPr>
            <w:tcW w:w="964" w:type="dxa"/>
            <w:vAlign w:val="center"/>
          </w:tcPr>
          <w:p w14:paraId="06C0981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33.0</w:t>
            </w:r>
          </w:p>
        </w:tc>
        <w:tc>
          <w:tcPr>
            <w:tcW w:w="570" w:type="dxa"/>
            <w:vAlign w:val="center"/>
          </w:tcPr>
          <w:p w14:paraId="2596ECD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29.9</w:t>
            </w:r>
          </w:p>
        </w:tc>
        <w:tc>
          <w:tcPr>
            <w:tcW w:w="685" w:type="dxa"/>
            <w:vAlign w:val="center"/>
          </w:tcPr>
          <w:p w14:paraId="2A08C913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92.5</w:t>
            </w:r>
          </w:p>
        </w:tc>
      </w:tr>
      <w:tr w:rsidR="00046C2C" w:rsidRPr="00791F12" w14:paraId="4762DFB3" w14:textId="77777777" w:rsidTr="004323AE">
        <w:trPr>
          <w:jc w:val="center"/>
        </w:trPr>
        <w:tc>
          <w:tcPr>
            <w:tcW w:w="2424" w:type="dxa"/>
            <w:vAlign w:val="center"/>
          </w:tcPr>
          <w:p w14:paraId="387706FD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CRP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5)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695" w:type="dxa"/>
            <w:vAlign w:val="center"/>
          </w:tcPr>
          <w:p w14:paraId="4953F42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&lt;15</w:t>
            </w:r>
          </w:p>
        </w:tc>
        <w:tc>
          <w:tcPr>
            <w:tcW w:w="689" w:type="dxa"/>
            <w:vAlign w:val="center"/>
          </w:tcPr>
          <w:p w14:paraId="34CA2049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0.632</w:t>
            </w:r>
          </w:p>
        </w:tc>
        <w:tc>
          <w:tcPr>
            <w:tcW w:w="1166" w:type="dxa"/>
            <w:vAlign w:val="center"/>
          </w:tcPr>
          <w:p w14:paraId="4945592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0.548–0.710</w:t>
            </w:r>
          </w:p>
        </w:tc>
        <w:tc>
          <w:tcPr>
            <w:tcW w:w="1029" w:type="dxa"/>
            <w:vAlign w:val="center"/>
          </w:tcPr>
          <w:p w14:paraId="0478FAD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80.0</w:t>
            </w:r>
          </w:p>
        </w:tc>
        <w:tc>
          <w:tcPr>
            <w:tcW w:w="964" w:type="dxa"/>
            <w:vAlign w:val="center"/>
          </w:tcPr>
          <w:p w14:paraId="303BD84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46.4</w:t>
            </w:r>
          </w:p>
        </w:tc>
        <w:tc>
          <w:tcPr>
            <w:tcW w:w="570" w:type="dxa"/>
            <w:vAlign w:val="center"/>
          </w:tcPr>
          <w:p w14:paraId="02E420C4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32.2</w:t>
            </w:r>
          </w:p>
        </w:tc>
        <w:tc>
          <w:tcPr>
            <w:tcW w:w="685" w:type="dxa"/>
            <w:vAlign w:val="center"/>
          </w:tcPr>
          <w:p w14:paraId="04C9A8F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87.9</w:t>
            </w:r>
          </w:p>
        </w:tc>
      </w:tr>
      <w:tr w:rsidR="00046C2C" w:rsidRPr="00791F12" w14:paraId="080C7924" w14:textId="77777777" w:rsidTr="004323AE">
        <w:trPr>
          <w:jc w:val="center"/>
        </w:trPr>
        <w:tc>
          <w:tcPr>
            <w:tcW w:w="2424" w:type="dxa"/>
            <w:vAlign w:val="center"/>
          </w:tcPr>
          <w:p w14:paraId="372C9EB3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CRP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7) (mg/</w:t>
            </w:r>
            <w:proofErr w:type="spellStart"/>
            <w:r w:rsidRPr="00791F12">
              <w:rPr>
                <w:color w:val="000000" w:themeColor="text1"/>
              </w:rPr>
              <w:t>dL</w:t>
            </w:r>
            <w:proofErr w:type="spellEnd"/>
            <w:r w:rsidRPr="00791F12">
              <w:rPr>
                <w:color w:val="000000" w:themeColor="text1"/>
              </w:rPr>
              <w:t>)</w:t>
            </w:r>
          </w:p>
        </w:tc>
        <w:tc>
          <w:tcPr>
            <w:tcW w:w="695" w:type="dxa"/>
            <w:vAlign w:val="center"/>
          </w:tcPr>
          <w:p w14:paraId="45D10AED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≤12.7</w:t>
            </w:r>
          </w:p>
        </w:tc>
        <w:tc>
          <w:tcPr>
            <w:tcW w:w="689" w:type="dxa"/>
            <w:vAlign w:val="center"/>
          </w:tcPr>
          <w:p w14:paraId="7F9CEE0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0.615</w:t>
            </w:r>
          </w:p>
        </w:tc>
        <w:tc>
          <w:tcPr>
            <w:tcW w:w="1166" w:type="dxa"/>
            <w:vAlign w:val="center"/>
          </w:tcPr>
          <w:p w14:paraId="42646AC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0.524–0.700</w:t>
            </w:r>
          </w:p>
        </w:tc>
        <w:tc>
          <w:tcPr>
            <w:tcW w:w="1029" w:type="dxa"/>
            <w:vAlign w:val="center"/>
          </w:tcPr>
          <w:p w14:paraId="2160D48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79.3</w:t>
            </w:r>
          </w:p>
        </w:tc>
        <w:tc>
          <w:tcPr>
            <w:tcW w:w="964" w:type="dxa"/>
            <w:vAlign w:val="center"/>
          </w:tcPr>
          <w:p w14:paraId="1AC5BAB3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46.9</w:t>
            </w:r>
          </w:p>
        </w:tc>
        <w:tc>
          <w:tcPr>
            <w:tcW w:w="570" w:type="dxa"/>
            <w:vAlign w:val="center"/>
          </w:tcPr>
          <w:p w14:paraId="2E982A5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30.7</w:t>
            </w:r>
          </w:p>
        </w:tc>
        <w:tc>
          <w:tcPr>
            <w:tcW w:w="685" w:type="dxa"/>
            <w:vAlign w:val="center"/>
          </w:tcPr>
          <w:p w14:paraId="1E9CFFC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88.5</w:t>
            </w:r>
          </w:p>
        </w:tc>
      </w:tr>
      <w:tr w:rsidR="00046C2C" w:rsidRPr="00791F12" w14:paraId="496EFA81" w14:textId="77777777" w:rsidTr="004323AE">
        <w:trPr>
          <w:jc w:val="center"/>
        </w:trPr>
        <w:tc>
          <w:tcPr>
            <w:tcW w:w="2424" w:type="dxa"/>
            <w:vAlign w:val="center"/>
          </w:tcPr>
          <w:p w14:paraId="61900E60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PCT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5) (µg/L)</w:t>
            </w:r>
          </w:p>
        </w:tc>
        <w:tc>
          <w:tcPr>
            <w:tcW w:w="695" w:type="dxa"/>
            <w:vAlign w:val="center"/>
          </w:tcPr>
          <w:p w14:paraId="6E8470D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≤0.5</w:t>
            </w:r>
          </w:p>
        </w:tc>
        <w:tc>
          <w:tcPr>
            <w:tcW w:w="689" w:type="dxa"/>
            <w:vAlign w:val="center"/>
          </w:tcPr>
          <w:p w14:paraId="69E99429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0.628</w:t>
            </w:r>
          </w:p>
        </w:tc>
        <w:tc>
          <w:tcPr>
            <w:tcW w:w="1166" w:type="dxa"/>
            <w:vAlign w:val="center"/>
          </w:tcPr>
          <w:p w14:paraId="40E5E19B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0.541–0.710</w:t>
            </w:r>
          </w:p>
        </w:tc>
        <w:tc>
          <w:tcPr>
            <w:tcW w:w="1029" w:type="dxa"/>
            <w:vAlign w:val="center"/>
          </w:tcPr>
          <w:p w14:paraId="4E0CC2B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58.1</w:t>
            </w:r>
          </w:p>
        </w:tc>
        <w:tc>
          <w:tcPr>
            <w:tcW w:w="964" w:type="dxa"/>
            <w:vAlign w:val="center"/>
          </w:tcPr>
          <w:p w14:paraId="5A95A96F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67.6</w:t>
            </w:r>
          </w:p>
        </w:tc>
        <w:tc>
          <w:tcPr>
            <w:tcW w:w="570" w:type="dxa"/>
            <w:vAlign w:val="center"/>
          </w:tcPr>
          <w:p w14:paraId="3A91FCD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34.6</w:t>
            </w:r>
          </w:p>
        </w:tc>
        <w:tc>
          <w:tcPr>
            <w:tcW w:w="685" w:type="dxa"/>
            <w:vAlign w:val="center"/>
          </w:tcPr>
          <w:p w14:paraId="0D9C8A3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84.5</w:t>
            </w:r>
          </w:p>
        </w:tc>
      </w:tr>
      <w:tr w:rsidR="00046C2C" w:rsidRPr="00791F12" w14:paraId="52C652A4" w14:textId="77777777" w:rsidTr="004323AE">
        <w:trPr>
          <w:jc w:val="center"/>
        </w:trPr>
        <w:tc>
          <w:tcPr>
            <w:tcW w:w="2424" w:type="dxa"/>
            <w:vAlign w:val="center"/>
          </w:tcPr>
          <w:p w14:paraId="418D0C3E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>₂/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>₂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5)</w:t>
            </w:r>
          </w:p>
        </w:tc>
        <w:tc>
          <w:tcPr>
            <w:tcW w:w="695" w:type="dxa"/>
            <w:vAlign w:val="center"/>
          </w:tcPr>
          <w:p w14:paraId="5B1B772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&gt;300</w:t>
            </w:r>
          </w:p>
        </w:tc>
        <w:tc>
          <w:tcPr>
            <w:tcW w:w="689" w:type="dxa"/>
            <w:vAlign w:val="center"/>
          </w:tcPr>
          <w:p w14:paraId="47B6B15D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0.750</w:t>
            </w:r>
          </w:p>
        </w:tc>
        <w:tc>
          <w:tcPr>
            <w:tcW w:w="1166" w:type="dxa"/>
            <w:vAlign w:val="center"/>
          </w:tcPr>
          <w:p w14:paraId="46BF1E5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0.672–0.818</w:t>
            </w:r>
          </w:p>
        </w:tc>
        <w:tc>
          <w:tcPr>
            <w:tcW w:w="1029" w:type="dxa"/>
            <w:vAlign w:val="center"/>
          </w:tcPr>
          <w:p w14:paraId="2CFBDC7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85.7</w:t>
            </w:r>
          </w:p>
        </w:tc>
        <w:tc>
          <w:tcPr>
            <w:tcW w:w="964" w:type="dxa"/>
            <w:vAlign w:val="center"/>
          </w:tcPr>
          <w:p w14:paraId="55460B3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64.3</w:t>
            </w:r>
          </w:p>
        </w:tc>
        <w:tc>
          <w:tcPr>
            <w:tcW w:w="570" w:type="dxa"/>
            <w:vAlign w:val="center"/>
          </w:tcPr>
          <w:p w14:paraId="7B29F19B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42.9</w:t>
            </w:r>
          </w:p>
        </w:tc>
        <w:tc>
          <w:tcPr>
            <w:tcW w:w="685" w:type="dxa"/>
            <w:vAlign w:val="center"/>
          </w:tcPr>
          <w:p w14:paraId="1326CE5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93.5</w:t>
            </w:r>
          </w:p>
        </w:tc>
      </w:tr>
      <w:tr w:rsidR="00046C2C" w:rsidRPr="00791F12" w14:paraId="58ACB513" w14:textId="77777777" w:rsidTr="004323AE">
        <w:trPr>
          <w:jc w:val="center"/>
        </w:trPr>
        <w:tc>
          <w:tcPr>
            <w:tcW w:w="2424" w:type="dxa"/>
            <w:vAlign w:val="center"/>
          </w:tcPr>
          <w:p w14:paraId="1D5D4D86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>₂/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>₂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7)</w:t>
            </w:r>
          </w:p>
        </w:tc>
        <w:tc>
          <w:tcPr>
            <w:tcW w:w="695" w:type="dxa"/>
            <w:vAlign w:val="center"/>
          </w:tcPr>
          <w:p w14:paraId="1F73CF6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&gt;300</w:t>
            </w:r>
          </w:p>
        </w:tc>
        <w:tc>
          <w:tcPr>
            <w:tcW w:w="689" w:type="dxa"/>
            <w:vAlign w:val="center"/>
          </w:tcPr>
          <w:p w14:paraId="38E814A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0.700</w:t>
            </w:r>
          </w:p>
        </w:tc>
        <w:tc>
          <w:tcPr>
            <w:tcW w:w="1166" w:type="dxa"/>
            <w:vAlign w:val="center"/>
          </w:tcPr>
          <w:p w14:paraId="3A6C548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0.619–0.773</w:t>
            </w:r>
          </w:p>
        </w:tc>
        <w:tc>
          <w:tcPr>
            <w:tcW w:w="1029" w:type="dxa"/>
            <w:vAlign w:val="center"/>
          </w:tcPr>
          <w:p w14:paraId="68F2C7E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80.0</w:t>
            </w:r>
          </w:p>
        </w:tc>
        <w:tc>
          <w:tcPr>
            <w:tcW w:w="964" w:type="dxa"/>
            <w:vAlign w:val="center"/>
          </w:tcPr>
          <w:p w14:paraId="44EBF07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63.4</w:t>
            </w:r>
          </w:p>
        </w:tc>
        <w:tc>
          <w:tcPr>
            <w:tcW w:w="570" w:type="dxa"/>
            <w:vAlign w:val="center"/>
          </w:tcPr>
          <w:p w14:paraId="2A74CF43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40.6</w:t>
            </w:r>
          </w:p>
        </w:tc>
        <w:tc>
          <w:tcPr>
            <w:tcW w:w="685" w:type="dxa"/>
            <w:vAlign w:val="center"/>
          </w:tcPr>
          <w:p w14:paraId="5E40027F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91.0</w:t>
            </w:r>
          </w:p>
        </w:tc>
      </w:tr>
      <w:tr w:rsidR="00046C2C" w:rsidRPr="00791F12" w14:paraId="79CBF229" w14:textId="77777777" w:rsidTr="004323AE">
        <w:trPr>
          <w:jc w:val="center"/>
        </w:trPr>
        <w:tc>
          <w:tcPr>
            <w:tcW w:w="2424" w:type="dxa"/>
            <w:vAlign w:val="center"/>
          </w:tcPr>
          <w:p w14:paraId="74AB8C2A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Glasgow </w:t>
            </w:r>
            <w:proofErr w:type="spellStart"/>
            <w:r w:rsidRPr="00791F12">
              <w:rPr>
                <w:color w:val="000000" w:themeColor="text1"/>
              </w:rPr>
              <w:t>Coma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Scale</w:t>
            </w:r>
            <w:proofErr w:type="spellEnd"/>
            <w:r w:rsidRPr="00791F12">
              <w:rPr>
                <w:color w:val="000000" w:themeColor="text1"/>
              </w:rPr>
              <w:t xml:space="preserve">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5)</w:t>
            </w:r>
          </w:p>
        </w:tc>
        <w:tc>
          <w:tcPr>
            <w:tcW w:w="695" w:type="dxa"/>
            <w:vAlign w:val="center"/>
          </w:tcPr>
          <w:p w14:paraId="742D278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&gt;8</w:t>
            </w:r>
          </w:p>
        </w:tc>
        <w:tc>
          <w:tcPr>
            <w:tcW w:w="689" w:type="dxa"/>
            <w:vAlign w:val="center"/>
          </w:tcPr>
          <w:p w14:paraId="03528B6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0.644</w:t>
            </w:r>
          </w:p>
        </w:tc>
        <w:tc>
          <w:tcPr>
            <w:tcW w:w="1166" w:type="dxa"/>
            <w:vAlign w:val="center"/>
          </w:tcPr>
          <w:p w14:paraId="10BB107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0.561–0.721</w:t>
            </w:r>
          </w:p>
        </w:tc>
        <w:tc>
          <w:tcPr>
            <w:tcW w:w="1029" w:type="dxa"/>
            <w:vAlign w:val="center"/>
          </w:tcPr>
          <w:p w14:paraId="737460F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54.3</w:t>
            </w:r>
          </w:p>
        </w:tc>
        <w:tc>
          <w:tcPr>
            <w:tcW w:w="964" w:type="dxa"/>
            <w:vAlign w:val="center"/>
          </w:tcPr>
          <w:p w14:paraId="52B9584C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71.4</w:t>
            </w:r>
          </w:p>
        </w:tc>
        <w:tc>
          <w:tcPr>
            <w:tcW w:w="570" w:type="dxa"/>
            <w:vAlign w:val="center"/>
          </w:tcPr>
          <w:p w14:paraId="2B7D30A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37.3</w:t>
            </w:r>
          </w:p>
        </w:tc>
        <w:tc>
          <w:tcPr>
            <w:tcW w:w="685" w:type="dxa"/>
            <w:vAlign w:val="center"/>
          </w:tcPr>
          <w:p w14:paraId="7CC056B9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83.3</w:t>
            </w:r>
          </w:p>
        </w:tc>
      </w:tr>
      <w:tr w:rsidR="00046C2C" w:rsidRPr="00791F12" w14:paraId="4B5FCFB0" w14:textId="77777777" w:rsidTr="004323AE">
        <w:trPr>
          <w:jc w:val="center"/>
        </w:trPr>
        <w:tc>
          <w:tcPr>
            <w:tcW w:w="2424" w:type="dxa"/>
            <w:vAlign w:val="center"/>
          </w:tcPr>
          <w:p w14:paraId="201611F2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CPIS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3)</w:t>
            </w:r>
          </w:p>
        </w:tc>
        <w:tc>
          <w:tcPr>
            <w:tcW w:w="695" w:type="dxa"/>
            <w:vAlign w:val="center"/>
          </w:tcPr>
          <w:p w14:paraId="09BB3EEB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≤5</w:t>
            </w:r>
          </w:p>
        </w:tc>
        <w:tc>
          <w:tcPr>
            <w:tcW w:w="689" w:type="dxa"/>
            <w:vAlign w:val="center"/>
          </w:tcPr>
          <w:p w14:paraId="6F69743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0.616</w:t>
            </w:r>
          </w:p>
        </w:tc>
        <w:tc>
          <w:tcPr>
            <w:tcW w:w="1166" w:type="dxa"/>
            <w:vAlign w:val="center"/>
          </w:tcPr>
          <w:p w14:paraId="3B9C60AF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0.532–0.695</w:t>
            </w:r>
          </w:p>
        </w:tc>
        <w:tc>
          <w:tcPr>
            <w:tcW w:w="1029" w:type="dxa"/>
            <w:vAlign w:val="center"/>
          </w:tcPr>
          <w:p w14:paraId="7935F96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68.6</w:t>
            </w:r>
          </w:p>
        </w:tc>
        <w:tc>
          <w:tcPr>
            <w:tcW w:w="964" w:type="dxa"/>
            <w:vAlign w:val="center"/>
          </w:tcPr>
          <w:p w14:paraId="26ADF0D6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50.9</w:t>
            </w:r>
          </w:p>
        </w:tc>
        <w:tc>
          <w:tcPr>
            <w:tcW w:w="570" w:type="dxa"/>
            <w:vAlign w:val="center"/>
          </w:tcPr>
          <w:p w14:paraId="79FD048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30.4</w:t>
            </w:r>
          </w:p>
        </w:tc>
        <w:tc>
          <w:tcPr>
            <w:tcW w:w="685" w:type="dxa"/>
            <w:vAlign w:val="center"/>
          </w:tcPr>
          <w:p w14:paraId="7AA29CA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83.8</w:t>
            </w:r>
          </w:p>
        </w:tc>
      </w:tr>
      <w:tr w:rsidR="00046C2C" w:rsidRPr="00791F12" w14:paraId="497E37EA" w14:textId="77777777" w:rsidTr="004323AE">
        <w:trPr>
          <w:jc w:val="center"/>
        </w:trPr>
        <w:tc>
          <w:tcPr>
            <w:tcW w:w="2424" w:type="dxa"/>
            <w:vAlign w:val="center"/>
          </w:tcPr>
          <w:p w14:paraId="35AF6EE0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CPIS (</w:t>
            </w:r>
            <w:proofErr w:type="spellStart"/>
            <w:r w:rsidRPr="00791F12">
              <w:rPr>
                <w:color w:val="000000" w:themeColor="text1"/>
              </w:rPr>
              <w:t>Day</w:t>
            </w:r>
            <w:proofErr w:type="spellEnd"/>
            <w:r w:rsidRPr="00791F12">
              <w:rPr>
                <w:color w:val="000000" w:themeColor="text1"/>
              </w:rPr>
              <w:t xml:space="preserve"> 5)</w:t>
            </w:r>
          </w:p>
        </w:tc>
        <w:tc>
          <w:tcPr>
            <w:tcW w:w="695" w:type="dxa"/>
            <w:vAlign w:val="center"/>
          </w:tcPr>
          <w:p w14:paraId="263D5C5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≤4</w:t>
            </w:r>
          </w:p>
        </w:tc>
        <w:tc>
          <w:tcPr>
            <w:tcW w:w="689" w:type="dxa"/>
            <w:vAlign w:val="center"/>
          </w:tcPr>
          <w:p w14:paraId="1B0C751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0.671</w:t>
            </w:r>
          </w:p>
        </w:tc>
        <w:tc>
          <w:tcPr>
            <w:tcW w:w="1166" w:type="dxa"/>
            <w:vAlign w:val="center"/>
          </w:tcPr>
          <w:p w14:paraId="47F3992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0.588–0.746</w:t>
            </w:r>
          </w:p>
        </w:tc>
        <w:tc>
          <w:tcPr>
            <w:tcW w:w="1029" w:type="dxa"/>
            <w:vAlign w:val="center"/>
          </w:tcPr>
          <w:p w14:paraId="6747BC7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74.3</w:t>
            </w:r>
          </w:p>
        </w:tc>
        <w:tc>
          <w:tcPr>
            <w:tcW w:w="964" w:type="dxa"/>
            <w:vAlign w:val="center"/>
          </w:tcPr>
          <w:p w14:paraId="46171E9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59.8</w:t>
            </w:r>
          </w:p>
        </w:tc>
        <w:tc>
          <w:tcPr>
            <w:tcW w:w="570" w:type="dxa"/>
            <w:vAlign w:val="center"/>
          </w:tcPr>
          <w:p w14:paraId="7FFE5C00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36.6</w:t>
            </w:r>
          </w:p>
        </w:tc>
        <w:tc>
          <w:tcPr>
            <w:tcW w:w="685" w:type="dxa"/>
            <w:vAlign w:val="center"/>
          </w:tcPr>
          <w:p w14:paraId="5C1C6C93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88.2</w:t>
            </w:r>
          </w:p>
        </w:tc>
      </w:tr>
      <w:tr w:rsidR="00046C2C" w:rsidRPr="00791F12" w14:paraId="4DE1C532" w14:textId="77777777" w:rsidTr="004323AE">
        <w:trPr>
          <w:jc w:val="center"/>
        </w:trPr>
        <w:tc>
          <w:tcPr>
            <w:tcW w:w="2424" w:type="dxa"/>
            <w:vAlign w:val="center"/>
          </w:tcPr>
          <w:p w14:paraId="0A33F729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Colistin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use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during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</w:p>
        </w:tc>
        <w:tc>
          <w:tcPr>
            <w:tcW w:w="695" w:type="dxa"/>
            <w:vAlign w:val="center"/>
          </w:tcPr>
          <w:p w14:paraId="069D89A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</w:t>
            </w:r>
          </w:p>
        </w:tc>
        <w:tc>
          <w:tcPr>
            <w:tcW w:w="689" w:type="dxa"/>
            <w:vAlign w:val="center"/>
          </w:tcPr>
          <w:p w14:paraId="64B5C5F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0.670</w:t>
            </w:r>
          </w:p>
        </w:tc>
        <w:tc>
          <w:tcPr>
            <w:tcW w:w="1166" w:type="dxa"/>
            <w:vAlign w:val="center"/>
          </w:tcPr>
          <w:p w14:paraId="2C799FA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0.587–0.745</w:t>
            </w:r>
          </w:p>
        </w:tc>
        <w:tc>
          <w:tcPr>
            <w:tcW w:w="1029" w:type="dxa"/>
            <w:vAlign w:val="center"/>
          </w:tcPr>
          <w:p w14:paraId="50EF9A18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71.4</w:t>
            </w:r>
          </w:p>
        </w:tc>
        <w:tc>
          <w:tcPr>
            <w:tcW w:w="964" w:type="dxa"/>
            <w:vAlign w:val="center"/>
          </w:tcPr>
          <w:p w14:paraId="12F77A4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62.5</w:t>
            </w:r>
          </w:p>
        </w:tc>
        <w:tc>
          <w:tcPr>
            <w:tcW w:w="570" w:type="dxa"/>
            <w:vAlign w:val="center"/>
          </w:tcPr>
          <w:p w14:paraId="3B1B2E1E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37.3</w:t>
            </w:r>
          </w:p>
        </w:tc>
        <w:tc>
          <w:tcPr>
            <w:tcW w:w="685" w:type="dxa"/>
            <w:vAlign w:val="center"/>
          </w:tcPr>
          <w:p w14:paraId="1CC5087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87.5</w:t>
            </w:r>
          </w:p>
        </w:tc>
      </w:tr>
      <w:tr w:rsidR="00046C2C" w:rsidRPr="00791F12" w14:paraId="266542EF" w14:textId="77777777" w:rsidTr="004323AE">
        <w:trPr>
          <w:jc w:val="center"/>
        </w:trPr>
        <w:tc>
          <w:tcPr>
            <w:tcW w:w="2424" w:type="dxa"/>
            <w:vAlign w:val="center"/>
          </w:tcPr>
          <w:p w14:paraId="6956E973" w14:textId="77777777" w:rsidR="00046C2C" w:rsidRPr="00791F12" w:rsidRDefault="00046C2C" w:rsidP="004323AE">
            <w:pPr>
              <w:spacing w:before="60"/>
              <w:rPr>
                <w:color w:val="000000" w:themeColor="text1"/>
              </w:rPr>
            </w:pPr>
            <w:proofErr w:type="spellStart"/>
            <w:r w:rsidRPr="00791F12">
              <w:rPr>
                <w:color w:val="000000" w:themeColor="text1"/>
              </w:rPr>
              <w:t>Antibiotic-free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days</w:t>
            </w:r>
            <w:proofErr w:type="spellEnd"/>
          </w:p>
        </w:tc>
        <w:tc>
          <w:tcPr>
            <w:tcW w:w="695" w:type="dxa"/>
            <w:vAlign w:val="center"/>
          </w:tcPr>
          <w:p w14:paraId="4646DC42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&gt;4</w:t>
            </w:r>
          </w:p>
        </w:tc>
        <w:tc>
          <w:tcPr>
            <w:tcW w:w="689" w:type="dxa"/>
            <w:vAlign w:val="center"/>
          </w:tcPr>
          <w:p w14:paraId="277CB701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0.665</w:t>
            </w:r>
          </w:p>
        </w:tc>
        <w:tc>
          <w:tcPr>
            <w:tcW w:w="1166" w:type="dxa"/>
            <w:vAlign w:val="center"/>
          </w:tcPr>
          <w:p w14:paraId="768571D5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0.574–0.747</w:t>
            </w:r>
          </w:p>
        </w:tc>
        <w:tc>
          <w:tcPr>
            <w:tcW w:w="1029" w:type="dxa"/>
            <w:vAlign w:val="center"/>
          </w:tcPr>
          <w:p w14:paraId="786CFBB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82.9</w:t>
            </w:r>
          </w:p>
        </w:tc>
        <w:tc>
          <w:tcPr>
            <w:tcW w:w="964" w:type="dxa"/>
            <w:vAlign w:val="center"/>
          </w:tcPr>
          <w:p w14:paraId="0801F873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45.0</w:t>
            </w:r>
          </w:p>
        </w:tc>
        <w:tc>
          <w:tcPr>
            <w:tcW w:w="570" w:type="dxa"/>
            <w:vAlign w:val="center"/>
          </w:tcPr>
          <w:p w14:paraId="4EA4FA37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37.2</w:t>
            </w:r>
          </w:p>
        </w:tc>
        <w:tc>
          <w:tcPr>
            <w:tcW w:w="685" w:type="dxa"/>
            <w:vAlign w:val="center"/>
          </w:tcPr>
          <w:p w14:paraId="2A1FF0CA" w14:textId="77777777" w:rsidR="00046C2C" w:rsidRPr="00791F12" w:rsidRDefault="00046C2C" w:rsidP="004323AE">
            <w:pPr>
              <w:spacing w:before="60"/>
              <w:jc w:val="center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>87.0</w:t>
            </w:r>
          </w:p>
        </w:tc>
      </w:tr>
      <w:tr w:rsidR="00046C2C" w:rsidRPr="00791F12" w14:paraId="1723EE76" w14:textId="77777777" w:rsidTr="004323AE">
        <w:trPr>
          <w:jc w:val="center"/>
        </w:trPr>
        <w:tc>
          <w:tcPr>
            <w:tcW w:w="8222" w:type="dxa"/>
            <w:gridSpan w:val="8"/>
          </w:tcPr>
          <w:p w14:paraId="15C5A497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  <w:color w:val="000000" w:themeColor="text1"/>
              </w:rPr>
              <w:t>Abbreviations</w:t>
            </w:r>
            <w:proofErr w:type="spellEnd"/>
            <w:r w:rsidRPr="00791F12">
              <w:rPr>
                <w:b/>
                <w:bCs/>
                <w:color w:val="000000" w:themeColor="text1"/>
              </w:rPr>
              <w:t xml:space="preserve">: </w:t>
            </w:r>
            <w:r w:rsidRPr="00791F12">
              <w:rPr>
                <w:color w:val="000000" w:themeColor="text1"/>
              </w:rPr>
              <w:t xml:space="preserve">AUC, </w:t>
            </w:r>
            <w:proofErr w:type="spellStart"/>
            <w:r w:rsidRPr="00791F12">
              <w:rPr>
                <w:color w:val="000000" w:themeColor="text1"/>
              </w:rPr>
              <w:t>area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under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the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curve</w:t>
            </w:r>
            <w:proofErr w:type="spellEnd"/>
            <w:r w:rsidRPr="00791F12">
              <w:rPr>
                <w:color w:val="000000" w:themeColor="text1"/>
              </w:rPr>
              <w:t xml:space="preserve">; PPV, </w:t>
            </w:r>
            <w:proofErr w:type="spellStart"/>
            <w:r w:rsidRPr="00791F12">
              <w:rPr>
                <w:color w:val="000000" w:themeColor="text1"/>
              </w:rPr>
              <w:t>positive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predictive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value</w:t>
            </w:r>
            <w:proofErr w:type="spellEnd"/>
            <w:r w:rsidRPr="00791F12">
              <w:rPr>
                <w:color w:val="000000" w:themeColor="text1"/>
              </w:rPr>
              <w:t xml:space="preserve">; NPV, </w:t>
            </w:r>
            <w:proofErr w:type="spellStart"/>
            <w:r w:rsidRPr="00791F12">
              <w:rPr>
                <w:color w:val="000000" w:themeColor="text1"/>
              </w:rPr>
              <w:t>negative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predictive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value</w:t>
            </w:r>
            <w:proofErr w:type="spellEnd"/>
            <w:r w:rsidRPr="00791F12">
              <w:rPr>
                <w:color w:val="000000" w:themeColor="text1"/>
              </w:rPr>
              <w:t xml:space="preserve">; CI, </w:t>
            </w:r>
            <w:proofErr w:type="spellStart"/>
            <w:r w:rsidRPr="00791F12">
              <w:rPr>
                <w:color w:val="000000" w:themeColor="text1"/>
              </w:rPr>
              <w:t>confidence</w:t>
            </w:r>
            <w:proofErr w:type="spellEnd"/>
            <w:r w:rsidRPr="00791F12">
              <w:rPr>
                <w:color w:val="000000" w:themeColor="text1"/>
              </w:rPr>
              <w:t xml:space="preserve"> interval; PA, posterior–anterior; PCT, </w:t>
            </w:r>
            <w:proofErr w:type="spellStart"/>
            <w:r w:rsidRPr="00791F12">
              <w:rPr>
                <w:color w:val="000000" w:themeColor="text1"/>
              </w:rPr>
              <w:t>procalcitonin</w:t>
            </w:r>
            <w:proofErr w:type="spellEnd"/>
            <w:r w:rsidRPr="00791F12">
              <w:rPr>
                <w:color w:val="000000" w:themeColor="text1"/>
              </w:rPr>
              <w:t>; CRP, C-</w:t>
            </w:r>
            <w:proofErr w:type="spellStart"/>
            <w:r w:rsidRPr="00791F12">
              <w:rPr>
                <w:color w:val="000000" w:themeColor="text1"/>
              </w:rPr>
              <w:t>reactive</w:t>
            </w:r>
            <w:proofErr w:type="spellEnd"/>
            <w:r w:rsidRPr="00791F12">
              <w:rPr>
                <w:color w:val="000000" w:themeColor="text1"/>
              </w:rPr>
              <w:t xml:space="preserve"> protein; </w:t>
            </w:r>
            <w:proofErr w:type="spellStart"/>
            <w:r w:rsidRPr="00791F12">
              <w:rPr>
                <w:color w:val="000000" w:themeColor="text1"/>
              </w:rPr>
              <w:t>PaO</w:t>
            </w:r>
            <w:proofErr w:type="spellEnd"/>
            <w:r w:rsidRPr="00791F12">
              <w:rPr>
                <w:color w:val="000000" w:themeColor="text1"/>
              </w:rPr>
              <w:t xml:space="preserve">₂, </w:t>
            </w:r>
            <w:proofErr w:type="spellStart"/>
            <w:r w:rsidRPr="00791F12">
              <w:rPr>
                <w:color w:val="000000" w:themeColor="text1"/>
              </w:rPr>
              <w:t>arterial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partial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pressure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oxygen</w:t>
            </w:r>
            <w:proofErr w:type="spellEnd"/>
            <w:r w:rsidRPr="00791F12">
              <w:rPr>
                <w:color w:val="000000" w:themeColor="text1"/>
              </w:rPr>
              <w:t xml:space="preserve">; </w:t>
            </w:r>
            <w:proofErr w:type="spellStart"/>
            <w:r w:rsidRPr="00791F12">
              <w:rPr>
                <w:color w:val="000000" w:themeColor="text1"/>
              </w:rPr>
              <w:t>FiO</w:t>
            </w:r>
            <w:proofErr w:type="spellEnd"/>
            <w:r w:rsidRPr="00791F12">
              <w:rPr>
                <w:color w:val="000000" w:themeColor="text1"/>
              </w:rPr>
              <w:t xml:space="preserve">₂, </w:t>
            </w:r>
            <w:proofErr w:type="spellStart"/>
            <w:r w:rsidRPr="00791F12">
              <w:rPr>
                <w:color w:val="000000" w:themeColor="text1"/>
              </w:rPr>
              <w:t>fraction</w:t>
            </w:r>
            <w:proofErr w:type="spellEnd"/>
            <w:r w:rsidRPr="00791F12">
              <w:rPr>
                <w:color w:val="000000" w:themeColor="text1"/>
              </w:rPr>
              <w:t xml:space="preserve"> of </w:t>
            </w:r>
            <w:proofErr w:type="spellStart"/>
            <w:r w:rsidRPr="00791F12">
              <w:rPr>
                <w:color w:val="000000" w:themeColor="text1"/>
              </w:rPr>
              <w:t>inspired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oxygen</w:t>
            </w:r>
            <w:proofErr w:type="spellEnd"/>
            <w:r w:rsidRPr="00791F12">
              <w:rPr>
                <w:color w:val="000000" w:themeColor="text1"/>
              </w:rPr>
              <w:t xml:space="preserve">; CPIS, </w:t>
            </w:r>
            <w:proofErr w:type="spellStart"/>
            <w:r w:rsidRPr="00791F12">
              <w:rPr>
                <w:color w:val="000000" w:themeColor="text1"/>
              </w:rPr>
              <w:t>Clinical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Pulmonary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Infection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Score</w:t>
            </w:r>
            <w:proofErr w:type="spellEnd"/>
            <w:r w:rsidRPr="00791F12">
              <w:rPr>
                <w:color w:val="000000" w:themeColor="text1"/>
              </w:rPr>
              <w:t xml:space="preserve">; GCS, Glasgow </w:t>
            </w:r>
            <w:proofErr w:type="spellStart"/>
            <w:r w:rsidRPr="00791F12">
              <w:rPr>
                <w:color w:val="000000" w:themeColor="text1"/>
              </w:rPr>
              <w:t>Coma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Scale</w:t>
            </w:r>
            <w:proofErr w:type="spellEnd"/>
            <w:r w:rsidRPr="00791F12">
              <w:rPr>
                <w:color w:val="000000" w:themeColor="text1"/>
              </w:rPr>
              <w:t>.</w:t>
            </w:r>
          </w:p>
          <w:p w14:paraId="5A47FF8F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</w:p>
        </w:tc>
      </w:tr>
    </w:tbl>
    <w:p w14:paraId="6FFB3664" w14:textId="77777777" w:rsidR="00046C2C" w:rsidRPr="00791F12" w:rsidRDefault="00046C2C" w:rsidP="00046C2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8A7F47" w14:textId="1538AC64" w:rsidR="00046C2C" w:rsidRPr="00791F12" w:rsidRDefault="00046C2C" w:rsidP="00046C2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11.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Correlation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Matrix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Study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Criteria</w:t>
      </w:r>
      <w:proofErr w:type="spellEnd"/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421"/>
        <w:gridCol w:w="875"/>
        <w:gridCol w:w="875"/>
        <w:gridCol w:w="875"/>
        <w:gridCol w:w="875"/>
        <w:gridCol w:w="875"/>
        <w:gridCol w:w="875"/>
        <w:gridCol w:w="875"/>
      </w:tblGrid>
      <w:tr w:rsidR="00046C2C" w:rsidRPr="00791F12" w14:paraId="16B1EE1B" w14:textId="77777777" w:rsidTr="004323AE">
        <w:trPr>
          <w:cantSplit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A419B9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1FBA13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D638F6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80F12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B1433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B6D204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47B0DB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FCA225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894920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C7</w:t>
            </w:r>
          </w:p>
        </w:tc>
      </w:tr>
      <w:tr w:rsidR="00046C2C" w:rsidRPr="00791F12" w14:paraId="6847DEC0" w14:textId="77777777" w:rsidTr="004323AE">
        <w:trPr>
          <w:cantSplit/>
          <w:jc w:val="center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084F0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DD6B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2929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AE13C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9953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ECD6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AC18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E710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6289A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3E5CB65E" w14:textId="77777777" w:rsidTr="004323AE">
        <w:trPr>
          <w:cantSplit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395B1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87E6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6620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AC79B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752E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3481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1B01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C2CA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09F08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0A849BA3" w14:textId="77777777" w:rsidTr="004323AE">
        <w:trPr>
          <w:cantSplit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CD19C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1C04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A425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70596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19A2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4BC8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1CE3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0733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C1B68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7FC0BE1D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1C5364F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C2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559D7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6C57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2E51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2A677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EF83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66A7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E5DE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65FDA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3F6949D2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204A658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14:paraId="6126DEB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ADC1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9138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0EE0F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9ED3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DAC9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23E3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99DAB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3C3297A4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541C9D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14:paraId="07EA158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9C2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7C35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0E4F5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6181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7FF2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372B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3505F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64934D34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7BF0505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C3</w:t>
            </w:r>
          </w:p>
        </w:tc>
        <w:tc>
          <w:tcPr>
            <w:tcW w:w="426" w:type="dxa"/>
            <w:shd w:val="clear" w:color="auto" w:fill="FFFFFF"/>
          </w:tcPr>
          <w:p w14:paraId="4D47B4D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F1404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0.076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3C733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0.247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BA82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0F482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F9B1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CBD1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EF9E2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44E10AAD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0205BA9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0D38ED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3F1AB39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0.362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E691D5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96AEB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9EA9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A691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E925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4FE3B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472A9BCB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0863651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6829FFD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2E47D45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4A8BD4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7334A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8946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33A0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5A78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A904D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4BCADACB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48A79AB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C4</w:t>
            </w:r>
          </w:p>
        </w:tc>
        <w:tc>
          <w:tcPr>
            <w:tcW w:w="426" w:type="dxa"/>
            <w:shd w:val="clear" w:color="auto" w:fill="FFFFFF"/>
          </w:tcPr>
          <w:p w14:paraId="60E7C58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3692DFA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0.185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B9C032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0.144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B31F36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41A3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DF79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F0B7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B8420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1AF14B8F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038711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5056726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1F70332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2E677FE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0.094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3A2190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0.091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A8160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1487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5826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08715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3724B38A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35EC79E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4C0D5B4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37745E4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651CAA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AD8EC2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E8221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71376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7633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55943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6F6D2C8A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160884A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C5</w:t>
            </w:r>
          </w:p>
        </w:tc>
        <w:tc>
          <w:tcPr>
            <w:tcW w:w="426" w:type="dxa"/>
            <w:shd w:val="clear" w:color="auto" w:fill="FFFFFF"/>
          </w:tcPr>
          <w:p w14:paraId="5FD509F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0AEC8E7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0.316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022527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0.307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2FC31E1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B651C6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0.441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B94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F878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8EC6C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2E9D06A8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A529F5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5EB6E9E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2A38FA7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6EDB17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47BE4DA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AB6635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0F33F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864C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4E804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0EFFD702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5915181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194A525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5345DCF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A3A2E1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507240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DFF4F6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9526B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FAF23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2B7A4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31891307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07E824F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C6</w:t>
            </w:r>
          </w:p>
        </w:tc>
        <w:tc>
          <w:tcPr>
            <w:tcW w:w="426" w:type="dxa"/>
            <w:shd w:val="clear" w:color="auto" w:fill="FFFFFF"/>
          </w:tcPr>
          <w:p w14:paraId="6FDE1AB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36B5127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0.164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B931E0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0.254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5F4ADF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6C3B7E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0.180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D71D49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0.161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61C0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9EB4C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2BE83C54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2ABAEE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F610EE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0985CF6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D722BD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0096C6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0.724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491021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A09EF3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2A058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2357B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240FD3D1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075F353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6A8A2D0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51EDD3B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2BDFBE1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418D45F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3C0D52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7BD8E7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0F0A2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63AE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6C2C" w:rsidRPr="00791F12" w14:paraId="4AB90D8C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0E3DCF7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C7</w:t>
            </w:r>
          </w:p>
        </w:tc>
        <w:tc>
          <w:tcPr>
            <w:tcW w:w="426" w:type="dxa"/>
            <w:shd w:val="clear" w:color="auto" w:fill="FFFFFF"/>
          </w:tcPr>
          <w:p w14:paraId="744D009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491B899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-0.091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4079B09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-0.099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778185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0.080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54AEE7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6AB26C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0.093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EFC126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-0.105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5A353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046C2C" w:rsidRPr="00791F12" w14:paraId="0010C410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38498A0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7841040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7144B0C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0.275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33E7E2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F7AC9D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49DA93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0.304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F72D0E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0.263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42C5AAF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0.204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43C157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46C2C" w:rsidRPr="00791F12" w14:paraId="0C353184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1E3E4C0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56F703C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5D57E37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FBE631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5EB28F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98E6E0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81F0F0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A8F6FE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BC4E94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046C2C" w:rsidRPr="00791F12" w14:paraId="27821C85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6FB952B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criteria</w:t>
            </w:r>
            <w:proofErr w:type="spellEnd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≥4</w:t>
            </w:r>
          </w:p>
        </w:tc>
        <w:tc>
          <w:tcPr>
            <w:tcW w:w="426" w:type="dxa"/>
            <w:shd w:val="clear" w:color="auto" w:fill="FFFFFF"/>
          </w:tcPr>
          <w:p w14:paraId="33A643E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0C884C5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0.394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3E5616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0.505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1D65DF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0.327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47DEE93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0.459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4DA6278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0.609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A46DDC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0.500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BB7DC1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0.153</w:t>
            </w:r>
          </w:p>
        </w:tc>
      </w:tr>
      <w:tr w:rsidR="00046C2C" w:rsidRPr="00791F12" w14:paraId="693053FC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58CD17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464C901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024044E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6A0327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ABE378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E64736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EAD30E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539138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29B03D6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0.064</w:t>
            </w:r>
          </w:p>
        </w:tc>
      </w:tr>
      <w:tr w:rsidR="00046C2C" w:rsidRPr="00791F12" w14:paraId="77C6A4C1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E12D3E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57E0D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4D5A750C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2249236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6ADF07C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93AE27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30FDD68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2ADAC4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BB632C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046C2C" w:rsidRPr="00791F12" w14:paraId="74C82726" w14:textId="77777777" w:rsidTr="004323AE">
        <w:trPr>
          <w:cantSplit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1AAB744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criteria</w:t>
            </w:r>
            <w:proofErr w:type="spellEnd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≥5</w:t>
            </w:r>
          </w:p>
        </w:tc>
        <w:tc>
          <w:tcPr>
            <w:tcW w:w="426" w:type="dxa"/>
            <w:shd w:val="clear" w:color="auto" w:fill="FFFFFF"/>
          </w:tcPr>
          <w:p w14:paraId="3E97AA1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5B6440D1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0.368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017685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0.382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D09D5D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0.437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4D5CD6C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0.652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DA90D1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0.612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96872BD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0.384</w:t>
            </w: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706A3D7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0.157</w:t>
            </w:r>
          </w:p>
        </w:tc>
      </w:tr>
      <w:tr w:rsidR="00046C2C" w:rsidRPr="00791F12" w14:paraId="369E0420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3D92D7E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4571F04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3F1B4CC0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55C38BF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DF9A67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D731996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3A975D9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71ABDF5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7F6155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</w:tr>
      <w:tr w:rsidR="00046C2C" w:rsidRPr="00791F12" w14:paraId="1A8390DE" w14:textId="77777777" w:rsidTr="004323AE">
        <w:trPr>
          <w:cantSplit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6710FEC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120B69F2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888" w:type="dxa"/>
            <w:shd w:val="clear" w:color="auto" w:fill="FFFFFF"/>
            <w:vAlign w:val="center"/>
          </w:tcPr>
          <w:p w14:paraId="5AEC253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305D2AB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13D7A7E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2E90E17B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726FDE3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DE6900A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130DC64" w14:textId="77777777" w:rsidR="00046C2C" w:rsidRPr="00791F12" w:rsidRDefault="00046C2C" w:rsidP="004323AE">
            <w:pPr>
              <w:autoSpaceDE w:val="0"/>
              <w:autoSpaceDN w:val="0"/>
              <w:adjustRightInd w:val="0"/>
              <w:spacing w:before="40" w:after="4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</w:tr>
    </w:tbl>
    <w:p w14:paraId="1E24498B" w14:textId="77777777" w:rsidR="00046C2C" w:rsidRPr="00791F12" w:rsidRDefault="00046C2C" w:rsidP="00046C2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1262EB0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0DA03EE" w14:textId="77777777" w:rsidR="00046C2C" w:rsidRPr="00791F12" w:rsidRDefault="00046C2C" w:rsidP="00046C2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12.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Compliance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STTG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LTTG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with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Predefined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Short-Term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Treatment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Criteria</w:t>
      </w:r>
      <w:proofErr w:type="spellEnd"/>
    </w:p>
    <w:tbl>
      <w:tblPr>
        <w:tblStyle w:val="TabloKlavuzu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1480"/>
        <w:gridCol w:w="1479"/>
        <w:gridCol w:w="888"/>
        <w:gridCol w:w="887"/>
        <w:gridCol w:w="1183"/>
      </w:tblGrid>
      <w:tr w:rsidR="00046C2C" w:rsidRPr="00791F12" w14:paraId="32144640" w14:textId="77777777" w:rsidTr="004323AE">
        <w:trPr>
          <w:jc w:val="center"/>
        </w:trPr>
        <w:tc>
          <w:tcPr>
            <w:tcW w:w="2305" w:type="dxa"/>
            <w:vAlign w:val="center"/>
          </w:tcPr>
          <w:p w14:paraId="26D5B42E" w14:textId="77777777" w:rsidR="00046C2C" w:rsidRPr="00791F12" w:rsidRDefault="00046C2C" w:rsidP="004323AE">
            <w:pPr>
              <w:spacing w:before="240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Day</w:t>
            </w:r>
            <w:proofErr w:type="spellEnd"/>
            <w:r w:rsidRPr="00791F12">
              <w:rPr>
                <w:b/>
                <w:bCs/>
              </w:rPr>
              <w:t xml:space="preserve"> 5 </w:t>
            </w:r>
            <w:proofErr w:type="spellStart"/>
            <w:r w:rsidRPr="00791F12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1480" w:type="dxa"/>
            <w:vAlign w:val="center"/>
          </w:tcPr>
          <w:p w14:paraId="6F6DFFB5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STTG</w:t>
            </w:r>
          </w:p>
        </w:tc>
        <w:tc>
          <w:tcPr>
            <w:tcW w:w="1479" w:type="dxa"/>
            <w:vAlign w:val="center"/>
          </w:tcPr>
          <w:p w14:paraId="69F7A907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LTTG</w:t>
            </w:r>
          </w:p>
        </w:tc>
        <w:tc>
          <w:tcPr>
            <w:tcW w:w="888" w:type="dxa"/>
            <w:vAlign w:val="center"/>
          </w:tcPr>
          <w:p w14:paraId="5D1C6F7F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791F12">
              <w:rPr>
                <w:b/>
                <w:bCs/>
              </w:rPr>
              <w:t>p</w:t>
            </w:r>
            <w:proofErr w:type="gram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887" w:type="dxa"/>
            <w:vAlign w:val="center"/>
          </w:tcPr>
          <w:p w14:paraId="26EE41F1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OR</w:t>
            </w:r>
          </w:p>
        </w:tc>
        <w:tc>
          <w:tcPr>
            <w:tcW w:w="1183" w:type="dxa"/>
            <w:vAlign w:val="center"/>
          </w:tcPr>
          <w:p w14:paraId="1D64761F" w14:textId="77777777" w:rsidR="00046C2C" w:rsidRPr="00791F12" w:rsidRDefault="00046C2C" w:rsidP="004323AE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95% CI</w:t>
            </w:r>
          </w:p>
        </w:tc>
      </w:tr>
      <w:tr w:rsidR="00046C2C" w:rsidRPr="00791F12" w14:paraId="07ACB0DE" w14:textId="77777777" w:rsidTr="004323AE">
        <w:trPr>
          <w:jc w:val="center"/>
        </w:trPr>
        <w:tc>
          <w:tcPr>
            <w:tcW w:w="2305" w:type="dxa"/>
            <w:vAlign w:val="center"/>
          </w:tcPr>
          <w:p w14:paraId="4ED7C790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t>Absence</w:t>
            </w:r>
            <w:proofErr w:type="spellEnd"/>
            <w:r w:rsidRPr="00791F12">
              <w:t xml:space="preserve"> of </w:t>
            </w:r>
            <w:proofErr w:type="spellStart"/>
            <w:r w:rsidRPr="00791F12">
              <w:t>fever</w:t>
            </w:r>
            <w:proofErr w:type="spellEnd"/>
          </w:p>
        </w:tc>
        <w:tc>
          <w:tcPr>
            <w:tcW w:w="1480" w:type="dxa"/>
            <w:vAlign w:val="center"/>
          </w:tcPr>
          <w:p w14:paraId="470FAFA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32 (91.4%) (n=35)</w:t>
            </w:r>
          </w:p>
        </w:tc>
        <w:tc>
          <w:tcPr>
            <w:tcW w:w="1479" w:type="dxa"/>
            <w:vAlign w:val="center"/>
          </w:tcPr>
          <w:p w14:paraId="3FD1CF44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75 (67.0%) (n=112)</w:t>
            </w:r>
          </w:p>
        </w:tc>
        <w:tc>
          <w:tcPr>
            <w:tcW w:w="888" w:type="dxa"/>
            <w:vAlign w:val="center"/>
          </w:tcPr>
          <w:p w14:paraId="6F092F6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0.004</w:t>
            </w:r>
          </w:p>
        </w:tc>
        <w:tc>
          <w:tcPr>
            <w:tcW w:w="887" w:type="dxa"/>
            <w:vAlign w:val="center"/>
          </w:tcPr>
          <w:p w14:paraId="4E6B879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5.26</w:t>
            </w:r>
          </w:p>
        </w:tc>
        <w:tc>
          <w:tcPr>
            <w:tcW w:w="1183" w:type="dxa"/>
            <w:vAlign w:val="center"/>
          </w:tcPr>
          <w:p w14:paraId="0E3E50C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1.41–23.12</w:t>
            </w:r>
          </w:p>
        </w:tc>
      </w:tr>
      <w:tr w:rsidR="00046C2C" w:rsidRPr="00791F12" w14:paraId="3BD4A97C" w14:textId="77777777" w:rsidTr="004323AE">
        <w:trPr>
          <w:jc w:val="center"/>
        </w:trPr>
        <w:tc>
          <w:tcPr>
            <w:tcW w:w="2305" w:type="dxa"/>
            <w:vAlign w:val="center"/>
          </w:tcPr>
          <w:p w14:paraId="0709E355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t>PCT ≤0.5 µg/L</w:t>
            </w:r>
          </w:p>
        </w:tc>
        <w:tc>
          <w:tcPr>
            <w:tcW w:w="1480" w:type="dxa"/>
            <w:vAlign w:val="center"/>
          </w:tcPr>
          <w:p w14:paraId="2162ED9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18 (58.1%) (n=31)</w:t>
            </w:r>
          </w:p>
        </w:tc>
        <w:tc>
          <w:tcPr>
            <w:tcW w:w="1479" w:type="dxa"/>
            <w:vAlign w:val="center"/>
          </w:tcPr>
          <w:p w14:paraId="6B40F4FE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34 (32.4%) (n=105)</w:t>
            </w:r>
          </w:p>
        </w:tc>
        <w:tc>
          <w:tcPr>
            <w:tcW w:w="888" w:type="dxa"/>
            <w:vAlign w:val="center"/>
          </w:tcPr>
          <w:p w14:paraId="3603B74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0.010</w:t>
            </w:r>
          </w:p>
        </w:tc>
        <w:tc>
          <w:tcPr>
            <w:tcW w:w="887" w:type="dxa"/>
            <w:vAlign w:val="center"/>
          </w:tcPr>
          <w:p w14:paraId="4799D93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2.89</w:t>
            </w:r>
          </w:p>
        </w:tc>
        <w:tc>
          <w:tcPr>
            <w:tcW w:w="1183" w:type="dxa"/>
            <w:vAlign w:val="center"/>
          </w:tcPr>
          <w:p w14:paraId="742EA09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1.18–7.14</w:t>
            </w:r>
          </w:p>
        </w:tc>
      </w:tr>
      <w:tr w:rsidR="00046C2C" w:rsidRPr="00791F12" w14:paraId="0C68BC43" w14:textId="77777777" w:rsidTr="004323AE">
        <w:trPr>
          <w:jc w:val="center"/>
        </w:trPr>
        <w:tc>
          <w:tcPr>
            <w:tcW w:w="2305" w:type="dxa"/>
            <w:vAlign w:val="center"/>
          </w:tcPr>
          <w:p w14:paraId="6876DD06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t>CRP &lt;15 mg/</w:t>
            </w:r>
            <w:proofErr w:type="spellStart"/>
            <w:r w:rsidRPr="00791F12">
              <w:t>dL</w:t>
            </w:r>
            <w:proofErr w:type="spellEnd"/>
          </w:p>
        </w:tc>
        <w:tc>
          <w:tcPr>
            <w:tcW w:w="1480" w:type="dxa"/>
            <w:vAlign w:val="center"/>
          </w:tcPr>
          <w:p w14:paraId="330A2D5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28 (80.0%) (n=35)</w:t>
            </w:r>
          </w:p>
        </w:tc>
        <w:tc>
          <w:tcPr>
            <w:tcW w:w="1479" w:type="dxa"/>
            <w:vAlign w:val="center"/>
          </w:tcPr>
          <w:p w14:paraId="287AF7C4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59 (53.6%) (n=110)</w:t>
            </w:r>
          </w:p>
        </w:tc>
        <w:tc>
          <w:tcPr>
            <w:tcW w:w="888" w:type="dxa"/>
            <w:vAlign w:val="center"/>
          </w:tcPr>
          <w:p w14:paraId="107FEFC6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0.010</w:t>
            </w:r>
          </w:p>
        </w:tc>
        <w:tc>
          <w:tcPr>
            <w:tcW w:w="887" w:type="dxa"/>
            <w:vAlign w:val="center"/>
          </w:tcPr>
          <w:p w14:paraId="171E430B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3.46</w:t>
            </w:r>
          </w:p>
        </w:tc>
        <w:tc>
          <w:tcPr>
            <w:tcW w:w="1183" w:type="dxa"/>
            <w:vAlign w:val="center"/>
          </w:tcPr>
          <w:p w14:paraId="7EFEB4B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1.30–9.55</w:t>
            </w:r>
          </w:p>
        </w:tc>
      </w:tr>
      <w:tr w:rsidR="00046C2C" w:rsidRPr="00791F12" w14:paraId="19F2C328" w14:textId="77777777" w:rsidTr="004323AE">
        <w:trPr>
          <w:jc w:val="center"/>
        </w:trPr>
        <w:tc>
          <w:tcPr>
            <w:tcW w:w="2305" w:type="dxa"/>
            <w:vAlign w:val="center"/>
          </w:tcPr>
          <w:p w14:paraId="290B04B9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t>PaO</w:t>
            </w:r>
            <w:proofErr w:type="spellEnd"/>
            <w:r w:rsidRPr="00791F12">
              <w:t>₂/</w:t>
            </w:r>
            <w:proofErr w:type="spellStart"/>
            <w:r w:rsidRPr="00791F12">
              <w:t>FiO</w:t>
            </w:r>
            <w:proofErr w:type="spellEnd"/>
            <w:r w:rsidRPr="00791F12">
              <w:t>₂ &gt;300 mmHg</w:t>
            </w:r>
          </w:p>
        </w:tc>
        <w:tc>
          <w:tcPr>
            <w:tcW w:w="1480" w:type="dxa"/>
            <w:vAlign w:val="center"/>
          </w:tcPr>
          <w:p w14:paraId="26C0F16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30 (85.7%) (n=35)</w:t>
            </w:r>
          </w:p>
        </w:tc>
        <w:tc>
          <w:tcPr>
            <w:tcW w:w="1479" w:type="dxa"/>
            <w:vAlign w:val="center"/>
          </w:tcPr>
          <w:p w14:paraId="52F96E68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40 (35.7%) (n=112)</w:t>
            </w:r>
          </w:p>
        </w:tc>
        <w:tc>
          <w:tcPr>
            <w:tcW w:w="888" w:type="dxa"/>
            <w:vAlign w:val="center"/>
          </w:tcPr>
          <w:p w14:paraId="460D66E5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887" w:type="dxa"/>
            <w:vAlign w:val="center"/>
          </w:tcPr>
          <w:p w14:paraId="0B31343D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10.8</w:t>
            </w:r>
          </w:p>
        </w:tc>
        <w:tc>
          <w:tcPr>
            <w:tcW w:w="1183" w:type="dxa"/>
            <w:vAlign w:val="center"/>
          </w:tcPr>
          <w:p w14:paraId="79ADC1D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3.61–34.62</w:t>
            </w:r>
          </w:p>
        </w:tc>
      </w:tr>
      <w:tr w:rsidR="00046C2C" w:rsidRPr="00791F12" w14:paraId="410A6E97" w14:textId="77777777" w:rsidTr="004323AE">
        <w:trPr>
          <w:jc w:val="center"/>
        </w:trPr>
        <w:tc>
          <w:tcPr>
            <w:tcW w:w="2305" w:type="dxa"/>
            <w:vAlign w:val="center"/>
          </w:tcPr>
          <w:p w14:paraId="11358BDC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r w:rsidRPr="00791F12">
              <w:t>CPIS ≤4</w:t>
            </w:r>
          </w:p>
        </w:tc>
        <w:tc>
          <w:tcPr>
            <w:tcW w:w="1480" w:type="dxa"/>
            <w:vAlign w:val="center"/>
          </w:tcPr>
          <w:p w14:paraId="4E431E7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26 (74.3%) (n=35)</w:t>
            </w:r>
          </w:p>
        </w:tc>
        <w:tc>
          <w:tcPr>
            <w:tcW w:w="1479" w:type="dxa"/>
            <w:vAlign w:val="center"/>
          </w:tcPr>
          <w:p w14:paraId="7FF5514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45 (40.2%) (n=112)</w:t>
            </w:r>
          </w:p>
        </w:tc>
        <w:tc>
          <w:tcPr>
            <w:tcW w:w="888" w:type="dxa"/>
            <w:vAlign w:val="center"/>
          </w:tcPr>
          <w:p w14:paraId="013C6059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0.001</w:t>
            </w:r>
          </w:p>
        </w:tc>
        <w:tc>
          <w:tcPr>
            <w:tcW w:w="887" w:type="dxa"/>
            <w:vAlign w:val="center"/>
          </w:tcPr>
          <w:p w14:paraId="0448EF82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4.30</w:t>
            </w:r>
          </w:p>
        </w:tc>
        <w:tc>
          <w:tcPr>
            <w:tcW w:w="1183" w:type="dxa"/>
            <w:vAlign w:val="center"/>
          </w:tcPr>
          <w:p w14:paraId="7D18F20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1.72–10.99</w:t>
            </w:r>
          </w:p>
        </w:tc>
      </w:tr>
      <w:tr w:rsidR="00046C2C" w:rsidRPr="00791F12" w14:paraId="7AB18BF8" w14:textId="77777777" w:rsidTr="004323AE">
        <w:trPr>
          <w:jc w:val="center"/>
        </w:trPr>
        <w:tc>
          <w:tcPr>
            <w:tcW w:w="2305" w:type="dxa"/>
            <w:vAlign w:val="center"/>
          </w:tcPr>
          <w:p w14:paraId="4841624F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t>Absence</w:t>
            </w:r>
            <w:proofErr w:type="spellEnd"/>
            <w:r w:rsidRPr="00791F12">
              <w:t xml:space="preserve"> of </w:t>
            </w:r>
            <w:proofErr w:type="spellStart"/>
            <w:r w:rsidRPr="00791F12">
              <w:t>bacteremia</w:t>
            </w:r>
            <w:proofErr w:type="spellEnd"/>
          </w:p>
        </w:tc>
        <w:tc>
          <w:tcPr>
            <w:tcW w:w="1480" w:type="dxa"/>
            <w:vAlign w:val="center"/>
          </w:tcPr>
          <w:p w14:paraId="0F65472B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32 (91.4%) (n=35)</w:t>
            </w:r>
          </w:p>
        </w:tc>
        <w:tc>
          <w:tcPr>
            <w:tcW w:w="1479" w:type="dxa"/>
            <w:vAlign w:val="center"/>
          </w:tcPr>
          <w:p w14:paraId="3B6807A0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74 (66.1%) (n=112)</w:t>
            </w:r>
          </w:p>
        </w:tc>
        <w:tc>
          <w:tcPr>
            <w:tcW w:w="888" w:type="dxa"/>
            <w:vAlign w:val="center"/>
          </w:tcPr>
          <w:p w14:paraId="20F95826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0.003</w:t>
            </w:r>
          </w:p>
        </w:tc>
        <w:tc>
          <w:tcPr>
            <w:tcW w:w="887" w:type="dxa"/>
            <w:vAlign w:val="center"/>
          </w:tcPr>
          <w:p w14:paraId="18B7672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5.48</w:t>
            </w:r>
          </w:p>
        </w:tc>
        <w:tc>
          <w:tcPr>
            <w:tcW w:w="1183" w:type="dxa"/>
            <w:vAlign w:val="center"/>
          </w:tcPr>
          <w:p w14:paraId="4EFDD3C2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1.47–24.04</w:t>
            </w:r>
          </w:p>
        </w:tc>
      </w:tr>
      <w:tr w:rsidR="00046C2C" w:rsidRPr="00791F12" w14:paraId="0ABD797B" w14:textId="77777777" w:rsidTr="004323AE">
        <w:trPr>
          <w:jc w:val="center"/>
        </w:trPr>
        <w:tc>
          <w:tcPr>
            <w:tcW w:w="2305" w:type="dxa"/>
            <w:vAlign w:val="center"/>
          </w:tcPr>
          <w:p w14:paraId="0853A8C6" w14:textId="77777777" w:rsidR="00046C2C" w:rsidRPr="00791F12" w:rsidRDefault="00046C2C" w:rsidP="004323AE">
            <w:pPr>
              <w:spacing w:before="240"/>
              <w:rPr>
                <w:color w:val="000000" w:themeColor="text1"/>
              </w:rPr>
            </w:pPr>
            <w:proofErr w:type="spellStart"/>
            <w:r w:rsidRPr="00791F12">
              <w:t>Appropriate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empirical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therapy</w:t>
            </w:r>
            <w:proofErr w:type="spellEnd"/>
          </w:p>
        </w:tc>
        <w:tc>
          <w:tcPr>
            <w:tcW w:w="1480" w:type="dxa"/>
            <w:vAlign w:val="center"/>
          </w:tcPr>
          <w:p w14:paraId="0C7E7B31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32 (91.4%) (n=35)</w:t>
            </w:r>
          </w:p>
        </w:tc>
        <w:tc>
          <w:tcPr>
            <w:tcW w:w="1479" w:type="dxa"/>
            <w:vAlign w:val="center"/>
          </w:tcPr>
          <w:p w14:paraId="6B48B04F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80 (71.4%) (n=112)</w:t>
            </w:r>
          </w:p>
        </w:tc>
        <w:tc>
          <w:tcPr>
            <w:tcW w:w="888" w:type="dxa"/>
            <w:vAlign w:val="center"/>
          </w:tcPr>
          <w:p w14:paraId="5EA0B8AA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0.021</w:t>
            </w:r>
          </w:p>
        </w:tc>
        <w:tc>
          <w:tcPr>
            <w:tcW w:w="887" w:type="dxa"/>
            <w:vAlign w:val="center"/>
          </w:tcPr>
          <w:p w14:paraId="56D9363C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4.27</w:t>
            </w:r>
          </w:p>
        </w:tc>
        <w:tc>
          <w:tcPr>
            <w:tcW w:w="1183" w:type="dxa"/>
            <w:vAlign w:val="center"/>
          </w:tcPr>
          <w:p w14:paraId="66028BE3" w14:textId="77777777" w:rsidR="00046C2C" w:rsidRPr="00791F12" w:rsidRDefault="00046C2C" w:rsidP="004323AE">
            <w:pPr>
              <w:spacing w:before="240"/>
              <w:jc w:val="center"/>
              <w:rPr>
                <w:color w:val="000000" w:themeColor="text1"/>
              </w:rPr>
            </w:pPr>
            <w:r w:rsidRPr="00791F12">
              <w:t>1.14–18.85</w:t>
            </w:r>
          </w:p>
        </w:tc>
      </w:tr>
      <w:tr w:rsidR="00046C2C" w:rsidRPr="00791F12" w14:paraId="2D02EC02" w14:textId="77777777" w:rsidTr="004323AE">
        <w:trPr>
          <w:jc w:val="center"/>
        </w:trPr>
        <w:tc>
          <w:tcPr>
            <w:tcW w:w="8222" w:type="dxa"/>
            <w:gridSpan w:val="6"/>
            <w:vAlign w:val="center"/>
          </w:tcPr>
          <w:p w14:paraId="21EA1A62" w14:textId="77777777" w:rsidR="00046C2C" w:rsidRPr="00791F12" w:rsidRDefault="00046C2C" w:rsidP="004323AE">
            <w:pPr>
              <w:spacing w:before="240"/>
              <w:rPr>
                <w:b/>
                <w:bCs/>
              </w:rPr>
            </w:pPr>
            <w:proofErr w:type="spellStart"/>
            <w:r w:rsidRPr="00791F12">
              <w:rPr>
                <w:b/>
                <w:bCs/>
              </w:rPr>
              <w:t>Abbreviations</w:t>
            </w:r>
            <w:proofErr w:type="spellEnd"/>
            <w:r w:rsidRPr="00791F12">
              <w:rPr>
                <w:b/>
                <w:bCs/>
              </w:rPr>
              <w:t xml:space="preserve">: </w:t>
            </w:r>
            <w:r w:rsidRPr="00791F12">
              <w:t xml:space="preserve">PCT, </w:t>
            </w:r>
            <w:proofErr w:type="spellStart"/>
            <w:r w:rsidRPr="00791F12">
              <w:t>procalcitonin</w:t>
            </w:r>
            <w:proofErr w:type="spellEnd"/>
            <w:r w:rsidRPr="00791F12">
              <w:t>; CRP, C-</w:t>
            </w:r>
            <w:proofErr w:type="spellStart"/>
            <w:r w:rsidRPr="00791F12">
              <w:t>reactive</w:t>
            </w:r>
            <w:proofErr w:type="spellEnd"/>
            <w:r w:rsidRPr="00791F12">
              <w:t xml:space="preserve"> protein; </w:t>
            </w:r>
            <w:proofErr w:type="spellStart"/>
            <w:r w:rsidRPr="00791F12">
              <w:t>PaO</w:t>
            </w:r>
            <w:proofErr w:type="spellEnd"/>
            <w:r w:rsidRPr="00791F12">
              <w:t xml:space="preserve">₂, </w:t>
            </w:r>
            <w:proofErr w:type="spellStart"/>
            <w:r w:rsidRPr="00791F12">
              <w:t>arterial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partial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pressure</w:t>
            </w:r>
            <w:proofErr w:type="spellEnd"/>
            <w:r w:rsidRPr="00791F12">
              <w:t xml:space="preserve"> of </w:t>
            </w:r>
            <w:proofErr w:type="spellStart"/>
            <w:r w:rsidRPr="00791F12">
              <w:t>oxygen</w:t>
            </w:r>
            <w:proofErr w:type="spellEnd"/>
            <w:r w:rsidRPr="00791F12">
              <w:t xml:space="preserve">; </w:t>
            </w:r>
            <w:proofErr w:type="spellStart"/>
            <w:r w:rsidRPr="00791F12">
              <w:t>FiO</w:t>
            </w:r>
            <w:proofErr w:type="spellEnd"/>
            <w:r w:rsidRPr="00791F12">
              <w:t xml:space="preserve">₂, </w:t>
            </w:r>
            <w:proofErr w:type="spellStart"/>
            <w:r w:rsidRPr="00791F12">
              <w:t>fraction</w:t>
            </w:r>
            <w:proofErr w:type="spellEnd"/>
            <w:r w:rsidRPr="00791F12">
              <w:t xml:space="preserve"> of </w:t>
            </w:r>
            <w:proofErr w:type="spellStart"/>
            <w:r w:rsidRPr="00791F12">
              <w:t>inspired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oxygen</w:t>
            </w:r>
            <w:proofErr w:type="spellEnd"/>
            <w:r w:rsidRPr="00791F12">
              <w:t xml:space="preserve">; CPIS, </w:t>
            </w:r>
            <w:proofErr w:type="spellStart"/>
            <w:r w:rsidRPr="00791F12">
              <w:t>Clinical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Pulmonary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Infection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Score</w:t>
            </w:r>
            <w:proofErr w:type="spellEnd"/>
            <w:r w:rsidRPr="00791F12">
              <w:t xml:space="preserve">; OR, </w:t>
            </w:r>
            <w:proofErr w:type="spellStart"/>
            <w:r w:rsidRPr="00791F12">
              <w:t>odds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ratio</w:t>
            </w:r>
            <w:proofErr w:type="spellEnd"/>
            <w:r w:rsidRPr="00791F12">
              <w:t xml:space="preserve">; CI, </w:t>
            </w:r>
            <w:proofErr w:type="spellStart"/>
            <w:r w:rsidRPr="00791F12">
              <w:t>confidence</w:t>
            </w:r>
            <w:proofErr w:type="spellEnd"/>
            <w:r w:rsidRPr="00791F12">
              <w:t xml:space="preserve"> interval; STTG, </w:t>
            </w:r>
            <w:proofErr w:type="spellStart"/>
            <w:r w:rsidRPr="00791F12">
              <w:t>short-term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treatment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group</w:t>
            </w:r>
            <w:proofErr w:type="spellEnd"/>
            <w:r w:rsidRPr="00791F12">
              <w:t xml:space="preserve">; LTTG, </w:t>
            </w:r>
            <w:proofErr w:type="spellStart"/>
            <w:r w:rsidRPr="00791F12">
              <w:t>long-term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treatment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group</w:t>
            </w:r>
            <w:proofErr w:type="spellEnd"/>
            <w:r w:rsidRPr="00791F12">
              <w:t>.</w:t>
            </w:r>
          </w:p>
        </w:tc>
      </w:tr>
    </w:tbl>
    <w:p w14:paraId="6424CA5D" w14:textId="77777777" w:rsidR="00046C2C" w:rsidRPr="00791F12" w:rsidRDefault="00046C2C" w:rsidP="00046C2C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1120E43" w14:textId="77777777" w:rsidR="006B0EA2" w:rsidRDefault="006B0EA2" w:rsidP="00046C2C">
      <w:pPr>
        <w:spacing w:after="240"/>
        <w:ind w:left="1418" w:hanging="1418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274301E" w14:textId="71D55B07" w:rsidR="00046C2C" w:rsidRPr="00791F12" w:rsidRDefault="00046C2C" w:rsidP="00046C2C">
      <w:pPr>
        <w:spacing w:after="240"/>
        <w:ind w:left="1418" w:hanging="1418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Table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13.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Discriminatory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Performance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Grouped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Criteria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Between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STTG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LTTG</w:t>
      </w:r>
    </w:p>
    <w:tbl>
      <w:tblPr>
        <w:tblStyle w:val="TabloKlavuzu"/>
        <w:tblW w:w="8222" w:type="dxa"/>
        <w:jc w:val="center"/>
        <w:tblLook w:val="04A0" w:firstRow="1" w:lastRow="0" w:firstColumn="1" w:lastColumn="0" w:noHBand="0" w:noVBand="1"/>
      </w:tblPr>
      <w:tblGrid>
        <w:gridCol w:w="2152"/>
        <w:gridCol w:w="1281"/>
        <w:gridCol w:w="1654"/>
        <w:gridCol w:w="1045"/>
        <w:gridCol w:w="747"/>
        <w:gridCol w:w="1343"/>
      </w:tblGrid>
      <w:tr w:rsidR="00046C2C" w:rsidRPr="00791F12" w14:paraId="395A160B" w14:textId="77777777" w:rsidTr="004323AE">
        <w:trPr>
          <w:jc w:val="center"/>
        </w:trPr>
        <w:tc>
          <w:tcPr>
            <w:tcW w:w="2152" w:type="dxa"/>
            <w:vAlign w:val="center"/>
          </w:tcPr>
          <w:p w14:paraId="6E66E309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1F12">
              <w:rPr>
                <w:b/>
                <w:bCs/>
              </w:rPr>
              <w:t>Criteria</w:t>
            </w:r>
            <w:proofErr w:type="spellEnd"/>
          </w:p>
        </w:tc>
        <w:tc>
          <w:tcPr>
            <w:tcW w:w="1281" w:type="dxa"/>
            <w:vAlign w:val="center"/>
          </w:tcPr>
          <w:p w14:paraId="7C20BF16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STTG (n=35)</w:t>
            </w:r>
          </w:p>
        </w:tc>
        <w:tc>
          <w:tcPr>
            <w:tcW w:w="1654" w:type="dxa"/>
            <w:vAlign w:val="center"/>
          </w:tcPr>
          <w:p w14:paraId="0F4FA1B6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LTTG (n=112)</w:t>
            </w:r>
          </w:p>
        </w:tc>
        <w:tc>
          <w:tcPr>
            <w:tcW w:w="1045" w:type="dxa"/>
            <w:vAlign w:val="center"/>
          </w:tcPr>
          <w:p w14:paraId="7CFB7A30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791F12">
              <w:rPr>
                <w:b/>
                <w:bCs/>
              </w:rPr>
              <w:t>p</w:t>
            </w:r>
            <w:proofErr w:type="gramEnd"/>
            <w:r w:rsidRPr="00791F12">
              <w:rPr>
                <w:b/>
                <w:bCs/>
              </w:rPr>
              <w:t xml:space="preserve"> </w:t>
            </w:r>
            <w:proofErr w:type="spellStart"/>
            <w:r w:rsidRPr="00791F12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747" w:type="dxa"/>
            <w:vAlign w:val="center"/>
          </w:tcPr>
          <w:p w14:paraId="568B70AF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OR</w:t>
            </w:r>
          </w:p>
        </w:tc>
        <w:tc>
          <w:tcPr>
            <w:tcW w:w="1343" w:type="dxa"/>
            <w:vAlign w:val="center"/>
          </w:tcPr>
          <w:p w14:paraId="3E6EBD1F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791F12">
              <w:rPr>
                <w:b/>
                <w:bCs/>
              </w:rPr>
              <w:t>95% CI</w:t>
            </w:r>
          </w:p>
        </w:tc>
      </w:tr>
      <w:tr w:rsidR="00046C2C" w:rsidRPr="00791F12" w14:paraId="6DF692F0" w14:textId="77777777" w:rsidTr="004323AE">
        <w:trPr>
          <w:jc w:val="center"/>
        </w:trPr>
        <w:tc>
          <w:tcPr>
            <w:tcW w:w="2152" w:type="dxa"/>
            <w:vAlign w:val="center"/>
          </w:tcPr>
          <w:p w14:paraId="500C7E49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≥5 </w:t>
            </w:r>
            <w:proofErr w:type="spellStart"/>
            <w:r w:rsidRPr="00791F12">
              <w:t>criteria</w:t>
            </w:r>
            <w:proofErr w:type="spellEnd"/>
          </w:p>
        </w:tc>
        <w:tc>
          <w:tcPr>
            <w:tcW w:w="1281" w:type="dxa"/>
            <w:vAlign w:val="center"/>
          </w:tcPr>
          <w:p w14:paraId="0A558BA4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29 (82.9%)</w:t>
            </w:r>
          </w:p>
        </w:tc>
        <w:tc>
          <w:tcPr>
            <w:tcW w:w="1654" w:type="dxa"/>
            <w:vAlign w:val="center"/>
          </w:tcPr>
          <w:p w14:paraId="0EDAD33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29 (25.9%)</w:t>
            </w:r>
          </w:p>
        </w:tc>
        <w:tc>
          <w:tcPr>
            <w:tcW w:w="1045" w:type="dxa"/>
            <w:vAlign w:val="center"/>
          </w:tcPr>
          <w:p w14:paraId="7BE6C1FE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5EAD309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13.8</w:t>
            </w:r>
          </w:p>
        </w:tc>
        <w:tc>
          <w:tcPr>
            <w:tcW w:w="1343" w:type="dxa"/>
            <w:vAlign w:val="center"/>
          </w:tcPr>
          <w:p w14:paraId="352F2DA3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4.83–41.66</w:t>
            </w:r>
          </w:p>
        </w:tc>
      </w:tr>
      <w:tr w:rsidR="00046C2C" w:rsidRPr="00791F12" w14:paraId="268517CF" w14:textId="77777777" w:rsidTr="004323AE">
        <w:trPr>
          <w:jc w:val="center"/>
        </w:trPr>
        <w:tc>
          <w:tcPr>
            <w:tcW w:w="2152" w:type="dxa"/>
            <w:vAlign w:val="center"/>
          </w:tcPr>
          <w:p w14:paraId="27700164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</w:p>
        </w:tc>
        <w:tc>
          <w:tcPr>
            <w:tcW w:w="1281" w:type="dxa"/>
            <w:vAlign w:val="center"/>
          </w:tcPr>
          <w:p w14:paraId="0EF22B14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32 (91.4%)</w:t>
            </w:r>
          </w:p>
        </w:tc>
        <w:tc>
          <w:tcPr>
            <w:tcW w:w="1654" w:type="dxa"/>
            <w:vAlign w:val="center"/>
          </w:tcPr>
          <w:p w14:paraId="7B6B584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55 (49.1%)</w:t>
            </w:r>
          </w:p>
        </w:tc>
        <w:tc>
          <w:tcPr>
            <w:tcW w:w="1045" w:type="dxa"/>
            <w:vAlign w:val="center"/>
          </w:tcPr>
          <w:p w14:paraId="6025CC71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2520FD9E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11.1</w:t>
            </w:r>
          </w:p>
        </w:tc>
        <w:tc>
          <w:tcPr>
            <w:tcW w:w="1343" w:type="dxa"/>
            <w:vAlign w:val="center"/>
          </w:tcPr>
          <w:p w14:paraId="7DAE65D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2.99–48.21</w:t>
            </w:r>
          </w:p>
        </w:tc>
      </w:tr>
      <w:tr w:rsidR="00046C2C" w:rsidRPr="00791F12" w14:paraId="504BCD0B" w14:textId="77777777" w:rsidTr="004323AE">
        <w:trPr>
          <w:jc w:val="center"/>
        </w:trPr>
        <w:tc>
          <w:tcPr>
            <w:tcW w:w="2152" w:type="dxa"/>
            <w:vAlign w:val="center"/>
          </w:tcPr>
          <w:p w14:paraId="5AEF370A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C1</w:t>
            </w:r>
          </w:p>
        </w:tc>
        <w:tc>
          <w:tcPr>
            <w:tcW w:w="1281" w:type="dxa"/>
            <w:vAlign w:val="center"/>
          </w:tcPr>
          <w:p w14:paraId="261F687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30 (85.7%)</w:t>
            </w:r>
          </w:p>
        </w:tc>
        <w:tc>
          <w:tcPr>
            <w:tcW w:w="1654" w:type="dxa"/>
            <w:vAlign w:val="center"/>
          </w:tcPr>
          <w:p w14:paraId="1DF7F51A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46 (41.1%)</w:t>
            </w:r>
          </w:p>
        </w:tc>
        <w:tc>
          <w:tcPr>
            <w:tcW w:w="1045" w:type="dxa"/>
            <w:vAlign w:val="center"/>
          </w:tcPr>
          <w:p w14:paraId="4C82A5A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4B1B101A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8.6</w:t>
            </w:r>
          </w:p>
        </w:tc>
        <w:tc>
          <w:tcPr>
            <w:tcW w:w="1343" w:type="dxa"/>
            <w:vAlign w:val="center"/>
          </w:tcPr>
          <w:p w14:paraId="68459401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2.89–27.46</w:t>
            </w:r>
          </w:p>
        </w:tc>
      </w:tr>
      <w:tr w:rsidR="00046C2C" w:rsidRPr="00791F12" w14:paraId="58ED0699" w14:textId="77777777" w:rsidTr="004323AE">
        <w:trPr>
          <w:jc w:val="center"/>
        </w:trPr>
        <w:tc>
          <w:tcPr>
            <w:tcW w:w="2152" w:type="dxa"/>
            <w:vAlign w:val="center"/>
          </w:tcPr>
          <w:p w14:paraId="0706014E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C2</w:t>
            </w:r>
          </w:p>
        </w:tc>
        <w:tc>
          <w:tcPr>
            <w:tcW w:w="1281" w:type="dxa"/>
            <w:vAlign w:val="center"/>
          </w:tcPr>
          <w:p w14:paraId="0C6CCCCE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18 (51.4%)</w:t>
            </w:r>
          </w:p>
        </w:tc>
        <w:tc>
          <w:tcPr>
            <w:tcW w:w="1654" w:type="dxa"/>
            <w:vAlign w:val="center"/>
          </w:tcPr>
          <w:p w14:paraId="44F9A88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30 (26.8%)</w:t>
            </w:r>
          </w:p>
        </w:tc>
        <w:tc>
          <w:tcPr>
            <w:tcW w:w="1045" w:type="dxa"/>
            <w:vAlign w:val="center"/>
          </w:tcPr>
          <w:p w14:paraId="38C3AEB1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0.005</w:t>
            </w:r>
          </w:p>
        </w:tc>
        <w:tc>
          <w:tcPr>
            <w:tcW w:w="747" w:type="dxa"/>
            <w:vAlign w:val="center"/>
          </w:tcPr>
          <w:p w14:paraId="4611A01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3.5</w:t>
            </w:r>
          </w:p>
        </w:tc>
        <w:tc>
          <w:tcPr>
            <w:tcW w:w="1343" w:type="dxa"/>
            <w:vAlign w:val="center"/>
          </w:tcPr>
          <w:p w14:paraId="2D38038D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1.40–8.63</w:t>
            </w:r>
          </w:p>
        </w:tc>
      </w:tr>
      <w:tr w:rsidR="00046C2C" w:rsidRPr="00791F12" w14:paraId="6626F322" w14:textId="77777777" w:rsidTr="004323AE">
        <w:trPr>
          <w:jc w:val="center"/>
        </w:trPr>
        <w:tc>
          <w:tcPr>
            <w:tcW w:w="2152" w:type="dxa"/>
            <w:vAlign w:val="center"/>
          </w:tcPr>
          <w:p w14:paraId="1822F546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C3</w:t>
            </w:r>
          </w:p>
        </w:tc>
        <w:tc>
          <w:tcPr>
            <w:tcW w:w="1281" w:type="dxa"/>
            <w:vAlign w:val="center"/>
          </w:tcPr>
          <w:p w14:paraId="1028422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27 (77.1%)</w:t>
            </w:r>
          </w:p>
        </w:tc>
        <w:tc>
          <w:tcPr>
            <w:tcW w:w="1654" w:type="dxa"/>
            <w:vAlign w:val="center"/>
          </w:tcPr>
          <w:p w14:paraId="737F26E3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36 (32.1%)</w:t>
            </w:r>
          </w:p>
        </w:tc>
        <w:tc>
          <w:tcPr>
            <w:tcW w:w="1045" w:type="dxa"/>
            <w:vAlign w:val="center"/>
          </w:tcPr>
          <w:p w14:paraId="7003C64D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5BDB7148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6.9</w:t>
            </w:r>
          </w:p>
        </w:tc>
        <w:tc>
          <w:tcPr>
            <w:tcW w:w="1343" w:type="dxa"/>
            <w:vAlign w:val="center"/>
          </w:tcPr>
          <w:p w14:paraId="0C95B3F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2.67–18.57</w:t>
            </w:r>
          </w:p>
        </w:tc>
      </w:tr>
      <w:tr w:rsidR="00046C2C" w:rsidRPr="00791F12" w14:paraId="5DB124B5" w14:textId="77777777" w:rsidTr="004323AE">
        <w:trPr>
          <w:jc w:val="center"/>
        </w:trPr>
        <w:tc>
          <w:tcPr>
            <w:tcW w:w="2152" w:type="dxa"/>
            <w:vAlign w:val="center"/>
          </w:tcPr>
          <w:p w14:paraId="7F4A53B6" w14:textId="77777777" w:rsidR="00046C2C" w:rsidRPr="00791F12" w:rsidRDefault="00046C2C" w:rsidP="004323AE">
            <w:pPr>
              <w:spacing w:before="60" w:after="60"/>
              <w:rPr>
                <w:b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C4</w:t>
            </w:r>
          </w:p>
        </w:tc>
        <w:tc>
          <w:tcPr>
            <w:tcW w:w="1281" w:type="dxa"/>
            <w:vAlign w:val="center"/>
          </w:tcPr>
          <w:p w14:paraId="617A70B1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791F12">
              <w:t>30 (85.7%)</w:t>
            </w:r>
          </w:p>
        </w:tc>
        <w:tc>
          <w:tcPr>
            <w:tcW w:w="1654" w:type="dxa"/>
            <w:vAlign w:val="center"/>
          </w:tcPr>
          <w:p w14:paraId="31420EA4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791F12">
              <w:t>28 (25.0%)</w:t>
            </w:r>
          </w:p>
        </w:tc>
        <w:tc>
          <w:tcPr>
            <w:tcW w:w="1045" w:type="dxa"/>
            <w:vAlign w:val="center"/>
          </w:tcPr>
          <w:p w14:paraId="4E388956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69F98753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791F12">
              <w:t>18.0</w:t>
            </w:r>
          </w:p>
        </w:tc>
        <w:tc>
          <w:tcPr>
            <w:tcW w:w="1343" w:type="dxa"/>
            <w:vAlign w:val="center"/>
          </w:tcPr>
          <w:p w14:paraId="24C96840" w14:textId="77777777" w:rsidR="00046C2C" w:rsidRPr="00791F12" w:rsidRDefault="00046C2C" w:rsidP="004323AE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791F12">
              <w:t>5.89–58.94</w:t>
            </w:r>
          </w:p>
        </w:tc>
      </w:tr>
      <w:tr w:rsidR="00046C2C" w:rsidRPr="00791F12" w14:paraId="3A911194" w14:textId="77777777" w:rsidTr="004323AE">
        <w:trPr>
          <w:jc w:val="center"/>
        </w:trPr>
        <w:tc>
          <w:tcPr>
            <w:tcW w:w="2152" w:type="dxa"/>
            <w:vAlign w:val="center"/>
          </w:tcPr>
          <w:p w14:paraId="6FDA1C34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C5</w:t>
            </w:r>
          </w:p>
        </w:tc>
        <w:tc>
          <w:tcPr>
            <w:tcW w:w="1281" w:type="dxa"/>
            <w:vAlign w:val="center"/>
          </w:tcPr>
          <w:p w14:paraId="1D78D8AD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26 (74.3%)</w:t>
            </w:r>
          </w:p>
        </w:tc>
        <w:tc>
          <w:tcPr>
            <w:tcW w:w="1654" w:type="dxa"/>
            <w:vAlign w:val="center"/>
          </w:tcPr>
          <w:p w14:paraId="401D19F9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38 (33.9%)</w:t>
            </w:r>
          </w:p>
        </w:tc>
        <w:tc>
          <w:tcPr>
            <w:tcW w:w="1045" w:type="dxa"/>
            <w:vAlign w:val="center"/>
          </w:tcPr>
          <w:p w14:paraId="377A36F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669C06A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5.6</w:t>
            </w:r>
          </w:p>
        </w:tc>
        <w:tc>
          <w:tcPr>
            <w:tcW w:w="1343" w:type="dxa"/>
            <w:vAlign w:val="center"/>
          </w:tcPr>
          <w:p w14:paraId="0AB771B0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2.24–14.49</w:t>
            </w:r>
          </w:p>
        </w:tc>
      </w:tr>
      <w:tr w:rsidR="00046C2C" w:rsidRPr="00791F12" w14:paraId="0697D7A0" w14:textId="77777777" w:rsidTr="004323AE">
        <w:trPr>
          <w:jc w:val="center"/>
        </w:trPr>
        <w:tc>
          <w:tcPr>
            <w:tcW w:w="2152" w:type="dxa"/>
            <w:vAlign w:val="center"/>
          </w:tcPr>
          <w:p w14:paraId="6A5C2DC9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C6</w:t>
            </w:r>
          </w:p>
        </w:tc>
        <w:tc>
          <w:tcPr>
            <w:tcW w:w="1281" w:type="dxa"/>
            <w:vAlign w:val="center"/>
          </w:tcPr>
          <w:p w14:paraId="6D555BBF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28 (80.0%)</w:t>
            </w:r>
          </w:p>
        </w:tc>
        <w:tc>
          <w:tcPr>
            <w:tcW w:w="1654" w:type="dxa"/>
            <w:vAlign w:val="center"/>
          </w:tcPr>
          <w:p w14:paraId="7EADA585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46 (41.1%)</w:t>
            </w:r>
          </w:p>
        </w:tc>
        <w:tc>
          <w:tcPr>
            <w:tcW w:w="1045" w:type="dxa"/>
            <w:vAlign w:val="center"/>
          </w:tcPr>
          <w:p w14:paraId="66B3D853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1C7ECF7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5.7</w:t>
            </w:r>
          </w:p>
        </w:tc>
        <w:tc>
          <w:tcPr>
            <w:tcW w:w="1343" w:type="dxa"/>
            <w:vAlign w:val="center"/>
          </w:tcPr>
          <w:p w14:paraId="47EA67A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2.15–15.87</w:t>
            </w:r>
          </w:p>
        </w:tc>
      </w:tr>
      <w:tr w:rsidR="00046C2C" w:rsidRPr="00791F12" w14:paraId="7427A345" w14:textId="77777777" w:rsidTr="004323AE">
        <w:trPr>
          <w:jc w:val="center"/>
        </w:trPr>
        <w:tc>
          <w:tcPr>
            <w:tcW w:w="2152" w:type="dxa"/>
            <w:vAlign w:val="center"/>
          </w:tcPr>
          <w:p w14:paraId="0A37DA10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≥4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C7</w:t>
            </w:r>
          </w:p>
        </w:tc>
        <w:tc>
          <w:tcPr>
            <w:tcW w:w="1281" w:type="dxa"/>
            <w:vAlign w:val="center"/>
          </w:tcPr>
          <w:p w14:paraId="1BB54F7D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29 (82.9%)</w:t>
            </w:r>
          </w:p>
        </w:tc>
        <w:tc>
          <w:tcPr>
            <w:tcW w:w="1654" w:type="dxa"/>
            <w:vAlign w:val="center"/>
          </w:tcPr>
          <w:p w14:paraId="15B72051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42 (37.5%)</w:t>
            </w:r>
          </w:p>
        </w:tc>
        <w:tc>
          <w:tcPr>
            <w:tcW w:w="1045" w:type="dxa"/>
            <w:vAlign w:val="center"/>
          </w:tcPr>
          <w:p w14:paraId="2D5F75DB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42390F67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8.1</w:t>
            </w:r>
          </w:p>
        </w:tc>
        <w:tc>
          <w:tcPr>
            <w:tcW w:w="1343" w:type="dxa"/>
            <w:vAlign w:val="center"/>
          </w:tcPr>
          <w:p w14:paraId="2210A8C7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2.87–23.73</w:t>
            </w:r>
          </w:p>
        </w:tc>
      </w:tr>
      <w:tr w:rsidR="00046C2C" w:rsidRPr="00791F12" w14:paraId="7467B967" w14:textId="77777777" w:rsidTr="004323AE">
        <w:trPr>
          <w:jc w:val="center"/>
        </w:trPr>
        <w:tc>
          <w:tcPr>
            <w:tcW w:w="2152" w:type="dxa"/>
            <w:vAlign w:val="center"/>
          </w:tcPr>
          <w:p w14:paraId="2FAF8B20" w14:textId="77777777" w:rsidR="00046C2C" w:rsidRPr="00791F12" w:rsidRDefault="00046C2C" w:rsidP="004323AE">
            <w:pPr>
              <w:spacing w:before="60" w:after="60"/>
              <w:rPr>
                <w:color w:val="000000" w:themeColor="text1"/>
              </w:rPr>
            </w:pPr>
            <w:r w:rsidRPr="00791F12">
              <w:t xml:space="preserve">≥3 </w:t>
            </w:r>
            <w:proofErr w:type="spellStart"/>
            <w:r w:rsidRPr="00791F12">
              <w:t>criteria</w:t>
            </w:r>
            <w:proofErr w:type="spellEnd"/>
            <w:r w:rsidRPr="00791F12">
              <w:t xml:space="preserve"> </w:t>
            </w:r>
            <w:proofErr w:type="spellStart"/>
            <w:r w:rsidRPr="00791F12">
              <w:t>including</w:t>
            </w:r>
            <w:proofErr w:type="spellEnd"/>
            <w:r w:rsidRPr="00791F12">
              <w:t xml:space="preserve"> C4</w:t>
            </w:r>
          </w:p>
        </w:tc>
        <w:tc>
          <w:tcPr>
            <w:tcW w:w="1281" w:type="dxa"/>
            <w:vAlign w:val="center"/>
          </w:tcPr>
          <w:p w14:paraId="7C79043E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30 (85.7%)</w:t>
            </w:r>
          </w:p>
        </w:tc>
        <w:tc>
          <w:tcPr>
            <w:tcW w:w="1654" w:type="dxa"/>
            <w:vAlign w:val="center"/>
          </w:tcPr>
          <w:p w14:paraId="49A4B283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39 (34.8%)</w:t>
            </w:r>
          </w:p>
        </w:tc>
        <w:tc>
          <w:tcPr>
            <w:tcW w:w="1045" w:type="dxa"/>
            <w:vAlign w:val="center"/>
          </w:tcPr>
          <w:p w14:paraId="4E612C52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&lt;0.001</w:t>
            </w:r>
          </w:p>
        </w:tc>
        <w:tc>
          <w:tcPr>
            <w:tcW w:w="747" w:type="dxa"/>
            <w:vAlign w:val="center"/>
          </w:tcPr>
          <w:p w14:paraId="00EE32BD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11.2</w:t>
            </w:r>
          </w:p>
        </w:tc>
        <w:tc>
          <w:tcPr>
            <w:tcW w:w="1343" w:type="dxa"/>
            <w:vAlign w:val="center"/>
          </w:tcPr>
          <w:p w14:paraId="4D1D342E" w14:textId="77777777" w:rsidR="00046C2C" w:rsidRPr="00791F12" w:rsidRDefault="00046C2C" w:rsidP="004323AE">
            <w:pPr>
              <w:spacing w:before="60" w:after="60"/>
              <w:jc w:val="center"/>
              <w:rPr>
                <w:color w:val="000000" w:themeColor="text1"/>
              </w:rPr>
            </w:pPr>
            <w:r w:rsidRPr="00791F12">
              <w:t>3.75–36.04</w:t>
            </w:r>
          </w:p>
        </w:tc>
      </w:tr>
      <w:tr w:rsidR="00046C2C" w:rsidRPr="00791F12" w14:paraId="2A043B73" w14:textId="77777777" w:rsidTr="004323AE">
        <w:trPr>
          <w:jc w:val="center"/>
        </w:trPr>
        <w:tc>
          <w:tcPr>
            <w:tcW w:w="8222" w:type="dxa"/>
            <w:gridSpan w:val="6"/>
          </w:tcPr>
          <w:p w14:paraId="4A4090EA" w14:textId="77777777" w:rsidR="00046C2C" w:rsidRPr="00791F12" w:rsidRDefault="00046C2C" w:rsidP="004323AE">
            <w:pPr>
              <w:spacing w:before="240" w:after="60"/>
              <w:rPr>
                <w:color w:val="000000" w:themeColor="text1"/>
              </w:rPr>
            </w:pPr>
            <w:r w:rsidRPr="00791F12">
              <w:rPr>
                <w:color w:val="000000" w:themeColor="text1"/>
              </w:rPr>
              <w:t xml:space="preserve">STTG, </w:t>
            </w:r>
            <w:proofErr w:type="spellStart"/>
            <w:r w:rsidRPr="00791F12">
              <w:rPr>
                <w:color w:val="000000" w:themeColor="text1"/>
              </w:rPr>
              <w:t>short-term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group</w:t>
            </w:r>
            <w:proofErr w:type="spellEnd"/>
            <w:r w:rsidRPr="00791F12">
              <w:rPr>
                <w:color w:val="000000" w:themeColor="text1"/>
              </w:rPr>
              <w:t xml:space="preserve">; LTTG, </w:t>
            </w:r>
            <w:proofErr w:type="spellStart"/>
            <w:r w:rsidRPr="00791F12">
              <w:rPr>
                <w:color w:val="000000" w:themeColor="text1"/>
              </w:rPr>
              <w:t>long-term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treatment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group</w:t>
            </w:r>
            <w:proofErr w:type="spellEnd"/>
            <w:r w:rsidRPr="00791F12">
              <w:rPr>
                <w:color w:val="000000" w:themeColor="text1"/>
              </w:rPr>
              <w:t xml:space="preserve">; K, </w:t>
            </w:r>
            <w:proofErr w:type="spellStart"/>
            <w:r w:rsidRPr="00791F12">
              <w:rPr>
                <w:color w:val="000000" w:themeColor="text1"/>
              </w:rPr>
              <w:t>criterion</w:t>
            </w:r>
            <w:proofErr w:type="spellEnd"/>
            <w:r w:rsidRPr="00791F12">
              <w:rPr>
                <w:color w:val="000000" w:themeColor="text1"/>
              </w:rPr>
              <w:t xml:space="preserve">; OR, </w:t>
            </w:r>
            <w:proofErr w:type="spellStart"/>
            <w:r w:rsidRPr="00791F12">
              <w:rPr>
                <w:color w:val="000000" w:themeColor="text1"/>
              </w:rPr>
              <w:t>odds</w:t>
            </w:r>
            <w:proofErr w:type="spellEnd"/>
            <w:r w:rsidRPr="00791F12">
              <w:rPr>
                <w:color w:val="000000" w:themeColor="text1"/>
              </w:rPr>
              <w:t xml:space="preserve"> </w:t>
            </w:r>
            <w:proofErr w:type="spellStart"/>
            <w:r w:rsidRPr="00791F12">
              <w:rPr>
                <w:color w:val="000000" w:themeColor="text1"/>
              </w:rPr>
              <w:t>ratio</w:t>
            </w:r>
            <w:proofErr w:type="spellEnd"/>
            <w:r w:rsidRPr="00791F12">
              <w:rPr>
                <w:color w:val="000000" w:themeColor="text1"/>
              </w:rPr>
              <w:t xml:space="preserve">; CI, </w:t>
            </w:r>
            <w:proofErr w:type="spellStart"/>
            <w:r w:rsidRPr="00791F12">
              <w:rPr>
                <w:color w:val="000000" w:themeColor="text1"/>
              </w:rPr>
              <w:t>confidence</w:t>
            </w:r>
            <w:proofErr w:type="spellEnd"/>
            <w:r w:rsidRPr="00791F12">
              <w:rPr>
                <w:color w:val="000000" w:themeColor="text1"/>
              </w:rPr>
              <w:t xml:space="preserve"> interval.</w:t>
            </w:r>
          </w:p>
        </w:tc>
      </w:tr>
    </w:tbl>
    <w:p w14:paraId="7F696777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9B34562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D796B89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07911062" wp14:editId="632E474E">
            <wp:extent cx="5760720" cy="4479290"/>
            <wp:effectExtent l="0" t="0" r="0" b="0"/>
            <wp:docPr id="122816435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64358" name="Resim 12281643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316D5" w14:textId="5070CF73" w:rsidR="00046C2C" w:rsidRPr="00791F12" w:rsidRDefault="00046C2C" w:rsidP="006303EF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3. ROC Analysis of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Grouped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Criteria</w:t>
      </w:r>
      <w:proofErr w:type="spellEnd"/>
    </w:p>
    <w:p w14:paraId="225FBA14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1727506" wp14:editId="1F001A0F">
            <wp:extent cx="5760720" cy="4980940"/>
            <wp:effectExtent l="0" t="0" r="0" b="0"/>
            <wp:docPr id="32644590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45904" name="Resim 3264459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5CCB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91F12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61F471BD" wp14:editId="79BC3F27">
            <wp:extent cx="2594741" cy="2183735"/>
            <wp:effectExtent l="0" t="0" r="0" b="7620"/>
            <wp:docPr id="116360855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08554" name="Resim 11636085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275" cy="22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B52F" w14:textId="77777777" w:rsidR="00046C2C" w:rsidRPr="00791F12" w:rsidRDefault="00046C2C" w:rsidP="00046C2C">
      <w:pPr>
        <w:spacing w:line="240" w:lineRule="auto"/>
        <w:ind w:left="1276" w:hanging="12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4.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Error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Bar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Plots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Quantitative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Criteria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in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Study</w:t>
      </w:r>
      <w:proofErr w:type="spellEnd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91F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Groups</w:t>
      </w:r>
      <w:proofErr w:type="spellEnd"/>
    </w:p>
    <w:p w14:paraId="5C0584DB" w14:textId="4F4B5162" w:rsidR="00407F03" w:rsidRPr="00791F12" w:rsidRDefault="00407F03">
      <w:pPr>
        <w:rPr>
          <w:rFonts w:ascii="Times New Roman" w:hAnsi="Times New Roman" w:cs="Times New Roman"/>
          <w:sz w:val="20"/>
          <w:szCs w:val="20"/>
        </w:rPr>
      </w:pPr>
    </w:p>
    <w:sectPr w:rsidR="00407F03" w:rsidRPr="0079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F5B"/>
    <w:multiLevelType w:val="multilevel"/>
    <w:tmpl w:val="6ED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712"/>
    <w:multiLevelType w:val="multilevel"/>
    <w:tmpl w:val="5C9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94D1C"/>
    <w:multiLevelType w:val="multilevel"/>
    <w:tmpl w:val="E962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76796"/>
    <w:multiLevelType w:val="multilevel"/>
    <w:tmpl w:val="760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93050"/>
    <w:multiLevelType w:val="multilevel"/>
    <w:tmpl w:val="6CAA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60806"/>
    <w:multiLevelType w:val="multilevel"/>
    <w:tmpl w:val="FDE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339B1"/>
    <w:multiLevelType w:val="multilevel"/>
    <w:tmpl w:val="D238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A3004"/>
    <w:multiLevelType w:val="multilevel"/>
    <w:tmpl w:val="897A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27D0A"/>
    <w:multiLevelType w:val="multilevel"/>
    <w:tmpl w:val="91B8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92F09"/>
    <w:multiLevelType w:val="multilevel"/>
    <w:tmpl w:val="3760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92281"/>
    <w:multiLevelType w:val="multilevel"/>
    <w:tmpl w:val="B3D6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907E2"/>
    <w:multiLevelType w:val="multilevel"/>
    <w:tmpl w:val="27DA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06E96"/>
    <w:multiLevelType w:val="multilevel"/>
    <w:tmpl w:val="8564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696128">
    <w:abstractNumId w:val="6"/>
  </w:num>
  <w:num w:numId="2" w16cid:durableId="13265829">
    <w:abstractNumId w:val="8"/>
  </w:num>
  <w:num w:numId="3" w16cid:durableId="498084150">
    <w:abstractNumId w:val="7"/>
  </w:num>
  <w:num w:numId="4" w16cid:durableId="632759605">
    <w:abstractNumId w:val="1"/>
  </w:num>
  <w:num w:numId="5" w16cid:durableId="802385006">
    <w:abstractNumId w:val="2"/>
  </w:num>
  <w:num w:numId="6" w16cid:durableId="152262525">
    <w:abstractNumId w:val="0"/>
  </w:num>
  <w:num w:numId="7" w16cid:durableId="1736472923">
    <w:abstractNumId w:val="3"/>
  </w:num>
  <w:num w:numId="8" w16cid:durableId="2093813119">
    <w:abstractNumId w:val="11"/>
  </w:num>
  <w:num w:numId="9" w16cid:durableId="321667897">
    <w:abstractNumId w:val="9"/>
  </w:num>
  <w:num w:numId="10" w16cid:durableId="830146552">
    <w:abstractNumId w:val="4"/>
  </w:num>
  <w:num w:numId="11" w16cid:durableId="404374815">
    <w:abstractNumId w:val="10"/>
  </w:num>
  <w:num w:numId="12" w16cid:durableId="257830108">
    <w:abstractNumId w:val="12"/>
  </w:num>
  <w:num w:numId="13" w16cid:durableId="1304431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24"/>
    <w:rsid w:val="000119F5"/>
    <w:rsid w:val="00046C2C"/>
    <w:rsid w:val="002E358E"/>
    <w:rsid w:val="003114B8"/>
    <w:rsid w:val="0036361E"/>
    <w:rsid w:val="003A6370"/>
    <w:rsid w:val="00407F03"/>
    <w:rsid w:val="005A1AF6"/>
    <w:rsid w:val="005E428F"/>
    <w:rsid w:val="006303EF"/>
    <w:rsid w:val="006423F9"/>
    <w:rsid w:val="006B0EA2"/>
    <w:rsid w:val="00717D94"/>
    <w:rsid w:val="0072494B"/>
    <w:rsid w:val="00774D4B"/>
    <w:rsid w:val="007861B1"/>
    <w:rsid w:val="00791F12"/>
    <w:rsid w:val="008948FC"/>
    <w:rsid w:val="008E23A8"/>
    <w:rsid w:val="00987DA2"/>
    <w:rsid w:val="00B07EA1"/>
    <w:rsid w:val="00C337C1"/>
    <w:rsid w:val="00CD72EE"/>
    <w:rsid w:val="00DD5897"/>
    <w:rsid w:val="00DF4624"/>
    <w:rsid w:val="00E500D4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2022"/>
  <w15:chartTrackingRefBased/>
  <w15:docId w15:val="{7E3C6B9D-0796-4F7A-AE34-4507201C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4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4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4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4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4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46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46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46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46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46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46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46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46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46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4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46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462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046C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918489355497245E-2"/>
          <c:y val="4.4057617797775311E-2"/>
          <c:w val="0.69890998919252767"/>
          <c:h val="0.79449068866391703"/>
        </c:manualLayout>
      </c:layout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STTG</c:v>
                </c:pt>
              </c:strCache>
            </c:strRef>
          </c:tx>
          <c:cat>
            <c:strRef>
              <c:f>Sayfa1!$A$2:$A$7</c:f>
              <c:strCache>
                <c:ptCount val="6"/>
                <c:pt idx="0">
                  <c:v>48 h before diagnosis</c:v>
                </c:pt>
                <c:pt idx="1">
                  <c:v>24 h before diagnosis</c:v>
                </c:pt>
                <c:pt idx="2">
                  <c:v>Treatment day 1</c:v>
                </c:pt>
                <c:pt idx="3">
                  <c:v>Treatment day 3</c:v>
                </c:pt>
                <c:pt idx="4">
                  <c:v>Treatment day 5</c:v>
                </c:pt>
                <c:pt idx="5">
                  <c:v>Treatment day 7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37.4</c:v>
                </c:pt>
                <c:pt idx="1">
                  <c:v>37.5</c:v>
                </c:pt>
                <c:pt idx="2">
                  <c:v>37.799999999999997</c:v>
                </c:pt>
                <c:pt idx="3">
                  <c:v>37.5</c:v>
                </c:pt>
                <c:pt idx="4">
                  <c:v>37.1</c:v>
                </c:pt>
                <c:pt idx="5">
                  <c:v>36.9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D1-496E-8CEF-01AC2C3A0459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LTTG</c:v>
                </c:pt>
              </c:strCache>
            </c:strRef>
          </c:tx>
          <c:cat>
            <c:strRef>
              <c:f>Sayfa1!$A$2:$A$7</c:f>
              <c:strCache>
                <c:ptCount val="6"/>
                <c:pt idx="0">
                  <c:v>48 h before diagnosis</c:v>
                </c:pt>
                <c:pt idx="1">
                  <c:v>24 h before diagnosis</c:v>
                </c:pt>
                <c:pt idx="2">
                  <c:v>Treatment day 1</c:v>
                </c:pt>
                <c:pt idx="3">
                  <c:v>Treatment day 3</c:v>
                </c:pt>
                <c:pt idx="4">
                  <c:v>Treatment day 5</c:v>
                </c:pt>
                <c:pt idx="5">
                  <c:v>Treatment day 7</c:v>
                </c:pt>
              </c:strCache>
            </c:strRef>
          </c:cat>
          <c:val>
            <c:numRef>
              <c:f>Sayfa1!$C$2:$C$7</c:f>
              <c:numCache>
                <c:formatCode>General</c:formatCode>
                <c:ptCount val="6"/>
                <c:pt idx="0">
                  <c:v>37.4</c:v>
                </c:pt>
                <c:pt idx="1">
                  <c:v>37.700000000000003</c:v>
                </c:pt>
                <c:pt idx="2">
                  <c:v>38.1</c:v>
                </c:pt>
                <c:pt idx="3">
                  <c:v>37.5</c:v>
                </c:pt>
                <c:pt idx="4">
                  <c:v>37.4</c:v>
                </c:pt>
                <c:pt idx="5">
                  <c:v>37.299999999999997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D1-496E-8CEF-01AC2C3A0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977600"/>
        <c:axId val="71364992"/>
      </c:lineChart>
      <c:catAx>
        <c:axId val="7197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n>
                  <a:noFill/>
                </a:ln>
              </a:defRPr>
            </a:pPr>
            <a:endParaRPr lang="tr-TR"/>
          </a:p>
        </c:txPr>
        <c:crossAx val="71364992"/>
        <c:crosses val="autoZero"/>
        <c:auto val="1"/>
        <c:lblAlgn val="ctr"/>
        <c:lblOffset val="100"/>
        <c:noMultiLvlLbl val="0"/>
      </c:catAx>
      <c:valAx>
        <c:axId val="7136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977600"/>
        <c:crosses val="autoZero"/>
        <c:crossBetween val="between"/>
      </c:valAx>
      <c:spPr>
        <a:ln cmpd="sng"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a:ln>
      </c:spPr>
    </c:plotArea>
    <c:legend>
      <c:legendPos val="r"/>
      <c:layout>
        <c:manualLayout>
          <c:xMode val="edge"/>
          <c:yMode val="edge"/>
          <c:x val="0.83979400749063682"/>
          <c:y val="0.43501184993385272"/>
          <c:w val="0.14897003745318355"/>
          <c:h val="0.17310270178491838"/>
        </c:manualLayout>
      </c:layout>
      <c:overlay val="0"/>
    </c:legend>
    <c:plotVisOnly val="1"/>
    <c:dispBlanksAs val="gap"/>
    <c:showDLblsOverMax val="0"/>
  </c:chart>
  <c:spPr>
    <a:ln w="12700">
      <a:solidFill>
        <a:schemeClr val="tx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5121</Words>
  <Characters>29191</Characters>
  <Application>Microsoft Office Word</Application>
  <DocSecurity>0</DocSecurity>
  <Lines>243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atalar</dc:creator>
  <cp:keywords/>
  <dc:description/>
  <cp:lastModifiedBy>öznur atalar</cp:lastModifiedBy>
  <cp:revision>18</cp:revision>
  <dcterms:created xsi:type="dcterms:W3CDTF">2026-01-05T06:35:00Z</dcterms:created>
  <dcterms:modified xsi:type="dcterms:W3CDTF">2026-03-10T08:50:00Z</dcterms:modified>
</cp:coreProperties>
</file>