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87CA6" w14:textId="37D0AF98" w:rsidR="003D37A2" w:rsidRPr="003B3C91" w:rsidRDefault="003D37A2" w:rsidP="00B7201F">
      <w:pPr>
        <w:widowControl/>
        <w:spacing w:line="480" w:lineRule="auto"/>
        <w:rPr>
          <w:rFonts w:ascii="Times New Roman" w:eastAsiaTheme="minorEastAsia" w:hAnsi="Times New Roman" w:cs="Times New Roman"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488E08BD" wp14:editId="71E65A66">
            <wp:extent cx="5472430" cy="21399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603B6" w14:textId="77777777" w:rsidR="008E422A" w:rsidRPr="00AB5EFC" w:rsidRDefault="008E422A" w:rsidP="008E422A">
      <w:pPr>
        <w:widowControl/>
        <w:spacing w:line="480" w:lineRule="auto"/>
        <w:rPr>
          <w:rFonts w:ascii="Times New Roman" w:eastAsiaTheme="minorEastAsia" w:hAnsi="Times New Roman" w:cs="Times New Roman"/>
          <w:b/>
          <w:bCs/>
        </w:rPr>
      </w:pPr>
      <w:r w:rsidRPr="00AB5EFC">
        <w:rPr>
          <w:rFonts w:ascii="Times New Roman" w:eastAsiaTheme="minorEastAsia" w:hAnsi="Times New Roman" w:cs="Times New Roman"/>
          <w:b/>
          <w:bCs/>
        </w:rPr>
        <w:t xml:space="preserve">Additional file 15: Fig. S7. </w:t>
      </w:r>
      <w:r w:rsidRPr="00AB5EFC">
        <w:rPr>
          <w:rFonts w:ascii="Times New Roman" w:eastAsiaTheme="minorEastAsia" w:hAnsi="Times New Roman" w:cs="Times New Roman"/>
        </w:rPr>
        <w:t xml:space="preserve">Co-expression network of differentially expressed genes (DEGs) associated with floral transition in </w:t>
      </w:r>
      <w:r w:rsidRPr="00AB5EFC">
        <w:rPr>
          <w:rFonts w:ascii="Times New Roman" w:eastAsiaTheme="minorEastAsia" w:hAnsi="Times New Roman" w:cs="Times New Roman"/>
          <w:i/>
          <w:iCs/>
        </w:rPr>
        <w:t>L</w:t>
      </w:r>
      <w:r w:rsidRPr="00AB5EFC">
        <w:rPr>
          <w:rFonts w:ascii="Times New Roman" w:eastAsia="宋体" w:hAnsi="Times New Roman" w:cs="Times New Roman"/>
          <w:i/>
          <w:iCs/>
          <w:szCs w:val="22"/>
        </w:rPr>
        <w:t>uculia</w:t>
      </w:r>
      <w:r w:rsidRPr="00AB5EFC">
        <w:rPr>
          <w:rFonts w:ascii="Times New Roman" w:eastAsiaTheme="minorEastAsia" w:hAnsi="Times New Roman" w:cs="Times New Roman"/>
          <w:i/>
          <w:iCs/>
        </w:rPr>
        <w:t xml:space="preserve"> gratissima</w:t>
      </w:r>
      <w:r w:rsidRPr="00AB5EFC">
        <w:rPr>
          <w:rFonts w:ascii="Times New Roman" w:eastAsiaTheme="minorEastAsia" w:hAnsi="Times New Roman" w:cs="Times New Roman"/>
        </w:rPr>
        <w:t xml:space="preserve">. </w:t>
      </w:r>
      <w:r w:rsidRPr="00AB5EFC">
        <w:rPr>
          <w:rFonts w:ascii="Times New Roman" w:eastAsiaTheme="minorEastAsia" w:hAnsi="Times New Roman" w:cs="Times New Roman"/>
          <w:bCs/>
        </w:rPr>
        <w:t xml:space="preserve">A total of </w:t>
      </w:r>
      <w:r w:rsidRPr="00AB5EFC">
        <w:rPr>
          <w:rFonts w:ascii="Times New Roman" w:eastAsiaTheme="minorEastAsia" w:hAnsi="Times New Roman" w:cs="Times New Roman"/>
        </w:rPr>
        <w:t>126 floral transition-related DEGs with edge weight</w:t>
      </w:r>
      <w:r w:rsidRPr="00AB5EFC">
        <w:rPr>
          <w:rFonts w:ascii="Times New Roman" w:hAnsi="Times New Roman" w:cs="Times New Roman"/>
        </w:rPr>
        <w:t xml:space="preserve"> &gt; 0.1</w:t>
      </w:r>
      <w:r w:rsidRPr="00AB5EFC">
        <w:rPr>
          <w:rFonts w:ascii="Times New Roman" w:eastAsiaTheme="minorEastAsia" w:hAnsi="Times New Roman" w:cs="Times New Roman"/>
        </w:rPr>
        <w:t xml:space="preserve"> were mapped by </w:t>
      </w:r>
      <w:proofErr w:type="spellStart"/>
      <w:r w:rsidRPr="00AB5EFC">
        <w:rPr>
          <w:rFonts w:ascii="Times New Roman" w:eastAsiaTheme="minorEastAsia" w:hAnsi="Times New Roman" w:cs="Times New Roman"/>
        </w:rPr>
        <w:t>Cytoscape</w:t>
      </w:r>
      <w:proofErr w:type="spellEnd"/>
      <w:r w:rsidRPr="00AB5EFC">
        <w:rPr>
          <w:rFonts w:ascii="Times New Roman" w:eastAsiaTheme="minorEastAsia" w:hAnsi="Times New Roman" w:cs="Times New Roman"/>
        </w:rPr>
        <w:t>. The larger and redder the circles, the higher is the connectivity. When</w:t>
      </w:r>
      <w:r w:rsidRPr="00AB5EFC">
        <w:rPr>
          <w:rFonts w:ascii="Times New Roman" w:hAnsi="Times New Roman" w:cs="Times New Roman"/>
        </w:rPr>
        <w:t xml:space="preserve"> </w:t>
      </w:r>
      <w:r w:rsidRPr="00AB5EFC">
        <w:rPr>
          <w:rFonts w:ascii="Times New Roman" w:eastAsiaTheme="minorEastAsia" w:hAnsi="Times New Roman" w:cs="Times New Roman"/>
        </w:rPr>
        <w:t xml:space="preserve">more than two </w:t>
      </w:r>
      <w:proofErr w:type="spellStart"/>
      <w:r w:rsidRPr="00AB5EFC">
        <w:rPr>
          <w:rFonts w:ascii="Times New Roman" w:eastAsiaTheme="minorEastAsia" w:hAnsi="Times New Roman" w:cs="Times New Roman"/>
        </w:rPr>
        <w:t>unigenes</w:t>
      </w:r>
      <w:proofErr w:type="spellEnd"/>
      <w:r w:rsidRPr="00AB5EFC">
        <w:rPr>
          <w:rFonts w:ascii="Times New Roman" w:eastAsiaTheme="minorEastAsia" w:hAnsi="Times New Roman" w:cs="Times New Roman"/>
        </w:rPr>
        <w:t xml:space="preserve"> are the same gene, the </w:t>
      </w:r>
      <w:proofErr w:type="spellStart"/>
      <w:r w:rsidRPr="00AB5EFC">
        <w:rPr>
          <w:rFonts w:ascii="Times New Roman" w:eastAsiaTheme="minorEastAsia" w:hAnsi="Times New Roman" w:cs="Times New Roman"/>
        </w:rPr>
        <w:t>unigene</w:t>
      </w:r>
      <w:proofErr w:type="spellEnd"/>
      <w:r w:rsidRPr="00AB5EFC">
        <w:rPr>
          <w:rFonts w:ascii="Times New Roman" w:eastAsiaTheme="minorEastAsia" w:hAnsi="Times New Roman" w:cs="Times New Roman"/>
        </w:rPr>
        <w:t xml:space="preserve"> ID is marked in parentheses after the gene name.</w:t>
      </w:r>
    </w:p>
    <w:sectPr w:rsidR="008E422A" w:rsidRPr="00AB5EFC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ACFB5D" w14:textId="77777777" w:rsidR="00592C06" w:rsidRDefault="00592C06" w:rsidP="00D951D5">
      <w:r>
        <w:separator/>
      </w:r>
    </w:p>
  </w:endnote>
  <w:endnote w:type="continuationSeparator" w:id="0">
    <w:p w14:paraId="09AB9F4A" w14:textId="77777777" w:rsidR="00592C06" w:rsidRDefault="00592C06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D8E6F" w14:textId="77777777" w:rsidR="00592C06" w:rsidRDefault="00592C06" w:rsidP="00D951D5">
      <w:r>
        <w:separator/>
      </w:r>
    </w:p>
  </w:footnote>
  <w:footnote w:type="continuationSeparator" w:id="0">
    <w:p w14:paraId="0A3DEB38" w14:textId="77777777" w:rsidR="00592C06" w:rsidRDefault="00592C06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92C06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422A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2020-09-30T19:27:00Z</dcterms:modified>
</cp:coreProperties>
</file>