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88C0" w14:textId="6E6BCD94" w:rsidR="002E7966" w:rsidRPr="002E7966" w:rsidRDefault="002E7966" w:rsidP="007435C5">
      <w:pPr>
        <w:spacing w:line="480" w:lineRule="auto"/>
        <w:jc w:val="both"/>
        <w:rPr>
          <w:b/>
          <w:bCs/>
          <w:i/>
          <w:iCs/>
          <w:sz w:val="28"/>
          <w:szCs w:val="24"/>
        </w:rPr>
      </w:pPr>
      <w:bookmarkStart w:id="0" w:name="_Toc213117522"/>
      <w:r w:rsidRPr="002E7966">
        <w:rPr>
          <w:b/>
          <w:bCs/>
          <w:sz w:val="28"/>
          <w:szCs w:val="24"/>
        </w:rPr>
        <w:t>Supplementary Figures</w:t>
      </w:r>
    </w:p>
    <w:p w14:paraId="1AAF2694" w14:textId="1FD46AE7" w:rsidR="007435C5" w:rsidRPr="002E7966" w:rsidRDefault="007435C5" w:rsidP="007435C5">
      <w:pPr>
        <w:spacing w:line="480" w:lineRule="auto"/>
        <w:jc w:val="both"/>
        <w:rPr>
          <w:bCs/>
          <w:lang w:bidi="bn-BD"/>
        </w:rPr>
      </w:pPr>
      <w:r w:rsidRPr="002E7966">
        <w:rPr>
          <w:b/>
          <w:bCs/>
        </w:rPr>
        <w:t xml:space="preserve">Figure </w:t>
      </w:r>
      <w:r w:rsidR="006A19AF" w:rsidRPr="002E7966">
        <w:rPr>
          <w:b/>
          <w:bCs/>
        </w:rPr>
        <w:t>S1</w:t>
      </w:r>
      <w:r w:rsidRPr="002E7966">
        <w:rPr>
          <w:b/>
          <w:bCs/>
        </w:rPr>
        <w:t xml:space="preserve">: </w:t>
      </w:r>
      <w:r w:rsidRPr="002E7966">
        <w:rPr>
          <w:rStyle w:val="NormalWebChar"/>
          <w:rFonts w:eastAsiaTheme="minorHAnsi"/>
          <w:b/>
          <w:bCs/>
        </w:rPr>
        <w:t xml:space="preserve">Frequency of antimicrobial resistance genes detected by </w:t>
      </w:r>
      <w:proofErr w:type="spellStart"/>
      <w:r w:rsidRPr="002E7966">
        <w:rPr>
          <w:rStyle w:val="NormalWebChar"/>
          <w:rFonts w:eastAsiaTheme="minorHAnsi"/>
          <w:b/>
          <w:bCs/>
        </w:rPr>
        <w:t>ResFinder</w:t>
      </w:r>
      <w:proofErr w:type="spellEnd"/>
      <w:r w:rsidRPr="002E7966">
        <w:rPr>
          <w:rStyle w:val="NormalWebChar"/>
          <w:rFonts w:eastAsiaTheme="minorHAnsi"/>
          <w:b/>
          <w:bCs/>
        </w:rPr>
        <w:t xml:space="preserve"> in 26 </w:t>
      </w:r>
      <w:r w:rsidRPr="002E7966">
        <w:rPr>
          <w:b/>
          <w:bCs/>
        </w:rPr>
        <w:t>E. coli</w:t>
      </w:r>
      <w:r w:rsidRPr="002E7966">
        <w:rPr>
          <w:rStyle w:val="NormalWebChar"/>
          <w:rFonts w:eastAsiaTheme="minorHAnsi"/>
          <w:b/>
          <w:bCs/>
        </w:rPr>
        <w:t xml:space="preserve"> isolates.</w:t>
      </w:r>
      <w:r w:rsidRPr="002E7966">
        <w:rPr>
          <w:rStyle w:val="NormalWebChar"/>
          <w:rFonts w:eastAsiaTheme="minorHAnsi"/>
          <w:bCs/>
        </w:rPr>
        <w:t xml:space="preserve"> </w:t>
      </w:r>
      <w:r w:rsidRPr="002E7966">
        <w:rPr>
          <w:bCs/>
        </w:rPr>
        <w:t>Bar plot showing the number of isolates carrying each resistance gene after filtering (≥9</w:t>
      </w:r>
      <w:r w:rsidR="00FD5100">
        <w:rPr>
          <w:bCs/>
        </w:rPr>
        <w:t>5</w:t>
      </w:r>
      <w:r w:rsidRPr="002E7966">
        <w:rPr>
          <w:bCs/>
        </w:rPr>
        <w:t>% identity, ≥</w:t>
      </w:r>
      <w:r w:rsidR="00FD5100">
        <w:rPr>
          <w:bCs/>
        </w:rPr>
        <w:t>10</w:t>
      </w:r>
      <w:r w:rsidRPr="002E7966">
        <w:rPr>
          <w:bCs/>
        </w:rPr>
        <w:t>0% coverage).</w:t>
      </w:r>
      <w:bookmarkEnd w:id="0"/>
      <w:r w:rsidRPr="002E7966">
        <w:rPr>
          <w:bCs/>
        </w:rPr>
        <w:t xml:space="preserve"> </w:t>
      </w:r>
    </w:p>
    <w:p w14:paraId="18FD958C" w14:textId="6C1B84A8" w:rsidR="007435C5" w:rsidRPr="002E7966" w:rsidRDefault="007435C5" w:rsidP="007435C5">
      <w:pPr>
        <w:spacing w:line="480" w:lineRule="auto"/>
        <w:jc w:val="both"/>
        <w:rPr>
          <w:bCs/>
        </w:rPr>
      </w:pPr>
      <w:r w:rsidRPr="002E7966">
        <w:rPr>
          <w:b/>
        </w:rPr>
        <w:t xml:space="preserve">Figure </w:t>
      </w:r>
      <w:r w:rsidR="006A19AF" w:rsidRPr="002E7966">
        <w:rPr>
          <w:b/>
        </w:rPr>
        <w:t>S</w:t>
      </w:r>
      <w:r w:rsidR="00FD5100">
        <w:rPr>
          <w:b/>
        </w:rPr>
        <w:t>2</w:t>
      </w:r>
      <w:r w:rsidRPr="002E7966">
        <w:rPr>
          <w:b/>
        </w:rPr>
        <w:t>: Heatmap of plasmid presence/absence across 26 E. coli isolates</w:t>
      </w:r>
      <w:r w:rsidRPr="002E7966">
        <w:rPr>
          <w:bCs/>
        </w:rPr>
        <w:t>.</w:t>
      </w:r>
      <w:r w:rsidRPr="002E7966">
        <w:t xml:space="preserve"> </w:t>
      </w:r>
      <w:r w:rsidRPr="002E7966">
        <w:rPr>
          <w:bCs/>
        </w:rPr>
        <w:t xml:space="preserve">Each row corresponds to an isolate and each column represents a unique plasmid replicon identified by </w:t>
      </w:r>
      <w:proofErr w:type="spellStart"/>
      <w:r w:rsidRPr="002E7966">
        <w:rPr>
          <w:bCs/>
        </w:rPr>
        <w:t>PlasmidFinder</w:t>
      </w:r>
      <w:proofErr w:type="spellEnd"/>
      <w:r w:rsidRPr="002E7966">
        <w:rPr>
          <w:bCs/>
        </w:rPr>
        <w:t xml:space="preserve">. Blue shading indicates plasmid presence (1), and </w:t>
      </w:r>
      <w:proofErr w:type="spellStart"/>
      <w:r w:rsidRPr="002E7966">
        <w:rPr>
          <w:bCs/>
        </w:rPr>
        <w:t>Lightgreen</w:t>
      </w:r>
      <w:proofErr w:type="spellEnd"/>
      <w:r w:rsidRPr="002E7966">
        <w:rPr>
          <w:bCs/>
        </w:rPr>
        <w:t xml:space="preserve"> shading indicates absence (0). Both isolates and plasmids were hierarchically clustered, revealing groups of isolates with similar plasmid carriage patterns and clusters of plasmids that frequently co-occur. Distinct clustering of certain isolates (e.g., SM_7, SM_48, SM_26) highlights heterogeneity in plasmid content.</w:t>
      </w:r>
    </w:p>
    <w:p w14:paraId="18F542F3" w14:textId="270CC819" w:rsidR="002E7966" w:rsidRPr="00352B01" w:rsidRDefault="00352B01" w:rsidP="007435C5">
      <w:pPr>
        <w:spacing w:line="480" w:lineRule="auto"/>
        <w:jc w:val="both"/>
        <w:rPr>
          <w:b/>
          <w:bCs/>
          <w:sz w:val="28"/>
          <w:szCs w:val="24"/>
        </w:rPr>
      </w:pPr>
      <w:r w:rsidRPr="00352B01">
        <w:rPr>
          <w:b/>
          <w:bCs/>
        </w:rPr>
        <w:t>Figure S</w:t>
      </w:r>
      <w:r>
        <w:rPr>
          <w:b/>
          <w:bCs/>
        </w:rPr>
        <w:t>3</w:t>
      </w:r>
      <w:r w:rsidRPr="00352B01">
        <w:rPr>
          <w:b/>
          <w:bCs/>
        </w:rPr>
        <w:t xml:space="preserve">: </w:t>
      </w:r>
      <w:r w:rsidRPr="00352B01">
        <w:rPr>
          <w:b/>
          <w:bCs/>
        </w:rPr>
        <w:t xml:space="preserve">Principal Component Analysis of Virulence Gene Distribution in </w:t>
      </w:r>
      <w:r w:rsidRPr="00352B01">
        <w:rPr>
          <w:rStyle w:val="Emphasis"/>
          <w:b/>
          <w:bCs/>
        </w:rPr>
        <w:t>E. coli</w:t>
      </w:r>
      <w:r w:rsidRPr="00352B01">
        <w:rPr>
          <w:b/>
          <w:bCs/>
        </w:rPr>
        <w:t xml:space="preserve"> Isolates</w:t>
      </w:r>
      <w:r>
        <w:rPr>
          <w:b/>
          <w:bCs/>
        </w:rPr>
        <w:t xml:space="preserve">. </w:t>
      </w:r>
      <w:r w:rsidRPr="00352B01">
        <w:t>P</w:t>
      </w:r>
      <w:r>
        <w:t>rincipal component analysis (PCA) based on the presence–absence matrix of virulence genes. Each point represents an individual virulence gene, and the spatial distribution reflects co-occurrence patterns across isolates. The first two principal components (PC1 and PC2) explain 67.1% and 6.7% of the total variance, respectively. Distinct clustering and separation of genes indicate variability in their distribution and contribution to overall virulence profiles.</w:t>
      </w:r>
    </w:p>
    <w:p w14:paraId="681AD280" w14:textId="77777777" w:rsidR="002E7966" w:rsidRDefault="002E7966" w:rsidP="007435C5">
      <w:pPr>
        <w:spacing w:line="480" w:lineRule="auto"/>
        <w:jc w:val="both"/>
        <w:rPr>
          <w:b/>
          <w:bCs/>
          <w:sz w:val="28"/>
          <w:szCs w:val="24"/>
        </w:rPr>
      </w:pPr>
    </w:p>
    <w:p w14:paraId="73C58E92" w14:textId="77777777" w:rsidR="002E7966" w:rsidRDefault="002E7966" w:rsidP="007435C5">
      <w:pPr>
        <w:spacing w:line="480" w:lineRule="auto"/>
        <w:jc w:val="both"/>
        <w:rPr>
          <w:b/>
          <w:bCs/>
          <w:sz w:val="28"/>
          <w:szCs w:val="24"/>
        </w:rPr>
      </w:pPr>
    </w:p>
    <w:p w14:paraId="53825512" w14:textId="29D52AE3" w:rsidR="002E7966" w:rsidRDefault="002E7966" w:rsidP="007435C5">
      <w:pPr>
        <w:spacing w:line="480" w:lineRule="auto"/>
        <w:jc w:val="both"/>
        <w:rPr>
          <w:b/>
          <w:bCs/>
          <w:sz w:val="28"/>
          <w:szCs w:val="24"/>
        </w:rPr>
      </w:pPr>
    </w:p>
    <w:p w14:paraId="36C077AF" w14:textId="77777777" w:rsidR="00352B01" w:rsidRDefault="00352B01" w:rsidP="007435C5">
      <w:pPr>
        <w:spacing w:line="480" w:lineRule="auto"/>
        <w:jc w:val="both"/>
        <w:rPr>
          <w:b/>
          <w:bCs/>
          <w:sz w:val="28"/>
          <w:szCs w:val="24"/>
        </w:rPr>
      </w:pPr>
    </w:p>
    <w:p w14:paraId="24460763" w14:textId="30653C20" w:rsidR="0035199A" w:rsidRDefault="002E7966" w:rsidP="007435C5">
      <w:pPr>
        <w:spacing w:line="480" w:lineRule="auto"/>
        <w:jc w:val="both"/>
        <w:rPr>
          <w:b/>
          <w:bCs/>
          <w:sz w:val="28"/>
          <w:szCs w:val="24"/>
        </w:rPr>
      </w:pPr>
      <w:r w:rsidRPr="002E7966">
        <w:rPr>
          <w:b/>
          <w:bCs/>
          <w:sz w:val="28"/>
          <w:szCs w:val="24"/>
        </w:rPr>
        <w:lastRenderedPageBreak/>
        <w:t>Supplementary Tables</w:t>
      </w:r>
    </w:p>
    <w:p w14:paraId="3DF7463E" w14:textId="6263C050" w:rsidR="005513A7" w:rsidRPr="005513A7" w:rsidRDefault="005513A7" w:rsidP="005513A7">
      <w:pPr>
        <w:keepNext/>
        <w:spacing w:line="480" w:lineRule="auto"/>
        <w:jc w:val="both"/>
        <w:rPr>
          <w:rFonts w:cs="Times New Roman"/>
          <w:b/>
          <w:bCs/>
          <w:szCs w:val="24"/>
        </w:rPr>
      </w:pPr>
      <w:bookmarkStart w:id="1" w:name="_Toc213117543"/>
      <w:r w:rsidRPr="005513A7">
        <w:rPr>
          <w:rFonts w:cs="Times New Roman"/>
          <w:b/>
          <w:bCs/>
          <w:szCs w:val="24"/>
        </w:rPr>
        <w:t xml:space="preserve">Table S1: </w:t>
      </w:r>
      <w:r w:rsidRPr="005513A7">
        <w:rPr>
          <w:rFonts w:cs="Times New Roman"/>
          <w:b/>
          <w:bCs/>
          <w:szCs w:val="28"/>
        </w:rPr>
        <w:t>List of antimicrobials used against resistant isolates along with their disc concentration and diffusion ZOI (Zone of Inhibition, CLSI’2024)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1949"/>
        <w:gridCol w:w="1577"/>
        <w:gridCol w:w="1243"/>
        <w:gridCol w:w="705"/>
        <w:gridCol w:w="900"/>
        <w:gridCol w:w="651"/>
      </w:tblGrid>
      <w:tr w:rsidR="005513A7" w:rsidRPr="003F3068" w14:paraId="3CF1D5FD" w14:textId="77777777" w:rsidTr="00F527F2">
        <w:tc>
          <w:tcPr>
            <w:tcW w:w="0" w:type="auto"/>
            <w:hideMark/>
          </w:tcPr>
          <w:p w14:paraId="0611B3A2" w14:textId="77777777" w:rsidR="005513A7" w:rsidRPr="003F3068" w:rsidRDefault="005513A7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bookmarkStart w:id="2" w:name="_Toc210436446"/>
            <w:bookmarkStart w:id="3" w:name="_Toc213117545"/>
            <w:r w:rsidRPr="003F3068">
              <w:rPr>
                <w:rFonts w:eastAsia="Times New Roman" w:cs="Times New Roman"/>
                <w:b/>
                <w:bCs/>
                <w:szCs w:val="24"/>
              </w:rPr>
              <w:t>Group of Antimicrobial Agents</w:t>
            </w:r>
          </w:p>
        </w:tc>
        <w:tc>
          <w:tcPr>
            <w:tcW w:w="1949" w:type="dxa"/>
            <w:hideMark/>
          </w:tcPr>
          <w:p w14:paraId="7024F7E2" w14:textId="77777777" w:rsidR="005513A7" w:rsidRPr="003F3068" w:rsidRDefault="005513A7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F3068">
              <w:rPr>
                <w:rFonts w:eastAsia="Times New Roman" w:cs="Times New Roman"/>
                <w:b/>
                <w:bCs/>
                <w:szCs w:val="24"/>
              </w:rPr>
              <w:t>Antimicrobials</w:t>
            </w:r>
          </w:p>
        </w:tc>
        <w:tc>
          <w:tcPr>
            <w:tcW w:w="1577" w:type="dxa"/>
            <w:hideMark/>
          </w:tcPr>
          <w:p w14:paraId="5546957B" w14:textId="77777777" w:rsidR="005513A7" w:rsidRPr="003F3068" w:rsidRDefault="005513A7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F3068">
              <w:rPr>
                <w:rFonts w:eastAsia="Times New Roman" w:cs="Times New Roman"/>
                <w:b/>
                <w:bCs/>
                <w:szCs w:val="24"/>
              </w:rPr>
              <w:t>Abbreviation</w:t>
            </w:r>
          </w:p>
        </w:tc>
        <w:tc>
          <w:tcPr>
            <w:tcW w:w="1243" w:type="dxa"/>
            <w:hideMark/>
          </w:tcPr>
          <w:p w14:paraId="0FE17D9B" w14:textId="77777777" w:rsidR="005513A7" w:rsidRPr="003F3068" w:rsidRDefault="005513A7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F3068">
              <w:rPr>
                <w:rFonts w:eastAsia="Times New Roman" w:cs="Times New Roman"/>
                <w:b/>
                <w:bCs/>
                <w:szCs w:val="24"/>
              </w:rPr>
              <w:t>Disc Content</w:t>
            </w:r>
          </w:p>
        </w:tc>
        <w:tc>
          <w:tcPr>
            <w:tcW w:w="705" w:type="dxa"/>
            <w:hideMark/>
          </w:tcPr>
          <w:p w14:paraId="589C68B1" w14:textId="77777777" w:rsidR="005513A7" w:rsidRPr="003F3068" w:rsidRDefault="005513A7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F3068">
              <w:rPr>
                <w:rFonts w:eastAsia="Times New Roman" w:cs="Times New Roman"/>
                <w:b/>
                <w:bCs/>
                <w:szCs w:val="24"/>
              </w:rPr>
              <w:t>S</w:t>
            </w:r>
          </w:p>
        </w:tc>
        <w:tc>
          <w:tcPr>
            <w:tcW w:w="900" w:type="dxa"/>
            <w:hideMark/>
          </w:tcPr>
          <w:p w14:paraId="03692FC9" w14:textId="77777777" w:rsidR="005513A7" w:rsidRPr="003F3068" w:rsidRDefault="005513A7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F3068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651" w:type="dxa"/>
            <w:hideMark/>
          </w:tcPr>
          <w:p w14:paraId="755AF18E" w14:textId="77777777" w:rsidR="005513A7" w:rsidRPr="003F3068" w:rsidRDefault="005513A7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F3068">
              <w:rPr>
                <w:rFonts w:eastAsia="Times New Roman" w:cs="Times New Roman"/>
                <w:b/>
                <w:bCs/>
                <w:szCs w:val="24"/>
              </w:rPr>
              <w:t>R</w:t>
            </w:r>
          </w:p>
        </w:tc>
      </w:tr>
      <w:tr w:rsidR="005513A7" w:rsidRPr="003F3068" w14:paraId="0EC41128" w14:textId="77777777" w:rsidTr="00F527F2">
        <w:tc>
          <w:tcPr>
            <w:tcW w:w="0" w:type="auto"/>
            <w:hideMark/>
          </w:tcPr>
          <w:p w14:paraId="24AB1910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Penicillin derivatives / β-lactams</w:t>
            </w:r>
          </w:p>
        </w:tc>
        <w:tc>
          <w:tcPr>
            <w:tcW w:w="1949" w:type="dxa"/>
            <w:hideMark/>
          </w:tcPr>
          <w:p w14:paraId="52ED3F99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Ampicillin</w:t>
            </w:r>
          </w:p>
        </w:tc>
        <w:tc>
          <w:tcPr>
            <w:tcW w:w="1577" w:type="dxa"/>
            <w:hideMark/>
          </w:tcPr>
          <w:p w14:paraId="72ADA0AD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AMP</w:t>
            </w:r>
          </w:p>
        </w:tc>
        <w:tc>
          <w:tcPr>
            <w:tcW w:w="1243" w:type="dxa"/>
            <w:hideMark/>
          </w:tcPr>
          <w:p w14:paraId="09FA13B9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10 µg</w:t>
            </w:r>
          </w:p>
        </w:tc>
        <w:tc>
          <w:tcPr>
            <w:tcW w:w="705" w:type="dxa"/>
            <w:hideMark/>
          </w:tcPr>
          <w:p w14:paraId="59D351E2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17</w:t>
            </w:r>
          </w:p>
        </w:tc>
        <w:tc>
          <w:tcPr>
            <w:tcW w:w="900" w:type="dxa"/>
            <w:hideMark/>
          </w:tcPr>
          <w:p w14:paraId="1AF9355A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14–16</w:t>
            </w:r>
          </w:p>
        </w:tc>
        <w:tc>
          <w:tcPr>
            <w:tcW w:w="651" w:type="dxa"/>
            <w:hideMark/>
          </w:tcPr>
          <w:p w14:paraId="658086E6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13</w:t>
            </w:r>
          </w:p>
        </w:tc>
      </w:tr>
      <w:tr w:rsidR="005513A7" w:rsidRPr="003F3068" w14:paraId="29E9591B" w14:textId="77777777" w:rsidTr="00F527F2">
        <w:tc>
          <w:tcPr>
            <w:tcW w:w="0" w:type="auto"/>
            <w:hideMark/>
          </w:tcPr>
          <w:p w14:paraId="12D2D8B7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3F3068">
              <w:rPr>
                <w:rFonts w:eastAsia="Times New Roman" w:cs="Times New Roman"/>
                <w:szCs w:val="24"/>
              </w:rPr>
              <w:t>Cephamycins</w:t>
            </w:r>
            <w:proofErr w:type="spellEnd"/>
          </w:p>
        </w:tc>
        <w:tc>
          <w:tcPr>
            <w:tcW w:w="1949" w:type="dxa"/>
            <w:hideMark/>
          </w:tcPr>
          <w:p w14:paraId="3DD0AC43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Cefoxitin</w:t>
            </w:r>
          </w:p>
        </w:tc>
        <w:tc>
          <w:tcPr>
            <w:tcW w:w="1577" w:type="dxa"/>
            <w:hideMark/>
          </w:tcPr>
          <w:p w14:paraId="096D60A2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FOX</w:t>
            </w:r>
          </w:p>
        </w:tc>
        <w:tc>
          <w:tcPr>
            <w:tcW w:w="1243" w:type="dxa"/>
            <w:hideMark/>
          </w:tcPr>
          <w:p w14:paraId="4420D59B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30 µg</w:t>
            </w:r>
          </w:p>
        </w:tc>
        <w:tc>
          <w:tcPr>
            <w:tcW w:w="705" w:type="dxa"/>
            <w:hideMark/>
          </w:tcPr>
          <w:p w14:paraId="3AAF8256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18</w:t>
            </w:r>
          </w:p>
        </w:tc>
        <w:tc>
          <w:tcPr>
            <w:tcW w:w="900" w:type="dxa"/>
            <w:hideMark/>
          </w:tcPr>
          <w:p w14:paraId="7A27EDB6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15–17</w:t>
            </w:r>
          </w:p>
        </w:tc>
        <w:tc>
          <w:tcPr>
            <w:tcW w:w="651" w:type="dxa"/>
            <w:hideMark/>
          </w:tcPr>
          <w:p w14:paraId="68D76277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14</w:t>
            </w:r>
          </w:p>
        </w:tc>
      </w:tr>
      <w:tr w:rsidR="005513A7" w:rsidRPr="003F3068" w14:paraId="5AB94463" w14:textId="77777777" w:rsidTr="00F527F2">
        <w:tc>
          <w:tcPr>
            <w:tcW w:w="0" w:type="auto"/>
            <w:hideMark/>
          </w:tcPr>
          <w:p w14:paraId="780C2D88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3rd gen cephalosporins (ESBLs)</w:t>
            </w:r>
          </w:p>
        </w:tc>
        <w:tc>
          <w:tcPr>
            <w:tcW w:w="1949" w:type="dxa"/>
            <w:hideMark/>
          </w:tcPr>
          <w:p w14:paraId="063BBA9D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Cefotaxime</w:t>
            </w:r>
          </w:p>
        </w:tc>
        <w:tc>
          <w:tcPr>
            <w:tcW w:w="1577" w:type="dxa"/>
            <w:hideMark/>
          </w:tcPr>
          <w:p w14:paraId="3C72C46B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CTX</w:t>
            </w:r>
          </w:p>
        </w:tc>
        <w:tc>
          <w:tcPr>
            <w:tcW w:w="1243" w:type="dxa"/>
            <w:hideMark/>
          </w:tcPr>
          <w:p w14:paraId="19E61D3B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30 µg</w:t>
            </w:r>
          </w:p>
        </w:tc>
        <w:tc>
          <w:tcPr>
            <w:tcW w:w="705" w:type="dxa"/>
            <w:hideMark/>
          </w:tcPr>
          <w:p w14:paraId="2BFC2A8A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26</w:t>
            </w:r>
          </w:p>
        </w:tc>
        <w:tc>
          <w:tcPr>
            <w:tcW w:w="900" w:type="dxa"/>
            <w:hideMark/>
          </w:tcPr>
          <w:p w14:paraId="03F8BC44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23–25</w:t>
            </w:r>
          </w:p>
        </w:tc>
        <w:tc>
          <w:tcPr>
            <w:tcW w:w="651" w:type="dxa"/>
            <w:hideMark/>
          </w:tcPr>
          <w:p w14:paraId="785B1ECB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22</w:t>
            </w:r>
          </w:p>
        </w:tc>
      </w:tr>
      <w:tr w:rsidR="005513A7" w:rsidRPr="003F3068" w14:paraId="20A836B1" w14:textId="77777777" w:rsidTr="00F527F2">
        <w:tc>
          <w:tcPr>
            <w:tcW w:w="0" w:type="auto"/>
            <w:hideMark/>
          </w:tcPr>
          <w:p w14:paraId="10816083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3rd gen cephalosporins (ESBLs)</w:t>
            </w:r>
          </w:p>
        </w:tc>
        <w:tc>
          <w:tcPr>
            <w:tcW w:w="1949" w:type="dxa"/>
            <w:hideMark/>
          </w:tcPr>
          <w:p w14:paraId="4E602D33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Ceftazidime</w:t>
            </w:r>
          </w:p>
        </w:tc>
        <w:tc>
          <w:tcPr>
            <w:tcW w:w="1577" w:type="dxa"/>
            <w:hideMark/>
          </w:tcPr>
          <w:p w14:paraId="5AB2CC6D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CAZ</w:t>
            </w:r>
          </w:p>
        </w:tc>
        <w:tc>
          <w:tcPr>
            <w:tcW w:w="1243" w:type="dxa"/>
            <w:hideMark/>
          </w:tcPr>
          <w:p w14:paraId="185955B4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30 µg</w:t>
            </w:r>
          </w:p>
        </w:tc>
        <w:tc>
          <w:tcPr>
            <w:tcW w:w="705" w:type="dxa"/>
            <w:hideMark/>
          </w:tcPr>
          <w:p w14:paraId="3639A7A5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21</w:t>
            </w:r>
          </w:p>
        </w:tc>
        <w:tc>
          <w:tcPr>
            <w:tcW w:w="900" w:type="dxa"/>
            <w:hideMark/>
          </w:tcPr>
          <w:p w14:paraId="5CE122D5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18–20</w:t>
            </w:r>
          </w:p>
        </w:tc>
        <w:tc>
          <w:tcPr>
            <w:tcW w:w="651" w:type="dxa"/>
            <w:hideMark/>
          </w:tcPr>
          <w:p w14:paraId="44022091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17</w:t>
            </w:r>
          </w:p>
        </w:tc>
      </w:tr>
      <w:tr w:rsidR="005513A7" w:rsidRPr="003F3068" w14:paraId="7559B976" w14:textId="77777777" w:rsidTr="00F527F2">
        <w:tc>
          <w:tcPr>
            <w:tcW w:w="0" w:type="auto"/>
            <w:hideMark/>
          </w:tcPr>
          <w:p w14:paraId="7046D9DF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Tetracyclines</w:t>
            </w:r>
          </w:p>
        </w:tc>
        <w:tc>
          <w:tcPr>
            <w:tcW w:w="1949" w:type="dxa"/>
            <w:hideMark/>
          </w:tcPr>
          <w:p w14:paraId="69213B57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Tetracycline</w:t>
            </w:r>
          </w:p>
        </w:tc>
        <w:tc>
          <w:tcPr>
            <w:tcW w:w="1577" w:type="dxa"/>
            <w:hideMark/>
          </w:tcPr>
          <w:p w14:paraId="3AEE7835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TE</w:t>
            </w:r>
          </w:p>
        </w:tc>
        <w:tc>
          <w:tcPr>
            <w:tcW w:w="1243" w:type="dxa"/>
            <w:hideMark/>
          </w:tcPr>
          <w:p w14:paraId="69866FE7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30 µg</w:t>
            </w:r>
          </w:p>
        </w:tc>
        <w:tc>
          <w:tcPr>
            <w:tcW w:w="705" w:type="dxa"/>
            <w:hideMark/>
          </w:tcPr>
          <w:p w14:paraId="657FEB46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15</w:t>
            </w:r>
          </w:p>
        </w:tc>
        <w:tc>
          <w:tcPr>
            <w:tcW w:w="900" w:type="dxa"/>
            <w:hideMark/>
          </w:tcPr>
          <w:p w14:paraId="7771CE05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12–14</w:t>
            </w:r>
          </w:p>
        </w:tc>
        <w:tc>
          <w:tcPr>
            <w:tcW w:w="651" w:type="dxa"/>
            <w:hideMark/>
          </w:tcPr>
          <w:p w14:paraId="63F97DBD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11</w:t>
            </w:r>
          </w:p>
        </w:tc>
      </w:tr>
      <w:tr w:rsidR="005513A7" w:rsidRPr="003F3068" w14:paraId="7C9FD7ED" w14:textId="77777777" w:rsidTr="00F527F2">
        <w:tc>
          <w:tcPr>
            <w:tcW w:w="0" w:type="auto"/>
            <w:hideMark/>
          </w:tcPr>
          <w:p w14:paraId="0E2CE319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Tetracyclines</w:t>
            </w:r>
          </w:p>
        </w:tc>
        <w:tc>
          <w:tcPr>
            <w:tcW w:w="1949" w:type="dxa"/>
            <w:hideMark/>
          </w:tcPr>
          <w:p w14:paraId="6B10FA0A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Doxycycline</w:t>
            </w:r>
          </w:p>
        </w:tc>
        <w:tc>
          <w:tcPr>
            <w:tcW w:w="1577" w:type="dxa"/>
            <w:hideMark/>
          </w:tcPr>
          <w:p w14:paraId="0555482C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DOX</w:t>
            </w:r>
          </w:p>
        </w:tc>
        <w:tc>
          <w:tcPr>
            <w:tcW w:w="1243" w:type="dxa"/>
            <w:hideMark/>
          </w:tcPr>
          <w:p w14:paraId="33BE813F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30 µg</w:t>
            </w:r>
          </w:p>
        </w:tc>
        <w:tc>
          <w:tcPr>
            <w:tcW w:w="705" w:type="dxa"/>
            <w:hideMark/>
          </w:tcPr>
          <w:p w14:paraId="2E712FBF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1</w:t>
            </w: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00" w:type="dxa"/>
            <w:hideMark/>
          </w:tcPr>
          <w:p w14:paraId="47416E67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1</w:t>
            </w:r>
            <w:r w:rsidRPr="003F3068">
              <w:rPr>
                <w:rFonts w:eastAsia="Times New Roman" w:cs="Times New Roman"/>
                <w:szCs w:val="24"/>
              </w:rPr>
              <w:t>–1</w:t>
            </w: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651" w:type="dxa"/>
            <w:hideMark/>
          </w:tcPr>
          <w:p w14:paraId="34355237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</w:t>
            </w: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5513A7" w:rsidRPr="003F3068" w14:paraId="0A3A6553" w14:textId="77777777" w:rsidTr="00F527F2">
        <w:tc>
          <w:tcPr>
            <w:tcW w:w="0" w:type="auto"/>
            <w:hideMark/>
          </w:tcPr>
          <w:p w14:paraId="1B2B9809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Aminoglycosides</w:t>
            </w:r>
          </w:p>
        </w:tc>
        <w:tc>
          <w:tcPr>
            <w:tcW w:w="1949" w:type="dxa"/>
            <w:hideMark/>
          </w:tcPr>
          <w:p w14:paraId="72744B56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Gentamicin</w:t>
            </w:r>
          </w:p>
        </w:tc>
        <w:tc>
          <w:tcPr>
            <w:tcW w:w="1577" w:type="dxa"/>
            <w:hideMark/>
          </w:tcPr>
          <w:p w14:paraId="727B19AD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GM</w:t>
            </w:r>
          </w:p>
        </w:tc>
        <w:tc>
          <w:tcPr>
            <w:tcW w:w="1243" w:type="dxa"/>
            <w:hideMark/>
          </w:tcPr>
          <w:p w14:paraId="7794F05D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10 µg</w:t>
            </w:r>
          </w:p>
        </w:tc>
        <w:tc>
          <w:tcPr>
            <w:tcW w:w="705" w:type="dxa"/>
            <w:hideMark/>
          </w:tcPr>
          <w:p w14:paraId="27D61CFE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18</w:t>
            </w:r>
          </w:p>
        </w:tc>
        <w:tc>
          <w:tcPr>
            <w:tcW w:w="900" w:type="dxa"/>
            <w:hideMark/>
          </w:tcPr>
          <w:p w14:paraId="5C2303D4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15–17</w:t>
            </w:r>
          </w:p>
        </w:tc>
        <w:tc>
          <w:tcPr>
            <w:tcW w:w="651" w:type="dxa"/>
            <w:hideMark/>
          </w:tcPr>
          <w:p w14:paraId="4656C7C3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14</w:t>
            </w:r>
          </w:p>
        </w:tc>
      </w:tr>
      <w:tr w:rsidR="005513A7" w:rsidRPr="003F3068" w14:paraId="2AF8BB08" w14:textId="77777777" w:rsidTr="00F527F2">
        <w:tc>
          <w:tcPr>
            <w:tcW w:w="0" w:type="auto"/>
            <w:hideMark/>
          </w:tcPr>
          <w:p w14:paraId="7D4DE0B0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Fluoroquinolones (2nd Gen)</w:t>
            </w:r>
          </w:p>
        </w:tc>
        <w:tc>
          <w:tcPr>
            <w:tcW w:w="1949" w:type="dxa"/>
            <w:hideMark/>
          </w:tcPr>
          <w:p w14:paraId="2FB1C157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Ciprofloxacin</w:t>
            </w:r>
          </w:p>
        </w:tc>
        <w:tc>
          <w:tcPr>
            <w:tcW w:w="1577" w:type="dxa"/>
            <w:hideMark/>
          </w:tcPr>
          <w:p w14:paraId="5152F4C1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CIP</w:t>
            </w:r>
          </w:p>
        </w:tc>
        <w:tc>
          <w:tcPr>
            <w:tcW w:w="1243" w:type="dxa"/>
            <w:hideMark/>
          </w:tcPr>
          <w:p w14:paraId="76847B42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5 µg</w:t>
            </w:r>
          </w:p>
        </w:tc>
        <w:tc>
          <w:tcPr>
            <w:tcW w:w="705" w:type="dxa"/>
            <w:hideMark/>
          </w:tcPr>
          <w:p w14:paraId="53798970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26</w:t>
            </w:r>
          </w:p>
        </w:tc>
        <w:tc>
          <w:tcPr>
            <w:tcW w:w="900" w:type="dxa"/>
            <w:hideMark/>
          </w:tcPr>
          <w:p w14:paraId="789A6E44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22–25</w:t>
            </w:r>
          </w:p>
        </w:tc>
        <w:tc>
          <w:tcPr>
            <w:tcW w:w="651" w:type="dxa"/>
            <w:hideMark/>
          </w:tcPr>
          <w:p w14:paraId="57852C13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21</w:t>
            </w:r>
          </w:p>
        </w:tc>
      </w:tr>
      <w:tr w:rsidR="005513A7" w:rsidRPr="003F3068" w14:paraId="44AAAF04" w14:textId="77777777" w:rsidTr="00F527F2">
        <w:tc>
          <w:tcPr>
            <w:tcW w:w="0" w:type="auto"/>
            <w:hideMark/>
          </w:tcPr>
          <w:p w14:paraId="232BEB7D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Fluoroquinolones (2nd Gen)</w:t>
            </w:r>
          </w:p>
        </w:tc>
        <w:tc>
          <w:tcPr>
            <w:tcW w:w="1949" w:type="dxa"/>
            <w:hideMark/>
          </w:tcPr>
          <w:p w14:paraId="66F5DC1F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Norfloxacin</w:t>
            </w:r>
          </w:p>
        </w:tc>
        <w:tc>
          <w:tcPr>
            <w:tcW w:w="1577" w:type="dxa"/>
            <w:hideMark/>
          </w:tcPr>
          <w:p w14:paraId="010A7692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NOR</w:t>
            </w:r>
          </w:p>
        </w:tc>
        <w:tc>
          <w:tcPr>
            <w:tcW w:w="1243" w:type="dxa"/>
            <w:hideMark/>
          </w:tcPr>
          <w:p w14:paraId="09736255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10 µg</w:t>
            </w:r>
          </w:p>
        </w:tc>
        <w:tc>
          <w:tcPr>
            <w:tcW w:w="705" w:type="dxa"/>
            <w:hideMark/>
          </w:tcPr>
          <w:p w14:paraId="2A901F90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17</w:t>
            </w:r>
          </w:p>
        </w:tc>
        <w:tc>
          <w:tcPr>
            <w:tcW w:w="900" w:type="dxa"/>
            <w:hideMark/>
          </w:tcPr>
          <w:p w14:paraId="76179DA1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13–16</w:t>
            </w:r>
          </w:p>
        </w:tc>
        <w:tc>
          <w:tcPr>
            <w:tcW w:w="651" w:type="dxa"/>
            <w:hideMark/>
          </w:tcPr>
          <w:p w14:paraId="03072889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12</w:t>
            </w:r>
          </w:p>
        </w:tc>
      </w:tr>
      <w:tr w:rsidR="005513A7" w:rsidRPr="003F3068" w14:paraId="25E8F0A0" w14:textId="77777777" w:rsidTr="00F527F2">
        <w:tc>
          <w:tcPr>
            <w:tcW w:w="0" w:type="auto"/>
            <w:hideMark/>
          </w:tcPr>
          <w:p w14:paraId="6308FC7A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lastRenderedPageBreak/>
              <w:t>Fluoroquinolones (3rd Gen)</w:t>
            </w:r>
          </w:p>
        </w:tc>
        <w:tc>
          <w:tcPr>
            <w:tcW w:w="1949" w:type="dxa"/>
            <w:hideMark/>
          </w:tcPr>
          <w:p w14:paraId="6ACAC4DC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Levofloxacin</w:t>
            </w:r>
          </w:p>
        </w:tc>
        <w:tc>
          <w:tcPr>
            <w:tcW w:w="1577" w:type="dxa"/>
            <w:hideMark/>
          </w:tcPr>
          <w:p w14:paraId="7FEF2561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LEV</w:t>
            </w:r>
          </w:p>
        </w:tc>
        <w:tc>
          <w:tcPr>
            <w:tcW w:w="1243" w:type="dxa"/>
            <w:hideMark/>
          </w:tcPr>
          <w:p w14:paraId="1479E504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5 µg</w:t>
            </w:r>
          </w:p>
        </w:tc>
        <w:tc>
          <w:tcPr>
            <w:tcW w:w="705" w:type="dxa"/>
            <w:hideMark/>
          </w:tcPr>
          <w:p w14:paraId="235377C9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21</w:t>
            </w:r>
          </w:p>
        </w:tc>
        <w:tc>
          <w:tcPr>
            <w:tcW w:w="900" w:type="dxa"/>
            <w:hideMark/>
          </w:tcPr>
          <w:p w14:paraId="54272FBD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17–20</w:t>
            </w:r>
          </w:p>
        </w:tc>
        <w:tc>
          <w:tcPr>
            <w:tcW w:w="651" w:type="dxa"/>
            <w:hideMark/>
          </w:tcPr>
          <w:p w14:paraId="7E5F37B4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16</w:t>
            </w:r>
          </w:p>
        </w:tc>
      </w:tr>
      <w:tr w:rsidR="005513A7" w:rsidRPr="003F3068" w14:paraId="670DC4DF" w14:textId="77777777" w:rsidTr="00F527F2">
        <w:tc>
          <w:tcPr>
            <w:tcW w:w="0" w:type="auto"/>
            <w:hideMark/>
          </w:tcPr>
          <w:p w14:paraId="7463E3E4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Folate pathway inhibitors</w:t>
            </w:r>
          </w:p>
        </w:tc>
        <w:tc>
          <w:tcPr>
            <w:tcW w:w="1949" w:type="dxa"/>
            <w:hideMark/>
          </w:tcPr>
          <w:p w14:paraId="372AA3C1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Trimethoprim / Sulfamethoxazole</w:t>
            </w:r>
          </w:p>
        </w:tc>
        <w:tc>
          <w:tcPr>
            <w:tcW w:w="1577" w:type="dxa"/>
            <w:hideMark/>
          </w:tcPr>
          <w:p w14:paraId="79D8FBC0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SXT</w:t>
            </w:r>
          </w:p>
        </w:tc>
        <w:tc>
          <w:tcPr>
            <w:tcW w:w="1243" w:type="dxa"/>
            <w:hideMark/>
          </w:tcPr>
          <w:p w14:paraId="143EF062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1.25/23.75 µg</w:t>
            </w:r>
          </w:p>
        </w:tc>
        <w:tc>
          <w:tcPr>
            <w:tcW w:w="705" w:type="dxa"/>
            <w:hideMark/>
          </w:tcPr>
          <w:p w14:paraId="4D98AE5A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≥ 16</w:t>
            </w:r>
          </w:p>
        </w:tc>
        <w:tc>
          <w:tcPr>
            <w:tcW w:w="900" w:type="dxa"/>
            <w:hideMark/>
          </w:tcPr>
          <w:p w14:paraId="756588DC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11–15</w:t>
            </w:r>
          </w:p>
        </w:tc>
        <w:tc>
          <w:tcPr>
            <w:tcW w:w="651" w:type="dxa"/>
            <w:hideMark/>
          </w:tcPr>
          <w:p w14:paraId="53405BC7" w14:textId="77777777" w:rsidR="005513A7" w:rsidRPr="003F3068" w:rsidRDefault="005513A7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3F3068">
              <w:rPr>
                <w:rFonts w:eastAsia="Times New Roman" w:cs="Times New Roman"/>
                <w:szCs w:val="24"/>
              </w:rPr>
              <w:t>≤ 10</w:t>
            </w:r>
          </w:p>
        </w:tc>
      </w:tr>
    </w:tbl>
    <w:p w14:paraId="5F93B665" w14:textId="77777777" w:rsidR="005513A7" w:rsidRPr="00E44D79" w:rsidRDefault="005513A7" w:rsidP="005513A7">
      <w:pPr>
        <w:pStyle w:val="Caption"/>
        <w:spacing w:line="480" w:lineRule="auto"/>
        <w:rPr>
          <w:rStyle w:val="NormalWebChar"/>
          <w:szCs w:val="22"/>
        </w:rPr>
      </w:pPr>
      <w:r w:rsidRPr="00E44D79">
        <w:t>*</w:t>
      </w:r>
      <w:proofErr w:type="gramStart"/>
      <w:r w:rsidRPr="00E44D79">
        <w:t>gen</w:t>
      </w:r>
      <w:proofErr w:type="gramEnd"/>
      <w:r w:rsidRPr="00E44D79">
        <w:t xml:space="preserve">: Generation, *S: Sensitivity, *I: Intermediate, *R: Resistance </w:t>
      </w:r>
    </w:p>
    <w:p w14:paraId="2E68D074" w14:textId="77777777" w:rsidR="005513A7" w:rsidRDefault="005513A7" w:rsidP="002E7966">
      <w:pPr>
        <w:keepNext/>
        <w:spacing w:line="480" w:lineRule="auto"/>
        <w:jc w:val="both"/>
        <w:rPr>
          <w:rFonts w:cs="Times New Roman"/>
          <w:b/>
          <w:bCs/>
          <w:szCs w:val="24"/>
        </w:rPr>
      </w:pPr>
    </w:p>
    <w:p w14:paraId="1102305C" w14:textId="4B5247D4" w:rsidR="002E7966" w:rsidRPr="002E7966" w:rsidRDefault="002E7966" w:rsidP="002E7966">
      <w:pPr>
        <w:keepNext/>
        <w:spacing w:line="480" w:lineRule="auto"/>
        <w:jc w:val="both"/>
        <w:rPr>
          <w:rFonts w:cs="Times New Roman"/>
          <w:b/>
          <w:bCs/>
          <w:szCs w:val="24"/>
        </w:rPr>
      </w:pPr>
      <w:r w:rsidRPr="00A37CEA">
        <w:rPr>
          <w:rFonts w:cs="Times New Roman"/>
          <w:b/>
          <w:bCs/>
          <w:szCs w:val="24"/>
        </w:rPr>
        <w:t>Table S</w:t>
      </w:r>
      <w:r w:rsidR="005513A7">
        <w:rPr>
          <w:rFonts w:cs="Times New Roman"/>
          <w:b/>
          <w:bCs/>
          <w:szCs w:val="24"/>
        </w:rPr>
        <w:t>2</w:t>
      </w:r>
      <w:r w:rsidRPr="00A37CEA">
        <w:rPr>
          <w:rFonts w:cs="Times New Roman"/>
          <w:b/>
          <w:bCs/>
          <w:szCs w:val="24"/>
        </w:rPr>
        <w:t xml:space="preserve">: </w:t>
      </w:r>
      <w:r w:rsidRPr="00A37CEA">
        <w:rPr>
          <w:rFonts w:cs="Times New Roman"/>
          <w:b/>
          <w:bCs/>
          <w:szCs w:val="28"/>
        </w:rPr>
        <w:t>Distribution of MDR patterns, number of isolates, Multiple Antibiotic Resistance Index (MARI), and live bird market origins of E. coli isolates.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5019"/>
        <w:gridCol w:w="1534"/>
        <w:gridCol w:w="883"/>
      </w:tblGrid>
      <w:tr w:rsidR="002E7966" w:rsidRPr="00C248CC" w14:paraId="09FFF6F1" w14:textId="77777777" w:rsidTr="00F527F2">
        <w:tc>
          <w:tcPr>
            <w:tcW w:w="0" w:type="auto"/>
            <w:hideMark/>
          </w:tcPr>
          <w:p w14:paraId="50C66974" w14:textId="77777777" w:rsidR="002E7966" w:rsidRPr="00C248CC" w:rsidRDefault="002E7966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248CC">
              <w:rPr>
                <w:rFonts w:eastAsia="Times New Roman" w:cs="Times New Roman"/>
                <w:b/>
                <w:bCs/>
                <w:szCs w:val="24"/>
              </w:rPr>
              <w:t>Live Bird Market</w:t>
            </w:r>
          </w:p>
        </w:tc>
        <w:tc>
          <w:tcPr>
            <w:tcW w:w="0" w:type="auto"/>
            <w:hideMark/>
          </w:tcPr>
          <w:p w14:paraId="66C87223" w14:textId="77777777" w:rsidR="002E7966" w:rsidRPr="00C248CC" w:rsidRDefault="002E7966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248CC">
              <w:rPr>
                <w:rFonts w:eastAsia="Times New Roman" w:cs="Times New Roman"/>
                <w:b/>
                <w:bCs/>
                <w:szCs w:val="24"/>
              </w:rPr>
              <w:t>MDR Pattern</w:t>
            </w:r>
          </w:p>
        </w:tc>
        <w:tc>
          <w:tcPr>
            <w:tcW w:w="0" w:type="auto"/>
            <w:hideMark/>
          </w:tcPr>
          <w:p w14:paraId="32CF913E" w14:textId="77777777" w:rsidR="002E7966" w:rsidRPr="00C248CC" w:rsidRDefault="002E7966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248CC">
              <w:rPr>
                <w:rFonts w:eastAsia="Times New Roman" w:cs="Times New Roman"/>
                <w:b/>
                <w:bCs/>
                <w:szCs w:val="24"/>
              </w:rPr>
              <w:t>No. of Isolates</w:t>
            </w:r>
          </w:p>
        </w:tc>
        <w:tc>
          <w:tcPr>
            <w:tcW w:w="0" w:type="auto"/>
            <w:hideMark/>
          </w:tcPr>
          <w:p w14:paraId="6003B9E9" w14:textId="77777777" w:rsidR="002E7966" w:rsidRPr="00C248CC" w:rsidRDefault="002E7966" w:rsidP="00F527F2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248CC">
              <w:rPr>
                <w:rFonts w:eastAsia="Times New Roman" w:cs="Times New Roman"/>
                <w:b/>
                <w:bCs/>
                <w:szCs w:val="24"/>
              </w:rPr>
              <w:t>MARI</w:t>
            </w:r>
          </w:p>
        </w:tc>
      </w:tr>
      <w:tr w:rsidR="002E7966" w:rsidRPr="00C248CC" w14:paraId="0B4019FC" w14:textId="77777777" w:rsidTr="00F527F2">
        <w:tc>
          <w:tcPr>
            <w:tcW w:w="0" w:type="auto"/>
            <w:vMerge w:val="restart"/>
            <w:hideMark/>
          </w:tcPr>
          <w:p w14:paraId="3BB1201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C248CC">
              <w:rPr>
                <w:rFonts w:eastAsia="Times New Roman" w:cs="Times New Roman"/>
                <w:szCs w:val="24"/>
              </w:rPr>
              <w:t>Pahartali</w:t>
            </w:r>
            <w:proofErr w:type="spellEnd"/>
          </w:p>
        </w:tc>
        <w:tc>
          <w:tcPr>
            <w:tcW w:w="0" w:type="auto"/>
            <w:hideMark/>
          </w:tcPr>
          <w:p w14:paraId="1529EAF4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TE-CIP</w:t>
            </w:r>
          </w:p>
        </w:tc>
        <w:tc>
          <w:tcPr>
            <w:tcW w:w="0" w:type="auto"/>
            <w:hideMark/>
          </w:tcPr>
          <w:p w14:paraId="0427542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3D3466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0.18</w:t>
            </w:r>
          </w:p>
        </w:tc>
      </w:tr>
      <w:tr w:rsidR="002E7966" w:rsidRPr="00C248CC" w14:paraId="013F807E" w14:textId="77777777" w:rsidTr="00F527F2">
        <w:tc>
          <w:tcPr>
            <w:tcW w:w="0" w:type="auto"/>
            <w:vMerge/>
            <w:hideMark/>
          </w:tcPr>
          <w:p w14:paraId="3531A01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4BD7F13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AMP-DOX-TE-GM-CIP-NOR-LEV-SXT</w:t>
            </w:r>
          </w:p>
        </w:tc>
        <w:tc>
          <w:tcPr>
            <w:tcW w:w="0" w:type="auto"/>
            <w:hideMark/>
          </w:tcPr>
          <w:p w14:paraId="364CC649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A5F9E0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3FF17E70" w14:textId="77777777" w:rsidTr="00F527F2">
        <w:tc>
          <w:tcPr>
            <w:tcW w:w="0" w:type="auto"/>
            <w:vMerge w:val="restart"/>
            <w:hideMark/>
          </w:tcPr>
          <w:p w14:paraId="7C31097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Colonel Hat</w:t>
            </w:r>
          </w:p>
        </w:tc>
        <w:tc>
          <w:tcPr>
            <w:tcW w:w="0" w:type="auto"/>
            <w:hideMark/>
          </w:tcPr>
          <w:p w14:paraId="0045BE3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AMP-TE-CIP-LEV</w:t>
            </w:r>
          </w:p>
        </w:tc>
        <w:tc>
          <w:tcPr>
            <w:tcW w:w="0" w:type="auto"/>
            <w:hideMark/>
          </w:tcPr>
          <w:p w14:paraId="0E9F96E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B6D01F9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0.36</w:t>
            </w:r>
          </w:p>
        </w:tc>
      </w:tr>
      <w:tr w:rsidR="002E7966" w:rsidRPr="00C248CC" w14:paraId="4165D485" w14:textId="77777777" w:rsidTr="00F527F2">
        <w:tc>
          <w:tcPr>
            <w:tcW w:w="0" w:type="auto"/>
            <w:vMerge/>
            <w:hideMark/>
          </w:tcPr>
          <w:p w14:paraId="2E8C579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90931F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AMP-FOX-DOX-TE-CIP-NOR-LEV-SXT</w:t>
            </w:r>
          </w:p>
        </w:tc>
        <w:tc>
          <w:tcPr>
            <w:tcW w:w="0" w:type="auto"/>
            <w:hideMark/>
          </w:tcPr>
          <w:p w14:paraId="50CDCE94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27AF06A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61D1052E" w14:textId="77777777" w:rsidTr="00F527F2">
        <w:tc>
          <w:tcPr>
            <w:tcW w:w="0" w:type="auto"/>
            <w:vMerge/>
            <w:hideMark/>
          </w:tcPr>
          <w:p w14:paraId="7A96CD2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648618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AMP-DOX-TE-GM-CIP-NOR-LEV-SXT</w:t>
            </w:r>
          </w:p>
        </w:tc>
        <w:tc>
          <w:tcPr>
            <w:tcW w:w="0" w:type="auto"/>
            <w:hideMark/>
          </w:tcPr>
          <w:p w14:paraId="21D2394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8ED473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7E60142A" w14:textId="77777777" w:rsidTr="00F527F2">
        <w:tc>
          <w:tcPr>
            <w:tcW w:w="0" w:type="auto"/>
            <w:vMerge/>
            <w:hideMark/>
          </w:tcPr>
          <w:p w14:paraId="2AC0A28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B27252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AMP-FOX-DOX-TE-GM-CIP-NOR-LEV-SXT</w:t>
            </w:r>
          </w:p>
        </w:tc>
        <w:tc>
          <w:tcPr>
            <w:tcW w:w="0" w:type="auto"/>
            <w:hideMark/>
          </w:tcPr>
          <w:p w14:paraId="67CA01E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BB874A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0.81</w:t>
            </w:r>
          </w:p>
        </w:tc>
      </w:tr>
      <w:tr w:rsidR="002E7966" w:rsidRPr="00C248CC" w14:paraId="10B48902" w14:textId="77777777" w:rsidTr="00F527F2">
        <w:tc>
          <w:tcPr>
            <w:tcW w:w="0" w:type="auto"/>
            <w:vMerge w:val="restart"/>
            <w:hideMark/>
          </w:tcPr>
          <w:p w14:paraId="46F285D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C248CC">
              <w:rPr>
                <w:rFonts w:eastAsia="Times New Roman" w:cs="Times New Roman"/>
                <w:szCs w:val="24"/>
              </w:rPr>
              <w:t>Bahaddarhat</w:t>
            </w:r>
            <w:proofErr w:type="spellEnd"/>
          </w:p>
        </w:tc>
        <w:tc>
          <w:tcPr>
            <w:tcW w:w="0" w:type="auto"/>
            <w:hideMark/>
          </w:tcPr>
          <w:p w14:paraId="6106842A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AMP-FOX-DOX-TE-SXT</w:t>
            </w:r>
          </w:p>
        </w:tc>
        <w:tc>
          <w:tcPr>
            <w:tcW w:w="0" w:type="auto"/>
            <w:hideMark/>
          </w:tcPr>
          <w:p w14:paraId="52093C63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75E88D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0.45</w:t>
            </w:r>
          </w:p>
        </w:tc>
      </w:tr>
      <w:tr w:rsidR="002E7966" w:rsidRPr="00C248CC" w14:paraId="6754CDE3" w14:textId="77777777" w:rsidTr="00F527F2">
        <w:tc>
          <w:tcPr>
            <w:tcW w:w="0" w:type="auto"/>
            <w:vMerge/>
            <w:hideMark/>
          </w:tcPr>
          <w:p w14:paraId="78F8D09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C6719E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AMP-FOX-CTX-CAZ-DOX-TE-CIP-NOR-LEV-SXT</w:t>
            </w:r>
          </w:p>
        </w:tc>
        <w:tc>
          <w:tcPr>
            <w:tcW w:w="0" w:type="auto"/>
            <w:hideMark/>
          </w:tcPr>
          <w:p w14:paraId="1A59A63C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C4B1440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0.90</w:t>
            </w:r>
          </w:p>
        </w:tc>
      </w:tr>
      <w:tr w:rsidR="002E7966" w:rsidRPr="00C248CC" w14:paraId="51E0B011" w14:textId="77777777" w:rsidTr="00F527F2">
        <w:tc>
          <w:tcPr>
            <w:tcW w:w="0" w:type="auto"/>
            <w:vMerge/>
            <w:hideMark/>
          </w:tcPr>
          <w:p w14:paraId="3B6B7A5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542607C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AMP-FOX-CTX-CAZ-DOX-TE-GM-CIP-NOR-LEV</w:t>
            </w:r>
          </w:p>
        </w:tc>
        <w:tc>
          <w:tcPr>
            <w:tcW w:w="0" w:type="auto"/>
            <w:hideMark/>
          </w:tcPr>
          <w:p w14:paraId="7E7C43F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0477F06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0.90</w:t>
            </w:r>
          </w:p>
        </w:tc>
      </w:tr>
      <w:tr w:rsidR="002E7966" w:rsidRPr="00C248CC" w14:paraId="0D463B30" w14:textId="77777777" w:rsidTr="00F527F2">
        <w:tc>
          <w:tcPr>
            <w:tcW w:w="0" w:type="auto"/>
            <w:vMerge/>
          </w:tcPr>
          <w:p w14:paraId="33CF606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5B34589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2D5AFC">
              <w:rPr>
                <w:rFonts w:cs="Times New Roman"/>
                <w:szCs w:val="24"/>
              </w:rPr>
              <w:t>AMP-FOX-CTX-CAZ-DO</w:t>
            </w:r>
            <w:r>
              <w:rPr>
                <w:rFonts w:cs="Times New Roman"/>
                <w:szCs w:val="24"/>
              </w:rPr>
              <w:t>X</w:t>
            </w:r>
            <w:r w:rsidRPr="002D5AFC">
              <w:rPr>
                <w:rFonts w:cs="Times New Roman"/>
                <w:szCs w:val="24"/>
              </w:rPr>
              <w:t>-TE-CIP-NOR-LEV-SXT</w:t>
            </w:r>
          </w:p>
        </w:tc>
        <w:tc>
          <w:tcPr>
            <w:tcW w:w="0" w:type="auto"/>
          </w:tcPr>
          <w:p w14:paraId="397F6FF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</w:tcPr>
          <w:p w14:paraId="68F800D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0.90</w:t>
            </w:r>
          </w:p>
        </w:tc>
      </w:tr>
      <w:tr w:rsidR="002E7966" w:rsidRPr="00C248CC" w14:paraId="6C9E13E4" w14:textId="77777777" w:rsidTr="00F527F2">
        <w:tc>
          <w:tcPr>
            <w:tcW w:w="0" w:type="auto"/>
            <w:vMerge w:val="restart"/>
            <w:hideMark/>
          </w:tcPr>
          <w:p w14:paraId="5A59618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C248CC">
              <w:rPr>
                <w:rFonts w:eastAsia="Times New Roman" w:cs="Times New Roman"/>
                <w:szCs w:val="24"/>
              </w:rPr>
              <w:t>Reazuddin</w:t>
            </w:r>
            <w:proofErr w:type="spellEnd"/>
            <w:r w:rsidRPr="00C248CC">
              <w:rPr>
                <w:rFonts w:eastAsia="Times New Roman" w:cs="Times New Roman"/>
                <w:szCs w:val="24"/>
              </w:rPr>
              <w:t xml:space="preserve"> Bazar</w:t>
            </w:r>
          </w:p>
        </w:tc>
        <w:tc>
          <w:tcPr>
            <w:tcW w:w="0" w:type="auto"/>
            <w:hideMark/>
          </w:tcPr>
          <w:p w14:paraId="32003225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AMP-TE-CIP-SXT</w:t>
            </w:r>
          </w:p>
        </w:tc>
        <w:tc>
          <w:tcPr>
            <w:tcW w:w="0" w:type="auto"/>
            <w:hideMark/>
          </w:tcPr>
          <w:p w14:paraId="4C9079B3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D99B413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0.36</w:t>
            </w:r>
          </w:p>
        </w:tc>
      </w:tr>
      <w:tr w:rsidR="002E7966" w:rsidRPr="00C248CC" w14:paraId="78609C75" w14:textId="77777777" w:rsidTr="00F527F2">
        <w:tc>
          <w:tcPr>
            <w:tcW w:w="0" w:type="auto"/>
            <w:vMerge/>
            <w:hideMark/>
          </w:tcPr>
          <w:p w14:paraId="076E0D9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40CF636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AMP-DOX-TE-GM-CIP-NOR-LEV-SXT</w:t>
            </w:r>
          </w:p>
        </w:tc>
        <w:tc>
          <w:tcPr>
            <w:tcW w:w="0" w:type="auto"/>
            <w:hideMark/>
          </w:tcPr>
          <w:p w14:paraId="204E359C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36B59CA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7D8E12CF" w14:textId="77777777" w:rsidTr="00F527F2">
        <w:tc>
          <w:tcPr>
            <w:tcW w:w="0" w:type="auto"/>
            <w:vMerge/>
            <w:hideMark/>
          </w:tcPr>
          <w:p w14:paraId="2D5F1AE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49901F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AMP-FOX-DOX-TE-CIP-NOR-LEV-SXT</w:t>
            </w:r>
          </w:p>
        </w:tc>
        <w:tc>
          <w:tcPr>
            <w:tcW w:w="0" w:type="auto"/>
            <w:hideMark/>
          </w:tcPr>
          <w:p w14:paraId="6CEE257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7204F4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26D5EE4B" w14:textId="77777777" w:rsidTr="00F527F2">
        <w:tc>
          <w:tcPr>
            <w:tcW w:w="0" w:type="auto"/>
            <w:vMerge w:val="restart"/>
            <w:hideMark/>
          </w:tcPr>
          <w:p w14:paraId="4E747BF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Oxygen</w:t>
            </w:r>
          </w:p>
        </w:tc>
        <w:tc>
          <w:tcPr>
            <w:tcW w:w="0" w:type="auto"/>
            <w:hideMark/>
          </w:tcPr>
          <w:p w14:paraId="65C5B595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AMP-FOX-CTX-CAZ-DOX-TE-SXT</w:t>
            </w:r>
          </w:p>
        </w:tc>
        <w:tc>
          <w:tcPr>
            <w:tcW w:w="0" w:type="auto"/>
            <w:hideMark/>
          </w:tcPr>
          <w:p w14:paraId="6CD40E10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E2C5C19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0.56</w:t>
            </w:r>
          </w:p>
        </w:tc>
      </w:tr>
      <w:tr w:rsidR="002E7966" w:rsidRPr="00C248CC" w14:paraId="47274FA2" w14:textId="77777777" w:rsidTr="00F527F2">
        <w:tc>
          <w:tcPr>
            <w:tcW w:w="0" w:type="auto"/>
            <w:vMerge/>
            <w:hideMark/>
          </w:tcPr>
          <w:p w14:paraId="78238A76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683BB3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AMP-FOX-CTX-CAZ-TE-GM-CIP-LEV</w:t>
            </w:r>
          </w:p>
        </w:tc>
        <w:tc>
          <w:tcPr>
            <w:tcW w:w="0" w:type="auto"/>
            <w:hideMark/>
          </w:tcPr>
          <w:p w14:paraId="06B1170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2CE15C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0.63</w:t>
            </w:r>
          </w:p>
        </w:tc>
      </w:tr>
      <w:tr w:rsidR="002E7966" w:rsidRPr="00C248CC" w14:paraId="1DB400B4" w14:textId="77777777" w:rsidTr="00F527F2">
        <w:tc>
          <w:tcPr>
            <w:tcW w:w="0" w:type="auto"/>
            <w:vMerge/>
            <w:hideMark/>
          </w:tcPr>
          <w:p w14:paraId="4A26E4D9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126415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AMP-DOX-TE-GM-CIP-NOR-LEV-SXT</w:t>
            </w:r>
          </w:p>
        </w:tc>
        <w:tc>
          <w:tcPr>
            <w:tcW w:w="0" w:type="auto"/>
            <w:hideMark/>
          </w:tcPr>
          <w:p w14:paraId="43A628C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878647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4ABDB2F8" w14:textId="77777777" w:rsidTr="00F527F2">
        <w:tc>
          <w:tcPr>
            <w:tcW w:w="0" w:type="auto"/>
            <w:vMerge w:val="restart"/>
            <w:hideMark/>
          </w:tcPr>
          <w:p w14:paraId="1D8BC57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C248CC">
              <w:rPr>
                <w:rFonts w:eastAsia="Times New Roman" w:cs="Times New Roman"/>
                <w:szCs w:val="24"/>
              </w:rPr>
              <w:t>Chawkbazar</w:t>
            </w:r>
            <w:proofErr w:type="spellEnd"/>
          </w:p>
        </w:tc>
        <w:tc>
          <w:tcPr>
            <w:tcW w:w="0" w:type="auto"/>
            <w:hideMark/>
          </w:tcPr>
          <w:p w14:paraId="162267E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AMP-FOX-DOX-TE-GM-SXT</w:t>
            </w:r>
          </w:p>
        </w:tc>
        <w:tc>
          <w:tcPr>
            <w:tcW w:w="0" w:type="auto"/>
            <w:hideMark/>
          </w:tcPr>
          <w:p w14:paraId="40F8D95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5B5CE7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0.54</w:t>
            </w:r>
          </w:p>
        </w:tc>
      </w:tr>
      <w:tr w:rsidR="002E7966" w:rsidRPr="00C248CC" w14:paraId="7D9D8901" w14:textId="77777777" w:rsidTr="00F527F2">
        <w:tc>
          <w:tcPr>
            <w:tcW w:w="0" w:type="auto"/>
            <w:vMerge/>
            <w:hideMark/>
          </w:tcPr>
          <w:p w14:paraId="6A87BFD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4D77C96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AMP-DOX-TE-CIP-NOR-LEV-SXT</w:t>
            </w:r>
          </w:p>
        </w:tc>
        <w:tc>
          <w:tcPr>
            <w:tcW w:w="0" w:type="auto"/>
            <w:hideMark/>
          </w:tcPr>
          <w:p w14:paraId="09D36C66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EF239BC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0.63</w:t>
            </w:r>
          </w:p>
        </w:tc>
      </w:tr>
      <w:tr w:rsidR="002E7966" w:rsidRPr="00C248CC" w14:paraId="62A96033" w14:textId="77777777" w:rsidTr="00F527F2">
        <w:tc>
          <w:tcPr>
            <w:tcW w:w="0" w:type="auto"/>
            <w:vMerge/>
            <w:hideMark/>
          </w:tcPr>
          <w:p w14:paraId="1F9DF5E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9EF9994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AMP-FOX-CTX-CAZ-DOX-TE-CIP-NOR-LEV-SXT</w:t>
            </w:r>
          </w:p>
        </w:tc>
        <w:tc>
          <w:tcPr>
            <w:tcW w:w="0" w:type="auto"/>
            <w:hideMark/>
          </w:tcPr>
          <w:p w14:paraId="47E3838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E38C34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0.90</w:t>
            </w:r>
          </w:p>
        </w:tc>
      </w:tr>
      <w:tr w:rsidR="002E7966" w:rsidRPr="00C248CC" w14:paraId="712E409E" w14:textId="77777777" w:rsidTr="00F527F2">
        <w:tc>
          <w:tcPr>
            <w:tcW w:w="0" w:type="auto"/>
            <w:vMerge/>
            <w:hideMark/>
          </w:tcPr>
          <w:p w14:paraId="16DC6EDA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2195715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AMP-FOX-CTX-CAZ-DOX-TE-GM-CIP-NOR-LEV</w:t>
            </w:r>
          </w:p>
        </w:tc>
        <w:tc>
          <w:tcPr>
            <w:tcW w:w="0" w:type="auto"/>
            <w:hideMark/>
          </w:tcPr>
          <w:p w14:paraId="7D2B0A9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743700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0.90</w:t>
            </w:r>
          </w:p>
        </w:tc>
      </w:tr>
      <w:tr w:rsidR="002E7966" w:rsidRPr="00C248CC" w14:paraId="4D1B18BC" w14:textId="77777777" w:rsidTr="00F527F2">
        <w:tc>
          <w:tcPr>
            <w:tcW w:w="0" w:type="auto"/>
            <w:vMerge w:val="restart"/>
            <w:hideMark/>
          </w:tcPr>
          <w:p w14:paraId="1671D986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C248CC">
              <w:rPr>
                <w:rFonts w:eastAsia="Times New Roman" w:cs="Times New Roman"/>
                <w:szCs w:val="24"/>
              </w:rPr>
              <w:t>Jhautala</w:t>
            </w:r>
            <w:proofErr w:type="spellEnd"/>
          </w:p>
        </w:tc>
        <w:tc>
          <w:tcPr>
            <w:tcW w:w="0" w:type="auto"/>
            <w:hideMark/>
          </w:tcPr>
          <w:p w14:paraId="28B2A15A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AMP-DOX-TE-GM-CIP-NOR-LEV</w:t>
            </w:r>
          </w:p>
        </w:tc>
        <w:tc>
          <w:tcPr>
            <w:tcW w:w="0" w:type="auto"/>
            <w:hideMark/>
          </w:tcPr>
          <w:p w14:paraId="67E4D1F5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057A32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0.63</w:t>
            </w:r>
          </w:p>
        </w:tc>
      </w:tr>
      <w:tr w:rsidR="002E7966" w:rsidRPr="00C248CC" w14:paraId="0A339F43" w14:textId="77777777" w:rsidTr="00F527F2">
        <w:tc>
          <w:tcPr>
            <w:tcW w:w="0" w:type="auto"/>
            <w:vMerge/>
            <w:hideMark/>
          </w:tcPr>
          <w:p w14:paraId="2390D105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5AF75C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AMP-FOX-DOX-TE-GM-CIP-NOR-LEV</w:t>
            </w:r>
          </w:p>
        </w:tc>
        <w:tc>
          <w:tcPr>
            <w:tcW w:w="0" w:type="auto"/>
            <w:hideMark/>
          </w:tcPr>
          <w:p w14:paraId="3746E9C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6843D6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4814A576" w14:textId="77777777" w:rsidTr="00F527F2">
        <w:tc>
          <w:tcPr>
            <w:tcW w:w="0" w:type="auto"/>
            <w:vMerge/>
            <w:hideMark/>
          </w:tcPr>
          <w:p w14:paraId="79718BD4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40E309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AMP-DOX-TE-GM-CIP-NOR-LEV</w:t>
            </w:r>
          </w:p>
        </w:tc>
        <w:tc>
          <w:tcPr>
            <w:tcW w:w="0" w:type="auto"/>
            <w:hideMark/>
          </w:tcPr>
          <w:p w14:paraId="7F6ACBF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F1FF55C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0.63</w:t>
            </w:r>
          </w:p>
        </w:tc>
      </w:tr>
      <w:tr w:rsidR="002E7966" w:rsidRPr="00C248CC" w14:paraId="70076988" w14:textId="77777777" w:rsidTr="00F527F2">
        <w:tc>
          <w:tcPr>
            <w:tcW w:w="0" w:type="auto"/>
            <w:vMerge/>
            <w:hideMark/>
          </w:tcPr>
          <w:p w14:paraId="5B1C6DF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CB29ABA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AMP-FOX-DOX-TE-CIP-NOR-LEV-SXT</w:t>
            </w:r>
          </w:p>
        </w:tc>
        <w:tc>
          <w:tcPr>
            <w:tcW w:w="0" w:type="auto"/>
            <w:hideMark/>
          </w:tcPr>
          <w:p w14:paraId="1AE6CC2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332D44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685023B1" w14:textId="77777777" w:rsidTr="00F527F2">
        <w:tc>
          <w:tcPr>
            <w:tcW w:w="0" w:type="auto"/>
            <w:vMerge w:val="restart"/>
            <w:hideMark/>
          </w:tcPr>
          <w:p w14:paraId="6768854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Sarai Para</w:t>
            </w:r>
          </w:p>
        </w:tc>
        <w:tc>
          <w:tcPr>
            <w:tcW w:w="0" w:type="auto"/>
            <w:hideMark/>
          </w:tcPr>
          <w:p w14:paraId="2FCD22B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AMP-FOX-DOX-TE-CIP-NOR-LEV-SXT</w:t>
            </w:r>
          </w:p>
        </w:tc>
        <w:tc>
          <w:tcPr>
            <w:tcW w:w="0" w:type="auto"/>
            <w:hideMark/>
          </w:tcPr>
          <w:p w14:paraId="6BBAD73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9DE82E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17B859DD" w14:textId="77777777" w:rsidTr="00F527F2">
        <w:tc>
          <w:tcPr>
            <w:tcW w:w="0" w:type="auto"/>
            <w:vMerge/>
            <w:hideMark/>
          </w:tcPr>
          <w:p w14:paraId="6576266C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0ACF75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AMP-FOX-CTX-CAZ-DOX-TE-GM-CIP-NOR-LEV-SXT</w:t>
            </w:r>
          </w:p>
        </w:tc>
        <w:tc>
          <w:tcPr>
            <w:tcW w:w="0" w:type="auto"/>
            <w:hideMark/>
          </w:tcPr>
          <w:p w14:paraId="069AADD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70BB8AA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1.00</w:t>
            </w:r>
          </w:p>
        </w:tc>
      </w:tr>
      <w:tr w:rsidR="002E7966" w:rsidRPr="00C248CC" w14:paraId="54B5C6DE" w14:textId="77777777" w:rsidTr="00F527F2">
        <w:tc>
          <w:tcPr>
            <w:tcW w:w="0" w:type="auto"/>
            <w:vMerge/>
            <w:hideMark/>
          </w:tcPr>
          <w:p w14:paraId="165C308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9BD87B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AMP-DOX-TE-GM-CIP-NOR-LEV-SXT</w:t>
            </w:r>
          </w:p>
        </w:tc>
        <w:tc>
          <w:tcPr>
            <w:tcW w:w="0" w:type="auto"/>
            <w:hideMark/>
          </w:tcPr>
          <w:p w14:paraId="270BB8C4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7BC0FC6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2D5FDFB2" w14:textId="77777777" w:rsidTr="00F527F2">
        <w:tc>
          <w:tcPr>
            <w:tcW w:w="0" w:type="auto"/>
            <w:vMerge w:val="restart"/>
            <w:hideMark/>
          </w:tcPr>
          <w:p w14:paraId="5C9B055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C248CC">
              <w:rPr>
                <w:rFonts w:eastAsia="Times New Roman" w:cs="Times New Roman"/>
                <w:szCs w:val="24"/>
              </w:rPr>
              <w:t>Agrabad</w:t>
            </w:r>
            <w:proofErr w:type="spellEnd"/>
          </w:p>
        </w:tc>
        <w:tc>
          <w:tcPr>
            <w:tcW w:w="0" w:type="auto"/>
            <w:hideMark/>
          </w:tcPr>
          <w:p w14:paraId="4229D55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AMP-DOX-TE-GM-CIP-NOR-LEV-SXT</w:t>
            </w:r>
          </w:p>
        </w:tc>
        <w:tc>
          <w:tcPr>
            <w:tcW w:w="0" w:type="auto"/>
            <w:hideMark/>
          </w:tcPr>
          <w:p w14:paraId="59EB586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4AB5EC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62CBC48C" w14:textId="77777777" w:rsidTr="00F527F2">
        <w:tc>
          <w:tcPr>
            <w:tcW w:w="0" w:type="auto"/>
            <w:vMerge/>
            <w:hideMark/>
          </w:tcPr>
          <w:p w14:paraId="52157C9D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D5A81C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AMP-FOX-DOX-TE-GM-CIP-NOR-LEV-SXT</w:t>
            </w:r>
          </w:p>
        </w:tc>
        <w:tc>
          <w:tcPr>
            <w:tcW w:w="0" w:type="auto"/>
            <w:hideMark/>
          </w:tcPr>
          <w:p w14:paraId="34319AF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E12D03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0.81</w:t>
            </w:r>
          </w:p>
        </w:tc>
      </w:tr>
      <w:tr w:rsidR="002E7966" w:rsidRPr="00C248CC" w14:paraId="3D858643" w14:textId="77777777" w:rsidTr="00F527F2">
        <w:tc>
          <w:tcPr>
            <w:tcW w:w="0" w:type="auto"/>
            <w:vMerge/>
            <w:hideMark/>
          </w:tcPr>
          <w:p w14:paraId="3E400999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9BD0B26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AMP-FOX-CTX-DOX-TE-CIP-NOR-LEV</w:t>
            </w:r>
          </w:p>
        </w:tc>
        <w:tc>
          <w:tcPr>
            <w:tcW w:w="0" w:type="auto"/>
            <w:hideMark/>
          </w:tcPr>
          <w:p w14:paraId="24617F1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B560187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0.72</w:t>
            </w:r>
          </w:p>
        </w:tc>
      </w:tr>
      <w:tr w:rsidR="002E7966" w:rsidRPr="00C248CC" w14:paraId="07CB71C9" w14:textId="77777777" w:rsidTr="00F527F2">
        <w:tc>
          <w:tcPr>
            <w:tcW w:w="0" w:type="auto"/>
            <w:vMerge/>
            <w:hideMark/>
          </w:tcPr>
          <w:p w14:paraId="467C9999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51D5395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AMP-CTX-CAZ-DOX-TE-GM-CIP-NOR-LEV-SXT</w:t>
            </w:r>
          </w:p>
        </w:tc>
        <w:tc>
          <w:tcPr>
            <w:tcW w:w="0" w:type="auto"/>
            <w:hideMark/>
          </w:tcPr>
          <w:p w14:paraId="411C3C2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33D0A9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0.90</w:t>
            </w:r>
          </w:p>
        </w:tc>
      </w:tr>
      <w:tr w:rsidR="002E7966" w:rsidRPr="00C248CC" w14:paraId="237BA6E3" w14:textId="77777777" w:rsidTr="00F527F2">
        <w:tc>
          <w:tcPr>
            <w:tcW w:w="0" w:type="auto"/>
            <w:vMerge w:val="restart"/>
            <w:hideMark/>
          </w:tcPr>
          <w:p w14:paraId="22D8F17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2no. Gate</w:t>
            </w:r>
          </w:p>
        </w:tc>
        <w:tc>
          <w:tcPr>
            <w:tcW w:w="0" w:type="auto"/>
            <w:hideMark/>
          </w:tcPr>
          <w:p w14:paraId="77B4BDC4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AMP-FOX-CAZ-DOX-TE-CIP-NOR-LEV-SXT</w:t>
            </w:r>
          </w:p>
        </w:tc>
        <w:tc>
          <w:tcPr>
            <w:tcW w:w="0" w:type="auto"/>
            <w:hideMark/>
          </w:tcPr>
          <w:p w14:paraId="6BE1105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43D01D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0.81</w:t>
            </w:r>
          </w:p>
        </w:tc>
      </w:tr>
      <w:tr w:rsidR="002E7966" w:rsidRPr="00C248CC" w14:paraId="58FC5296" w14:textId="77777777" w:rsidTr="00F527F2">
        <w:tc>
          <w:tcPr>
            <w:tcW w:w="0" w:type="auto"/>
            <w:vMerge/>
            <w:hideMark/>
          </w:tcPr>
          <w:p w14:paraId="59BE24E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6E99EACF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AMP-FOX-DOX-TE-GM-CIP-NOR-LEV-SXT</w:t>
            </w:r>
          </w:p>
        </w:tc>
        <w:tc>
          <w:tcPr>
            <w:tcW w:w="0" w:type="auto"/>
            <w:hideMark/>
          </w:tcPr>
          <w:p w14:paraId="21D1F8F1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F480534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0.81</w:t>
            </w:r>
          </w:p>
        </w:tc>
      </w:tr>
      <w:tr w:rsidR="002E7966" w:rsidRPr="00C248CC" w14:paraId="024BB402" w14:textId="77777777" w:rsidTr="00F527F2">
        <w:tc>
          <w:tcPr>
            <w:tcW w:w="0" w:type="auto"/>
            <w:vMerge/>
            <w:hideMark/>
          </w:tcPr>
          <w:p w14:paraId="62F93542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0D7D0CFB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AMP-FOX-DOX-TE-GM-CIP-NOR-LEV-SXT</w:t>
            </w:r>
          </w:p>
        </w:tc>
        <w:tc>
          <w:tcPr>
            <w:tcW w:w="0" w:type="auto"/>
            <w:hideMark/>
          </w:tcPr>
          <w:p w14:paraId="1167B128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204194E" w14:textId="77777777" w:rsidR="002E7966" w:rsidRPr="00C248CC" w:rsidRDefault="002E7966" w:rsidP="00F527F2">
            <w:pPr>
              <w:spacing w:line="480" w:lineRule="auto"/>
              <w:rPr>
                <w:rFonts w:eastAsia="Times New Roman" w:cs="Times New Roman"/>
                <w:szCs w:val="24"/>
              </w:rPr>
            </w:pPr>
            <w:r w:rsidRPr="00C248CC">
              <w:rPr>
                <w:rFonts w:eastAsia="Times New Roman" w:cs="Times New Roman"/>
                <w:szCs w:val="24"/>
              </w:rPr>
              <w:t>0.81</w:t>
            </w:r>
          </w:p>
        </w:tc>
      </w:tr>
    </w:tbl>
    <w:p w14:paraId="28EE15C8" w14:textId="77777777" w:rsidR="002E7966" w:rsidRPr="002E7966" w:rsidRDefault="002E7966" w:rsidP="007435C5">
      <w:pPr>
        <w:spacing w:line="480" w:lineRule="auto"/>
        <w:jc w:val="both"/>
        <w:rPr>
          <w:bCs/>
        </w:rPr>
      </w:pPr>
    </w:p>
    <w:sectPr w:rsidR="002E7966" w:rsidRPr="002E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C5"/>
    <w:rsid w:val="000062FB"/>
    <w:rsid w:val="000916F0"/>
    <w:rsid w:val="000F6EDC"/>
    <w:rsid w:val="00194DBB"/>
    <w:rsid w:val="002E7966"/>
    <w:rsid w:val="00311D0D"/>
    <w:rsid w:val="0035199A"/>
    <w:rsid w:val="00352B01"/>
    <w:rsid w:val="003C62BA"/>
    <w:rsid w:val="004B487B"/>
    <w:rsid w:val="005513A7"/>
    <w:rsid w:val="0057371E"/>
    <w:rsid w:val="005B432A"/>
    <w:rsid w:val="006A19AF"/>
    <w:rsid w:val="00733D9C"/>
    <w:rsid w:val="007435C5"/>
    <w:rsid w:val="008365E2"/>
    <w:rsid w:val="008503E4"/>
    <w:rsid w:val="00862BBE"/>
    <w:rsid w:val="0086506D"/>
    <w:rsid w:val="0094702A"/>
    <w:rsid w:val="00A02B5B"/>
    <w:rsid w:val="00A570A0"/>
    <w:rsid w:val="00B717F6"/>
    <w:rsid w:val="00BA79B8"/>
    <w:rsid w:val="00BF30A9"/>
    <w:rsid w:val="00F15461"/>
    <w:rsid w:val="00FD227E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3796"/>
  <w15:chartTrackingRefBased/>
  <w15:docId w15:val="{2B1E6F8D-DC37-43C3-B08E-D05691D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C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DBB"/>
    <w:pPr>
      <w:keepNext/>
      <w:keepLines/>
      <w:spacing w:before="240" w:after="0" w:line="480" w:lineRule="auto"/>
      <w:jc w:val="center"/>
      <w:outlineLvl w:val="0"/>
    </w:pPr>
    <w:rPr>
      <w:rFonts w:eastAsiaTheme="majorEastAsia" w:cstheme="majorBidi"/>
      <w:b/>
      <w:sz w:val="28"/>
      <w:szCs w:val="40"/>
      <w:lang w:bidi="bn-B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DBB"/>
    <w:pPr>
      <w:keepNext/>
      <w:keepLines/>
      <w:spacing w:before="40" w:after="0" w:line="360" w:lineRule="auto"/>
      <w:jc w:val="both"/>
      <w:outlineLvl w:val="1"/>
    </w:pPr>
    <w:rPr>
      <w:rFonts w:eastAsiaTheme="majorEastAsia" w:cstheme="majorBidi"/>
      <w:b/>
      <w:szCs w:val="33"/>
      <w:lang w:bidi="bn-BD"/>
    </w:rPr>
  </w:style>
  <w:style w:type="paragraph" w:styleId="Heading3">
    <w:name w:val="heading 3"/>
    <w:basedOn w:val="Normal"/>
    <w:link w:val="Heading3Char"/>
    <w:uiPriority w:val="9"/>
    <w:qFormat/>
    <w:rsid w:val="00194DBB"/>
    <w:pPr>
      <w:spacing w:before="100" w:beforeAutospacing="1" w:after="100" w:afterAutospacing="1" w:line="240" w:lineRule="auto"/>
      <w:jc w:val="both"/>
      <w:outlineLvl w:val="2"/>
    </w:pPr>
    <w:rPr>
      <w:rFonts w:eastAsia="Times New Roman"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717F6"/>
    <w:pPr>
      <w:spacing w:after="200" w:line="240" w:lineRule="auto"/>
      <w:jc w:val="both"/>
    </w:pPr>
    <w:rPr>
      <w:rFonts w:eastAsia="Times New Roman" w:cs="Times New Roman"/>
      <w:b/>
      <w:i/>
      <w:iCs/>
      <w:lang w:bidi="bn-BD"/>
    </w:rPr>
  </w:style>
  <w:style w:type="character" w:customStyle="1" w:styleId="Heading1Char">
    <w:name w:val="Heading 1 Char"/>
    <w:basedOn w:val="DefaultParagraphFont"/>
    <w:link w:val="Heading1"/>
    <w:uiPriority w:val="9"/>
    <w:rsid w:val="00194DBB"/>
    <w:rPr>
      <w:rFonts w:ascii="Times New Roman" w:eastAsiaTheme="majorEastAsia" w:hAnsi="Times New Roman" w:cstheme="majorBidi"/>
      <w:b/>
      <w:sz w:val="28"/>
      <w:szCs w:val="40"/>
      <w:lang w:bidi="bn-BD"/>
    </w:rPr>
  </w:style>
  <w:style w:type="character" w:customStyle="1" w:styleId="Heading2Char">
    <w:name w:val="Heading 2 Char"/>
    <w:basedOn w:val="DefaultParagraphFont"/>
    <w:link w:val="Heading2"/>
    <w:uiPriority w:val="9"/>
    <w:rsid w:val="00194DBB"/>
    <w:rPr>
      <w:rFonts w:ascii="Times New Roman" w:eastAsiaTheme="majorEastAsia" w:hAnsi="Times New Roman" w:cstheme="majorBidi"/>
      <w:b/>
      <w:sz w:val="24"/>
      <w:szCs w:val="33"/>
      <w:lang w:bidi="bn-BD"/>
    </w:rPr>
  </w:style>
  <w:style w:type="character" w:customStyle="1" w:styleId="Heading3Char">
    <w:name w:val="Heading 3 Char"/>
    <w:basedOn w:val="DefaultParagraphFont"/>
    <w:link w:val="Heading3"/>
    <w:uiPriority w:val="9"/>
    <w:rsid w:val="00194DBB"/>
    <w:rPr>
      <w:rFonts w:ascii="Times New Roman" w:eastAsia="Times New Roman" w:hAnsi="Times New Roman" w:cs="Times New Roman"/>
      <w:b/>
      <w:bCs/>
      <w:sz w:val="24"/>
      <w:szCs w:val="27"/>
    </w:rPr>
  </w:style>
  <w:style w:type="character" w:styleId="Emphasis">
    <w:name w:val="Emphasis"/>
    <w:basedOn w:val="DefaultParagraphFont"/>
    <w:uiPriority w:val="20"/>
    <w:qFormat/>
    <w:rsid w:val="007435C5"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rsid w:val="007435C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7435C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 Abihan</dc:creator>
  <cp:keywords/>
  <dc:description/>
  <cp:lastModifiedBy>Mahid Abihan</cp:lastModifiedBy>
  <cp:revision>9</cp:revision>
  <dcterms:created xsi:type="dcterms:W3CDTF">2025-11-05T20:21:00Z</dcterms:created>
  <dcterms:modified xsi:type="dcterms:W3CDTF">2026-03-28T13:54:00Z</dcterms:modified>
</cp:coreProperties>
</file>