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070640" w14:textId="4FA3C4FD" w:rsidR="006D1297" w:rsidRPr="00293C37" w:rsidRDefault="006D1297" w:rsidP="006D1297">
      <w:pPr>
        <w:spacing w:line="360" w:lineRule="auto"/>
        <w:jc w:val="left"/>
        <w:rPr>
          <w:rFonts w:ascii="Times New Roman" w:hAnsi="Times New Roman" w:cs="Times New Roman"/>
        </w:rPr>
      </w:pPr>
      <w:r w:rsidRPr="00293C37">
        <w:rPr>
          <w:rFonts w:ascii="Times New Roman" w:hAnsi="Times New Roman" w:cs="Times New Roman"/>
          <w:b/>
        </w:rPr>
        <w:t>Supplementary information</w:t>
      </w:r>
    </w:p>
    <w:p w14:paraId="17879966" w14:textId="6D3FE84B" w:rsidR="006D1297" w:rsidRPr="00293C37" w:rsidRDefault="005462CF" w:rsidP="006D1297">
      <w:pPr>
        <w:spacing w:line="360" w:lineRule="auto"/>
        <w:jc w:val="left"/>
        <w:rPr>
          <w:rFonts w:ascii="Times New Roman" w:hAnsi="Times New Roman" w:cs="Times New Roman"/>
        </w:rPr>
      </w:pPr>
      <w:r>
        <w:rPr>
          <w:noProof/>
        </w:rPr>
        <w:drawing>
          <wp:inline distT="0" distB="0" distL="0" distR="0" wp14:anchorId="47BF7184" wp14:editId="278A1A4C">
            <wp:extent cx="5731510" cy="555371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1510" cy="5553710"/>
                    </a:xfrm>
                    <a:prstGeom prst="rect">
                      <a:avLst/>
                    </a:prstGeom>
                  </pic:spPr>
                </pic:pic>
              </a:graphicData>
            </a:graphic>
          </wp:inline>
        </w:drawing>
      </w:r>
      <w:r w:rsidR="00A900C8" w:rsidRPr="00293C37" w:rsidDel="00A900C8">
        <w:rPr>
          <w:rFonts w:ascii="Times New Roman" w:hAnsi="Times New Roman" w:cs="Times New Roman"/>
          <w:noProof/>
        </w:rPr>
        <w:t xml:space="preserve"> </w:t>
      </w:r>
    </w:p>
    <w:p w14:paraId="5806013E" w14:textId="5D1AFD3F" w:rsidR="006D1297" w:rsidRPr="00293C37" w:rsidRDefault="006D1297" w:rsidP="006D1297">
      <w:pPr>
        <w:spacing w:line="360" w:lineRule="auto"/>
        <w:jc w:val="left"/>
        <w:rPr>
          <w:rFonts w:ascii="Times New Roman" w:hAnsi="Times New Roman" w:cs="Times New Roman"/>
        </w:rPr>
      </w:pPr>
      <w:r w:rsidRPr="00293C37">
        <w:rPr>
          <w:rFonts w:ascii="Times New Roman" w:hAnsi="Times New Roman" w:cs="Times New Roman"/>
          <w:b/>
        </w:rPr>
        <w:t>Fig</w:t>
      </w:r>
      <w:r w:rsidRPr="00293C37">
        <w:rPr>
          <w:rFonts w:ascii="Times New Roman" w:hAnsi="Times New Roman" w:cs="Times New Roman"/>
          <w:b/>
          <w:bCs/>
        </w:rPr>
        <w:t>.</w:t>
      </w:r>
      <w:r w:rsidRPr="00293C37">
        <w:rPr>
          <w:rFonts w:ascii="Times New Roman" w:hAnsi="Times New Roman" w:cs="Times New Roman"/>
          <w:b/>
        </w:rPr>
        <w:t xml:space="preserve"> S1. Distributions of p-values </w:t>
      </w:r>
      <w:r w:rsidRPr="00293C37">
        <w:rPr>
          <w:rFonts w:ascii="Times New Roman" w:hAnsi="Times New Roman" w:cs="Times New Roman"/>
          <w:b/>
          <w:bCs/>
        </w:rPr>
        <w:t>(-</w:t>
      </w:r>
      <w:r w:rsidRPr="00293C37">
        <w:rPr>
          <w:rFonts w:ascii="Times New Roman" w:hAnsi="Times New Roman" w:cs="Times New Roman"/>
          <w:b/>
        </w:rPr>
        <w:t>log</w:t>
      </w:r>
      <w:r w:rsidRPr="00293C37">
        <w:rPr>
          <w:rFonts w:ascii="Times New Roman" w:hAnsi="Times New Roman" w:cs="Times New Roman"/>
          <w:b/>
          <w:vertAlign w:val="subscript"/>
        </w:rPr>
        <w:t xml:space="preserve">10 </w:t>
      </w:r>
      <w:r w:rsidRPr="00293C37">
        <w:rPr>
          <w:rFonts w:ascii="Times New Roman" w:hAnsi="Times New Roman" w:cs="Times New Roman"/>
          <w:b/>
          <w:i/>
        </w:rPr>
        <w:t>p</w:t>
      </w:r>
      <w:r w:rsidRPr="00293C37">
        <w:rPr>
          <w:rFonts w:ascii="Times New Roman" w:hAnsi="Times New Roman" w:cs="Times New Roman"/>
          <w:b/>
          <w:bCs/>
        </w:rPr>
        <w:t>).</w:t>
      </w:r>
      <w:r w:rsidRPr="00293C37">
        <w:rPr>
          <w:rFonts w:ascii="Times New Roman" w:hAnsi="Times New Roman" w:cs="Times New Roman"/>
        </w:rPr>
        <w:t xml:space="preserve"> </w:t>
      </w:r>
      <w:r w:rsidRPr="00DF36CE">
        <w:rPr>
          <w:rFonts w:ascii="Times New Roman" w:hAnsi="Times New Roman" w:cs="Times New Roman"/>
          <w:b/>
          <w:bCs/>
        </w:rPr>
        <w:t>(</w:t>
      </w:r>
      <w:r w:rsidR="007C49AF">
        <w:rPr>
          <w:rFonts w:ascii="Times New Roman" w:hAnsi="Times New Roman" w:cs="Times New Roman"/>
          <w:b/>
          <w:bCs/>
        </w:rPr>
        <w:t>a</w:t>
      </w:r>
      <w:r w:rsidRPr="00DF36CE">
        <w:rPr>
          <w:rFonts w:ascii="Times New Roman" w:hAnsi="Times New Roman" w:cs="Times New Roman"/>
          <w:b/>
          <w:bCs/>
        </w:rPr>
        <w:t>-</w:t>
      </w:r>
      <w:r w:rsidR="007C49AF">
        <w:rPr>
          <w:rFonts w:ascii="Times New Roman" w:hAnsi="Times New Roman" w:cs="Times New Roman"/>
          <w:b/>
          <w:bCs/>
        </w:rPr>
        <w:t>d</w:t>
      </w:r>
      <w:r w:rsidRPr="00DF36CE">
        <w:rPr>
          <w:rFonts w:ascii="Times New Roman" w:hAnsi="Times New Roman" w:cs="Times New Roman"/>
          <w:b/>
          <w:bCs/>
        </w:rPr>
        <w:t>)</w:t>
      </w:r>
      <w:r w:rsidRPr="00293C37">
        <w:rPr>
          <w:rFonts w:ascii="Times New Roman" w:hAnsi="Times New Roman" w:cs="Times New Roman"/>
        </w:rPr>
        <w:t xml:space="preserve"> </w:t>
      </w:r>
      <w:r w:rsidR="007C49AF">
        <w:rPr>
          <w:rFonts w:ascii="Times New Roman" w:hAnsi="Times New Roman" w:cs="Times New Roman"/>
        </w:rPr>
        <w:t>P</w:t>
      </w:r>
      <w:r w:rsidR="00731C34" w:rsidRPr="00293C37">
        <w:rPr>
          <w:rFonts w:ascii="Times New Roman" w:hAnsi="Times New Roman" w:cs="Times New Roman"/>
        </w:rPr>
        <w:t xml:space="preserve">-value </w:t>
      </w:r>
      <w:r w:rsidR="007C49AF">
        <w:rPr>
          <w:rFonts w:ascii="Times New Roman" w:hAnsi="Times New Roman" w:cs="Times New Roman"/>
        </w:rPr>
        <w:t>d</w:t>
      </w:r>
      <w:r w:rsidR="007C49AF" w:rsidRPr="00293C37">
        <w:rPr>
          <w:rFonts w:ascii="Times New Roman" w:hAnsi="Times New Roman" w:cs="Times New Roman"/>
        </w:rPr>
        <w:t xml:space="preserve">istributions </w:t>
      </w:r>
      <w:r w:rsidR="00731C34" w:rsidRPr="00293C37">
        <w:rPr>
          <w:rFonts w:ascii="Times New Roman" w:hAnsi="Times New Roman" w:cs="Times New Roman"/>
        </w:rPr>
        <w:t>(-log</w:t>
      </w:r>
      <w:r w:rsidR="00731C34" w:rsidRPr="00293C37">
        <w:rPr>
          <w:rFonts w:ascii="Times New Roman" w:hAnsi="Times New Roman" w:cs="Times New Roman"/>
          <w:vertAlign w:val="subscript"/>
        </w:rPr>
        <w:t xml:space="preserve">10 </w:t>
      </w:r>
      <w:r w:rsidR="00731C34" w:rsidRPr="00293C37">
        <w:rPr>
          <w:rFonts w:ascii="Times New Roman" w:hAnsi="Times New Roman" w:cs="Times New Roman"/>
          <w:i/>
        </w:rPr>
        <w:t>p</w:t>
      </w:r>
      <w:r w:rsidR="00731C34" w:rsidRPr="00293C37">
        <w:rPr>
          <w:rFonts w:ascii="Times New Roman" w:hAnsi="Times New Roman" w:cs="Times New Roman"/>
        </w:rPr>
        <w:t xml:space="preserve">) </w:t>
      </w:r>
      <w:r w:rsidR="008937DC" w:rsidRPr="00293C37">
        <w:rPr>
          <w:rFonts w:ascii="Times New Roman" w:hAnsi="Times New Roman" w:cs="Times New Roman"/>
        </w:rPr>
        <w:t xml:space="preserve">of apical/basal ratios </w:t>
      </w:r>
      <w:r w:rsidR="008937DC">
        <w:rPr>
          <w:rFonts w:ascii="Times New Roman" w:hAnsi="Times New Roman" w:cs="Times New Roman"/>
        </w:rPr>
        <w:t>obtained using</w:t>
      </w:r>
      <w:r w:rsidR="008937DC" w:rsidRPr="00293C37">
        <w:rPr>
          <w:rFonts w:ascii="Times New Roman" w:hAnsi="Times New Roman" w:cs="Times New Roman"/>
        </w:rPr>
        <w:t xml:space="preserve"> </w:t>
      </w:r>
      <w:r w:rsidRPr="00293C37">
        <w:rPr>
          <w:rFonts w:ascii="Times New Roman" w:hAnsi="Times New Roman" w:cs="Times New Roman"/>
        </w:rPr>
        <w:t xml:space="preserve">Welch’s t-test </w:t>
      </w:r>
      <w:r w:rsidR="008937DC">
        <w:rPr>
          <w:rFonts w:ascii="Times New Roman" w:hAnsi="Times New Roman" w:cs="Times New Roman"/>
        </w:rPr>
        <w:t>for</w:t>
      </w:r>
      <w:r w:rsidRPr="00293C37">
        <w:rPr>
          <w:rFonts w:ascii="Times New Roman" w:hAnsi="Times New Roman" w:cs="Times New Roman"/>
        </w:rPr>
        <w:t xml:space="preserve"> control and inhibited embryos at each </w:t>
      </w:r>
      <w:r w:rsidRPr="00293C37">
        <w:rPr>
          <w:rFonts w:ascii="Times New Roman" w:hAnsi="Times New Roman" w:cs="Times New Roman"/>
          <w:i/>
          <w:iCs/>
        </w:rPr>
        <w:t>θ</w:t>
      </w:r>
      <w:r w:rsidRPr="00293C37">
        <w:rPr>
          <w:rFonts w:ascii="Times New Roman" w:hAnsi="Times New Roman" w:cs="Times New Roman"/>
        </w:rPr>
        <w:t xml:space="preserve"> (0°~180°)</w:t>
      </w:r>
      <w:r w:rsidR="007C49AF">
        <w:rPr>
          <w:rFonts w:ascii="Times New Roman" w:hAnsi="Times New Roman" w:cs="Times New Roman"/>
        </w:rPr>
        <w:t>,</w:t>
      </w:r>
      <w:r w:rsidRPr="00293C37">
        <w:rPr>
          <w:rFonts w:ascii="Times New Roman" w:hAnsi="Times New Roman" w:cs="Times New Roman"/>
        </w:rPr>
        <w:t xml:space="preserve"> comparing fluorescence intensities of actinin-GFP at step 1 </w:t>
      </w:r>
      <w:r w:rsidRPr="00DF36CE">
        <w:rPr>
          <w:rFonts w:ascii="Times New Roman" w:hAnsi="Times New Roman" w:cs="Times New Roman"/>
          <w:b/>
          <w:bCs/>
        </w:rPr>
        <w:t>(</w:t>
      </w:r>
      <w:r w:rsidR="007C49AF">
        <w:rPr>
          <w:rFonts w:ascii="Times New Roman" w:hAnsi="Times New Roman" w:cs="Times New Roman"/>
          <w:b/>
          <w:bCs/>
        </w:rPr>
        <w:t>a</w:t>
      </w:r>
      <w:r w:rsidRPr="00DF36CE">
        <w:rPr>
          <w:rFonts w:ascii="Times New Roman" w:hAnsi="Times New Roman" w:cs="Times New Roman"/>
          <w:b/>
          <w:bCs/>
        </w:rPr>
        <w:t>)</w:t>
      </w:r>
      <w:r w:rsidRPr="00293C37">
        <w:rPr>
          <w:rFonts w:ascii="Times New Roman" w:hAnsi="Times New Roman" w:cs="Times New Roman"/>
        </w:rPr>
        <w:t xml:space="preserve"> and step 2 </w:t>
      </w:r>
      <w:r w:rsidRPr="00DF36CE">
        <w:rPr>
          <w:rFonts w:ascii="Times New Roman" w:hAnsi="Times New Roman" w:cs="Times New Roman"/>
          <w:b/>
          <w:bCs/>
        </w:rPr>
        <w:t>(</w:t>
      </w:r>
      <w:r w:rsidR="007C49AF">
        <w:rPr>
          <w:rFonts w:ascii="Times New Roman" w:hAnsi="Times New Roman" w:cs="Times New Roman"/>
          <w:b/>
          <w:bCs/>
        </w:rPr>
        <w:t>b</w:t>
      </w:r>
      <w:r w:rsidRPr="00DF36CE">
        <w:rPr>
          <w:rFonts w:ascii="Times New Roman" w:hAnsi="Times New Roman" w:cs="Times New Roman"/>
          <w:b/>
          <w:bCs/>
        </w:rPr>
        <w:t>)</w:t>
      </w:r>
      <w:r w:rsidRPr="00293C37">
        <w:rPr>
          <w:rFonts w:ascii="Times New Roman" w:hAnsi="Times New Roman" w:cs="Times New Roman"/>
        </w:rPr>
        <w:t xml:space="preserve">, pH indicator </w:t>
      </w:r>
      <w:r w:rsidRPr="00DF36CE">
        <w:rPr>
          <w:rFonts w:ascii="Times New Roman" w:hAnsi="Times New Roman" w:cs="Times New Roman"/>
          <w:b/>
          <w:bCs/>
        </w:rPr>
        <w:t>(</w:t>
      </w:r>
      <w:r w:rsidR="007C49AF">
        <w:rPr>
          <w:rFonts w:ascii="Times New Roman" w:hAnsi="Times New Roman" w:cs="Times New Roman"/>
          <w:b/>
          <w:bCs/>
        </w:rPr>
        <w:t>c</w:t>
      </w:r>
      <w:r w:rsidRPr="00DF36CE">
        <w:rPr>
          <w:rFonts w:ascii="Times New Roman" w:hAnsi="Times New Roman" w:cs="Times New Roman"/>
          <w:b/>
          <w:bCs/>
        </w:rPr>
        <w:t>)</w:t>
      </w:r>
      <w:r w:rsidRPr="00293C37">
        <w:rPr>
          <w:rFonts w:ascii="Times New Roman" w:hAnsi="Times New Roman" w:cs="Times New Roman"/>
        </w:rPr>
        <w:t xml:space="preserve">, and fibropellin-1-GFP </w:t>
      </w:r>
      <w:r w:rsidRPr="00DF36CE">
        <w:rPr>
          <w:rFonts w:ascii="Times New Roman" w:hAnsi="Times New Roman" w:cs="Times New Roman"/>
          <w:b/>
          <w:bCs/>
        </w:rPr>
        <w:t>(</w:t>
      </w:r>
      <w:r w:rsidR="007C49AF">
        <w:rPr>
          <w:rFonts w:ascii="Times New Roman" w:hAnsi="Times New Roman" w:cs="Times New Roman"/>
          <w:b/>
          <w:bCs/>
        </w:rPr>
        <w:t>d</w:t>
      </w:r>
      <w:r w:rsidRPr="00DF36CE">
        <w:rPr>
          <w:rFonts w:ascii="Times New Roman" w:hAnsi="Times New Roman" w:cs="Times New Roman"/>
          <w:b/>
          <w:bCs/>
        </w:rPr>
        <w:t>)</w:t>
      </w:r>
      <w:r w:rsidRPr="00293C37">
        <w:rPr>
          <w:rFonts w:ascii="Times New Roman" w:hAnsi="Times New Roman" w:cs="Times New Roman"/>
        </w:rPr>
        <w:t xml:space="preserve">. </w:t>
      </w:r>
      <w:r w:rsidRPr="00DF36CE">
        <w:rPr>
          <w:rFonts w:ascii="Times New Roman" w:hAnsi="Times New Roman" w:cs="Times New Roman"/>
          <w:b/>
          <w:bCs/>
        </w:rPr>
        <w:t>(</w:t>
      </w:r>
      <w:r w:rsidR="007C49AF">
        <w:rPr>
          <w:rFonts w:ascii="Times New Roman" w:hAnsi="Times New Roman" w:cs="Times New Roman"/>
          <w:b/>
          <w:bCs/>
        </w:rPr>
        <w:t>e</w:t>
      </w:r>
      <w:r w:rsidRPr="00DF36CE">
        <w:rPr>
          <w:rFonts w:ascii="Times New Roman" w:hAnsi="Times New Roman" w:cs="Times New Roman"/>
          <w:b/>
          <w:bCs/>
        </w:rPr>
        <w:t>-</w:t>
      </w:r>
      <w:r w:rsidR="007C49AF">
        <w:rPr>
          <w:rFonts w:ascii="Times New Roman" w:hAnsi="Times New Roman" w:cs="Times New Roman"/>
          <w:b/>
          <w:bCs/>
        </w:rPr>
        <w:t>f</w:t>
      </w:r>
      <w:r w:rsidRPr="00DF36CE">
        <w:rPr>
          <w:rFonts w:ascii="Times New Roman" w:hAnsi="Times New Roman" w:cs="Times New Roman"/>
          <w:b/>
          <w:bCs/>
        </w:rPr>
        <w:t>)</w:t>
      </w:r>
      <w:r w:rsidRPr="00293C37">
        <w:rPr>
          <w:rFonts w:ascii="Times New Roman" w:hAnsi="Times New Roman" w:cs="Times New Roman"/>
        </w:rPr>
        <w:t xml:space="preserve"> </w:t>
      </w:r>
      <w:r w:rsidR="00731C34" w:rsidRPr="00293C37">
        <w:rPr>
          <w:rFonts w:ascii="Times New Roman" w:hAnsi="Times New Roman" w:cs="Times New Roman"/>
        </w:rPr>
        <w:t>Distributions of p-values (-log</w:t>
      </w:r>
      <w:r w:rsidR="00731C34" w:rsidRPr="00293C37">
        <w:rPr>
          <w:rFonts w:ascii="Times New Roman" w:hAnsi="Times New Roman" w:cs="Times New Roman"/>
          <w:vertAlign w:val="subscript"/>
        </w:rPr>
        <w:t xml:space="preserve">10 </w:t>
      </w:r>
      <w:r w:rsidR="00731C34" w:rsidRPr="00293C37">
        <w:rPr>
          <w:rFonts w:ascii="Times New Roman" w:hAnsi="Times New Roman" w:cs="Times New Roman"/>
          <w:i/>
        </w:rPr>
        <w:t>p</w:t>
      </w:r>
      <w:r w:rsidR="00731C34" w:rsidRPr="00293C37">
        <w:rPr>
          <w:rFonts w:ascii="Times New Roman" w:hAnsi="Times New Roman" w:cs="Times New Roman"/>
        </w:rPr>
        <w:t xml:space="preserve">) </w:t>
      </w:r>
      <w:proofErr w:type="gramStart"/>
      <w:r w:rsidR="00731C34" w:rsidRPr="00293C37">
        <w:rPr>
          <w:rFonts w:ascii="Times New Roman" w:hAnsi="Times New Roman" w:cs="Times New Roman"/>
        </w:rPr>
        <w:t xml:space="preserve">of </w:t>
      </w:r>
      <w:r w:rsidR="00731C34">
        <w:rPr>
          <w:rFonts w:ascii="Times New Roman" w:hAnsi="Times New Roman" w:cs="Times New Roman"/>
        </w:rPr>
        <w:t xml:space="preserve"> </w:t>
      </w:r>
      <w:r w:rsidRPr="00293C37">
        <w:rPr>
          <w:rFonts w:ascii="Times New Roman" w:hAnsi="Times New Roman" w:cs="Times New Roman"/>
        </w:rPr>
        <w:t>Welch’s</w:t>
      </w:r>
      <w:proofErr w:type="gramEnd"/>
      <w:r w:rsidRPr="00293C37">
        <w:rPr>
          <w:rFonts w:ascii="Times New Roman" w:hAnsi="Times New Roman" w:cs="Times New Roman"/>
        </w:rPr>
        <w:t xml:space="preserve"> t-test of </w:t>
      </w:r>
      <w:proofErr w:type="spellStart"/>
      <w:r w:rsidRPr="00293C37">
        <w:rPr>
          <w:rFonts w:ascii="Times New Roman" w:hAnsi="Times New Roman" w:cs="Times New Roman"/>
          <w:i/>
        </w:rPr>
        <w:t>RhoA</w:t>
      </w:r>
      <w:proofErr w:type="spellEnd"/>
      <w:r w:rsidRPr="00293C37">
        <w:rPr>
          <w:rFonts w:ascii="Times New Roman" w:hAnsi="Times New Roman" w:cs="Times New Roman"/>
        </w:rPr>
        <w:t xml:space="preserve"> knockout embryos and control embryos at each </w:t>
      </w:r>
      <w:r w:rsidRPr="00293C37">
        <w:rPr>
          <w:rFonts w:ascii="Times New Roman" w:hAnsi="Times New Roman" w:cs="Times New Roman"/>
          <w:i/>
          <w:iCs/>
        </w:rPr>
        <w:t>θ</w:t>
      </w:r>
      <w:r w:rsidRPr="00293C37">
        <w:rPr>
          <w:rFonts w:ascii="Times New Roman" w:hAnsi="Times New Roman" w:cs="Times New Roman"/>
        </w:rPr>
        <w:t xml:space="preserve"> comparing fluorescence intensities of the pH indicator </w:t>
      </w:r>
      <w:r w:rsidRPr="00DF36CE">
        <w:rPr>
          <w:rFonts w:ascii="Times New Roman" w:hAnsi="Times New Roman" w:cs="Times New Roman"/>
          <w:b/>
          <w:bCs/>
        </w:rPr>
        <w:t>(</w:t>
      </w:r>
      <w:r w:rsidR="007C49AF">
        <w:rPr>
          <w:rFonts w:ascii="Times New Roman" w:hAnsi="Times New Roman" w:cs="Times New Roman"/>
          <w:b/>
          <w:bCs/>
        </w:rPr>
        <w:t>e</w:t>
      </w:r>
      <w:r w:rsidRPr="00DF36CE">
        <w:rPr>
          <w:rFonts w:ascii="Times New Roman" w:hAnsi="Times New Roman" w:cs="Times New Roman"/>
          <w:b/>
          <w:bCs/>
        </w:rPr>
        <w:t>)</w:t>
      </w:r>
      <w:r w:rsidR="00DD5678" w:rsidRPr="00293C37">
        <w:rPr>
          <w:rFonts w:ascii="Times New Roman" w:hAnsi="Times New Roman" w:cs="Times New Roman"/>
        </w:rPr>
        <w:t xml:space="preserve"> </w:t>
      </w:r>
      <w:r w:rsidRPr="00293C37">
        <w:rPr>
          <w:rFonts w:ascii="Times New Roman" w:hAnsi="Times New Roman" w:cs="Times New Roman"/>
        </w:rPr>
        <w:t xml:space="preserve">and the apical/basal ratio of the pH indicator </w:t>
      </w:r>
      <w:r w:rsidRPr="00DF36CE">
        <w:rPr>
          <w:rFonts w:ascii="Times New Roman" w:hAnsi="Times New Roman" w:cs="Times New Roman"/>
          <w:b/>
          <w:bCs/>
        </w:rPr>
        <w:t>(</w:t>
      </w:r>
      <w:r w:rsidR="007C49AF">
        <w:rPr>
          <w:rFonts w:ascii="Times New Roman" w:hAnsi="Times New Roman" w:cs="Times New Roman"/>
          <w:b/>
          <w:bCs/>
        </w:rPr>
        <w:t>f</w:t>
      </w:r>
      <w:r w:rsidRPr="00DF36CE">
        <w:rPr>
          <w:rFonts w:ascii="Times New Roman" w:hAnsi="Times New Roman" w:cs="Times New Roman"/>
          <w:b/>
          <w:bCs/>
        </w:rPr>
        <w:t>)</w:t>
      </w:r>
      <w:r w:rsidRPr="00293C37">
        <w:rPr>
          <w:rFonts w:ascii="Times New Roman" w:hAnsi="Times New Roman" w:cs="Times New Roman"/>
        </w:rPr>
        <w:t xml:space="preserve">. </w:t>
      </w:r>
    </w:p>
    <w:p w14:paraId="05AF816F" w14:textId="112466EE" w:rsidR="006D1297" w:rsidRPr="00293C37" w:rsidRDefault="005462CF" w:rsidP="006D1297">
      <w:pPr>
        <w:spacing w:line="360" w:lineRule="auto"/>
        <w:jc w:val="left"/>
        <w:rPr>
          <w:rFonts w:ascii="Times New Roman" w:hAnsi="Times New Roman" w:cs="Times New Roman"/>
          <w:b/>
        </w:rPr>
      </w:pPr>
      <w:r>
        <w:rPr>
          <w:noProof/>
        </w:rPr>
        <w:lastRenderedPageBreak/>
        <w:drawing>
          <wp:inline distT="0" distB="0" distL="0" distR="0" wp14:anchorId="3C8D6E09" wp14:editId="474A9702">
            <wp:extent cx="5731510" cy="1964690"/>
            <wp:effectExtent l="0" t="0" r="0" b="0"/>
            <wp:docPr id="55" name="図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1964690"/>
                    </a:xfrm>
                    <a:prstGeom prst="rect">
                      <a:avLst/>
                    </a:prstGeom>
                  </pic:spPr>
                </pic:pic>
              </a:graphicData>
            </a:graphic>
          </wp:inline>
        </w:drawing>
      </w:r>
    </w:p>
    <w:p w14:paraId="1A2115A0" w14:textId="5516A0C7" w:rsidR="006D1297" w:rsidRPr="00293C37" w:rsidRDefault="006D1297" w:rsidP="006D1297">
      <w:pPr>
        <w:spacing w:line="360" w:lineRule="auto"/>
        <w:jc w:val="left"/>
        <w:rPr>
          <w:rFonts w:ascii="Times New Roman" w:hAnsi="Times New Roman" w:cs="Times New Roman"/>
        </w:rPr>
      </w:pPr>
      <w:r w:rsidRPr="00293C37">
        <w:rPr>
          <w:rFonts w:ascii="Times New Roman" w:hAnsi="Times New Roman" w:cs="Times New Roman"/>
          <w:b/>
        </w:rPr>
        <w:t>Fig</w:t>
      </w:r>
      <w:r w:rsidRPr="00293C37">
        <w:rPr>
          <w:rFonts w:ascii="Times New Roman" w:hAnsi="Times New Roman" w:cs="Times New Roman"/>
          <w:b/>
          <w:bCs/>
        </w:rPr>
        <w:t>.</w:t>
      </w:r>
      <w:r w:rsidRPr="00293C37">
        <w:rPr>
          <w:rFonts w:ascii="Times New Roman" w:hAnsi="Times New Roman" w:cs="Times New Roman"/>
          <w:b/>
        </w:rPr>
        <w:t xml:space="preserve"> S2. Evaluation of intracellular pH polarity </w:t>
      </w:r>
      <w:r w:rsidR="007C49AF">
        <w:rPr>
          <w:rFonts w:ascii="Times New Roman" w:hAnsi="Times New Roman" w:cs="Times New Roman"/>
          <w:b/>
        </w:rPr>
        <w:t>via</w:t>
      </w:r>
      <w:r w:rsidR="007C49AF" w:rsidRPr="00293C37">
        <w:rPr>
          <w:rFonts w:ascii="Times New Roman" w:hAnsi="Times New Roman" w:cs="Times New Roman"/>
          <w:b/>
        </w:rPr>
        <w:t xml:space="preserve"> </w:t>
      </w:r>
      <w:r w:rsidRPr="00293C37">
        <w:rPr>
          <w:rFonts w:ascii="Times New Roman" w:hAnsi="Times New Roman" w:cs="Times New Roman"/>
          <w:b/>
        </w:rPr>
        <w:t>SNARF</w:t>
      </w:r>
      <w:r w:rsidR="0011260F" w:rsidRPr="00293C37">
        <w:rPr>
          <w:rFonts w:ascii="Times New Roman" w:hAnsi="Times New Roman" w:cs="Times New Roman"/>
          <w:b/>
        </w:rPr>
        <w:t>-1</w:t>
      </w:r>
      <w:r w:rsidRPr="00293C37">
        <w:rPr>
          <w:rFonts w:ascii="Times New Roman" w:hAnsi="Times New Roman" w:cs="Times New Roman"/>
          <w:b/>
          <w:bCs/>
        </w:rPr>
        <w:t>-1.</w:t>
      </w:r>
      <w:r w:rsidRPr="00293C37">
        <w:rPr>
          <w:rFonts w:ascii="Times New Roman" w:hAnsi="Times New Roman" w:cs="Times New Roman"/>
        </w:rPr>
        <w:t xml:space="preserve"> </w:t>
      </w:r>
      <w:r w:rsidRPr="00DF36CE">
        <w:rPr>
          <w:rFonts w:ascii="Times New Roman" w:hAnsi="Times New Roman" w:cs="Times New Roman"/>
          <w:b/>
          <w:bCs/>
        </w:rPr>
        <w:t>(</w:t>
      </w:r>
      <w:r w:rsidR="007C49AF">
        <w:rPr>
          <w:rFonts w:ascii="Times New Roman" w:hAnsi="Times New Roman" w:cs="Times New Roman"/>
          <w:b/>
          <w:bCs/>
        </w:rPr>
        <w:t>a</w:t>
      </w:r>
      <w:r w:rsidRPr="00DF36CE">
        <w:rPr>
          <w:rFonts w:ascii="Times New Roman" w:hAnsi="Times New Roman" w:cs="Times New Roman"/>
          <w:b/>
          <w:bCs/>
        </w:rPr>
        <w:t>)</w:t>
      </w:r>
      <w:r w:rsidRPr="00293C37">
        <w:rPr>
          <w:rFonts w:ascii="Times New Roman" w:hAnsi="Times New Roman" w:cs="Times New Roman"/>
        </w:rPr>
        <w:t xml:space="preserve"> Distributions of intracellular polarities of SNARF-1 fluorescence intensity as a function of angle </w:t>
      </w:r>
      <w:r w:rsidRPr="00293C37">
        <w:rPr>
          <w:rFonts w:ascii="Times New Roman" w:hAnsi="Times New Roman" w:cs="Times New Roman"/>
          <w:i/>
          <w:iCs/>
        </w:rPr>
        <w:t>θ</w:t>
      </w:r>
      <w:r w:rsidRPr="00293C37">
        <w:rPr>
          <w:rFonts w:ascii="Times New Roman" w:hAnsi="Times New Roman" w:cs="Times New Roman"/>
        </w:rPr>
        <w:t xml:space="preserve"> in control and inhibited embryos at step 2 where the pH was higher at lower SNARF-1 intensity. </w:t>
      </w:r>
      <w:r w:rsidRPr="00DF36CE">
        <w:rPr>
          <w:rFonts w:ascii="Times New Roman" w:hAnsi="Times New Roman" w:cs="Times New Roman"/>
          <w:b/>
          <w:bCs/>
        </w:rPr>
        <w:t>(</w:t>
      </w:r>
      <w:r w:rsidR="007C49AF">
        <w:rPr>
          <w:rFonts w:ascii="Times New Roman" w:hAnsi="Times New Roman" w:cs="Times New Roman"/>
          <w:b/>
          <w:bCs/>
        </w:rPr>
        <w:t>b</w:t>
      </w:r>
      <w:r w:rsidRPr="00DF36CE">
        <w:rPr>
          <w:rFonts w:ascii="Times New Roman" w:hAnsi="Times New Roman" w:cs="Times New Roman"/>
          <w:b/>
          <w:bCs/>
        </w:rPr>
        <w:t>)</w:t>
      </w:r>
      <w:r w:rsidRPr="00293C37">
        <w:rPr>
          <w:rFonts w:ascii="Times New Roman" w:hAnsi="Times New Roman" w:cs="Times New Roman"/>
        </w:rPr>
        <w:t xml:space="preserve"> </w:t>
      </w:r>
      <w:r w:rsidR="007C49AF">
        <w:rPr>
          <w:rFonts w:ascii="Times New Roman" w:hAnsi="Times New Roman" w:cs="Times New Roman"/>
        </w:rPr>
        <w:t>P</w:t>
      </w:r>
      <w:r w:rsidRPr="00293C37">
        <w:rPr>
          <w:rFonts w:ascii="Times New Roman" w:hAnsi="Times New Roman" w:cs="Times New Roman"/>
        </w:rPr>
        <w:t xml:space="preserve">-value </w:t>
      </w:r>
      <w:r w:rsidR="007C49AF">
        <w:rPr>
          <w:rFonts w:ascii="Times New Roman" w:hAnsi="Times New Roman" w:cs="Times New Roman"/>
        </w:rPr>
        <w:t>d</w:t>
      </w:r>
      <w:r w:rsidR="007C49AF" w:rsidRPr="00293C37">
        <w:rPr>
          <w:rFonts w:ascii="Times New Roman" w:hAnsi="Times New Roman" w:cs="Times New Roman"/>
        </w:rPr>
        <w:t xml:space="preserve">istributions </w:t>
      </w:r>
      <w:r w:rsidRPr="00293C37">
        <w:rPr>
          <w:rFonts w:ascii="Times New Roman" w:hAnsi="Times New Roman" w:cs="Times New Roman"/>
        </w:rPr>
        <w:t>(-log</w:t>
      </w:r>
      <w:r w:rsidRPr="00293C37">
        <w:rPr>
          <w:rFonts w:ascii="Times New Roman" w:hAnsi="Times New Roman" w:cs="Times New Roman"/>
          <w:vertAlign w:val="subscript"/>
        </w:rPr>
        <w:t xml:space="preserve">10 </w:t>
      </w:r>
      <w:r w:rsidRPr="00293C37">
        <w:rPr>
          <w:rFonts w:ascii="Times New Roman" w:hAnsi="Times New Roman" w:cs="Times New Roman"/>
          <w:i/>
        </w:rPr>
        <w:t>p</w:t>
      </w:r>
      <w:r w:rsidRPr="00293C37">
        <w:rPr>
          <w:rFonts w:ascii="Times New Roman" w:hAnsi="Times New Roman" w:cs="Times New Roman"/>
        </w:rPr>
        <w:t xml:space="preserve">) </w:t>
      </w:r>
      <w:r w:rsidR="007C49AF">
        <w:rPr>
          <w:rFonts w:ascii="Times New Roman" w:hAnsi="Times New Roman" w:cs="Times New Roman"/>
        </w:rPr>
        <w:t>obtained using</w:t>
      </w:r>
      <w:r w:rsidR="007C49AF" w:rsidRPr="00293C37">
        <w:rPr>
          <w:rFonts w:ascii="Times New Roman" w:hAnsi="Times New Roman" w:cs="Times New Roman"/>
        </w:rPr>
        <w:t xml:space="preserve"> </w:t>
      </w:r>
      <w:r w:rsidRPr="00293C37">
        <w:rPr>
          <w:rFonts w:ascii="Times New Roman" w:hAnsi="Times New Roman" w:cs="Times New Roman"/>
        </w:rPr>
        <w:t xml:space="preserve">Welch’s t-test between control and inhibited embryos for intracellular polarities of SNARF-1 intensity at each </w:t>
      </w:r>
      <w:r w:rsidRPr="00293C37">
        <w:rPr>
          <w:rFonts w:ascii="Times New Roman" w:hAnsi="Times New Roman" w:cs="Times New Roman"/>
          <w:i/>
          <w:iCs/>
        </w:rPr>
        <w:t>θ</w:t>
      </w:r>
      <w:r w:rsidRPr="00293C37">
        <w:rPr>
          <w:rFonts w:ascii="Times New Roman" w:hAnsi="Times New Roman" w:cs="Times New Roman"/>
        </w:rPr>
        <w:t xml:space="preserve">. The </w:t>
      </w:r>
      <w:r w:rsidR="007C49AF">
        <w:rPr>
          <w:rFonts w:ascii="Times New Roman" w:hAnsi="Times New Roman" w:cs="Times New Roman"/>
        </w:rPr>
        <w:t>indications</w:t>
      </w:r>
      <w:r w:rsidR="007C49AF" w:rsidRPr="00293C37">
        <w:rPr>
          <w:rFonts w:ascii="Times New Roman" w:hAnsi="Times New Roman" w:cs="Times New Roman"/>
        </w:rPr>
        <w:t xml:space="preserve"> </w:t>
      </w:r>
      <w:r w:rsidRPr="00293C37">
        <w:rPr>
          <w:rFonts w:ascii="Times New Roman" w:hAnsi="Times New Roman" w:cs="Times New Roman"/>
        </w:rPr>
        <w:t xml:space="preserve">of the colors and </w:t>
      </w:r>
      <w:r w:rsidRPr="00293C37">
        <w:rPr>
          <w:rFonts w:ascii="Times New Roman" w:hAnsi="Times New Roman" w:cs="Times New Roman"/>
          <w:i/>
          <w:iCs/>
        </w:rPr>
        <w:t>θ</w:t>
      </w:r>
      <w:r w:rsidRPr="00293C37">
        <w:rPr>
          <w:rFonts w:ascii="Times New Roman" w:hAnsi="Times New Roman" w:cs="Times New Roman"/>
        </w:rPr>
        <w:t xml:space="preserve"> </w:t>
      </w:r>
      <w:r w:rsidR="00C115C9" w:rsidRPr="00293C37">
        <w:rPr>
          <w:rFonts w:ascii="Times New Roman" w:hAnsi="Times New Roman" w:cs="Times New Roman"/>
        </w:rPr>
        <w:t xml:space="preserve">are </w:t>
      </w:r>
      <w:r w:rsidRPr="00293C37">
        <w:rPr>
          <w:rFonts w:ascii="Times New Roman" w:hAnsi="Times New Roman" w:cs="Times New Roman"/>
        </w:rPr>
        <w:t xml:space="preserve">stated in Fig. 3. The correlation coefficients between the apical/basal ratio of SNARF-1 and actinin-GFP </w:t>
      </w:r>
      <w:r w:rsidR="007C49AF">
        <w:rPr>
          <w:rFonts w:ascii="Times New Roman" w:hAnsi="Times New Roman" w:cs="Times New Roman"/>
        </w:rPr>
        <w:t xml:space="preserve">signal </w:t>
      </w:r>
      <w:r w:rsidRPr="00293C37">
        <w:rPr>
          <w:rFonts w:ascii="Times New Roman" w:hAnsi="Times New Roman" w:cs="Times New Roman"/>
        </w:rPr>
        <w:t>intensities (Fig. 3E) in control and inhibited embryos were 0.48 and 0.64, respectively.</w:t>
      </w:r>
    </w:p>
    <w:p w14:paraId="02476708" w14:textId="77777777" w:rsidR="006D1297" w:rsidRPr="00293C37" w:rsidRDefault="006D1297" w:rsidP="006D1297">
      <w:pPr>
        <w:spacing w:line="360" w:lineRule="auto"/>
        <w:jc w:val="left"/>
        <w:rPr>
          <w:rFonts w:ascii="Times New Roman" w:hAnsi="Times New Roman" w:cs="Times New Roman"/>
        </w:rPr>
      </w:pPr>
    </w:p>
    <w:p w14:paraId="08485176" w14:textId="77777777" w:rsidR="006D1297" w:rsidRPr="00293C37" w:rsidRDefault="006D1297" w:rsidP="006D1297">
      <w:pPr>
        <w:spacing w:line="360" w:lineRule="auto"/>
        <w:jc w:val="left"/>
        <w:rPr>
          <w:rFonts w:ascii="Times New Roman" w:hAnsi="Times New Roman" w:cs="Times New Roman"/>
        </w:rPr>
      </w:pPr>
    </w:p>
    <w:p w14:paraId="5969CE25" w14:textId="77777777" w:rsidR="006D1297" w:rsidRPr="00293C37" w:rsidRDefault="006D1297" w:rsidP="006D1297">
      <w:pPr>
        <w:spacing w:line="360" w:lineRule="auto"/>
        <w:jc w:val="left"/>
        <w:rPr>
          <w:rFonts w:ascii="Times New Roman" w:hAnsi="Times New Roman" w:cs="Times New Roman"/>
        </w:rPr>
      </w:pPr>
    </w:p>
    <w:p w14:paraId="4B164DB4" w14:textId="77777777" w:rsidR="006D1297" w:rsidRPr="00293C37" w:rsidRDefault="006D1297" w:rsidP="006D1297">
      <w:pPr>
        <w:spacing w:line="360" w:lineRule="auto"/>
        <w:jc w:val="left"/>
        <w:rPr>
          <w:rFonts w:ascii="Times New Roman" w:hAnsi="Times New Roman" w:cs="Times New Roman"/>
        </w:rPr>
      </w:pPr>
    </w:p>
    <w:p w14:paraId="31AFCF01" w14:textId="47AC81EB" w:rsidR="006D1297" w:rsidRDefault="006D1297" w:rsidP="006D1297">
      <w:pPr>
        <w:spacing w:line="360" w:lineRule="auto"/>
        <w:jc w:val="left"/>
        <w:rPr>
          <w:rFonts w:ascii="Times New Roman" w:hAnsi="Times New Roman" w:cs="Times New Roman"/>
        </w:rPr>
      </w:pPr>
    </w:p>
    <w:p w14:paraId="4000E718" w14:textId="757C4F8A" w:rsidR="005462CF" w:rsidRDefault="005462CF" w:rsidP="006D1297">
      <w:pPr>
        <w:spacing w:line="360" w:lineRule="auto"/>
        <w:jc w:val="left"/>
        <w:rPr>
          <w:rFonts w:ascii="Times New Roman" w:hAnsi="Times New Roman" w:cs="Times New Roman"/>
        </w:rPr>
      </w:pPr>
    </w:p>
    <w:p w14:paraId="3D045679" w14:textId="6A7624D0" w:rsidR="005462CF" w:rsidRDefault="005462CF" w:rsidP="006D1297">
      <w:pPr>
        <w:spacing w:line="360" w:lineRule="auto"/>
        <w:jc w:val="left"/>
        <w:rPr>
          <w:rFonts w:ascii="Times New Roman" w:hAnsi="Times New Roman" w:cs="Times New Roman"/>
        </w:rPr>
      </w:pPr>
    </w:p>
    <w:p w14:paraId="516F3CFE" w14:textId="3383B8A9" w:rsidR="005462CF" w:rsidRDefault="005462CF" w:rsidP="006D1297">
      <w:pPr>
        <w:spacing w:line="360" w:lineRule="auto"/>
        <w:jc w:val="left"/>
        <w:rPr>
          <w:rFonts w:ascii="Times New Roman" w:hAnsi="Times New Roman" w:cs="Times New Roman"/>
        </w:rPr>
      </w:pPr>
    </w:p>
    <w:p w14:paraId="5F5003CF" w14:textId="1BAF02EE" w:rsidR="005462CF" w:rsidRDefault="005462CF" w:rsidP="006D1297">
      <w:pPr>
        <w:spacing w:line="360" w:lineRule="auto"/>
        <w:jc w:val="left"/>
        <w:rPr>
          <w:rFonts w:ascii="Times New Roman" w:hAnsi="Times New Roman" w:cs="Times New Roman"/>
        </w:rPr>
      </w:pPr>
    </w:p>
    <w:p w14:paraId="24101910" w14:textId="77777777" w:rsidR="005462CF" w:rsidRPr="00293C37" w:rsidRDefault="005462CF" w:rsidP="006D1297">
      <w:pPr>
        <w:spacing w:line="360" w:lineRule="auto"/>
        <w:jc w:val="left"/>
        <w:rPr>
          <w:rFonts w:ascii="Times New Roman" w:hAnsi="Times New Roman" w:cs="Times New Roman" w:hint="eastAsia"/>
        </w:rPr>
      </w:pPr>
    </w:p>
    <w:p w14:paraId="40A52052" w14:textId="77777777" w:rsidR="006D1297" w:rsidRPr="00293C37" w:rsidRDefault="006D1297" w:rsidP="006D1297">
      <w:pPr>
        <w:spacing w:line="360" w:lineRule="auto"/>
        <w:jc w:val="left"/>
        <w:rPr>
          <w:rFonts w:ascii="Times New Roman" w:hAnsi="Times New Roman" w:cs="Times New Roman"/>
        </w:rPr>
      </w:pPr>
    </w:p>
    <w:p w14:paraId="19D5C428" w14:textId="3DA057C1" w:rsidR="006D1297" w:rsidRPr="00293C37" w:rsidRDefault="009A7572" w:rsidP="006D1297">
      <w:pPr>
        <w:spacing w:line="360" w:lineRule="auto"/>
        <w:jc w:val="left"/>
        <w:rPr>
          <w:rFonts w:ascii="Times New Roman" w:hAnsi="Times New Roman" w:cs="Times New Roman"/>
        </w:rPr>
      </w:pPr>
      <w:r w:rsidRPr="009A7572">
        <w:rPr>
          <w:noProof/>
        </w:rPr>
        <w:lastRenderedPageBreak/>
        <w:t xml:space="preserve"> </w:t>
      </w:r>
      <w:r w:rsidR="005462CF">
        <w:rPr>
          <w:noProof/>
        </w:rPr>
        <w:drawing>
          <wp:inline distT="0" distB="0" distL="0" distR="0" wp14:anchorId="4B536B4B" wp14:editId="2AC44C36">
            <wp:extent cx="4092166" cy="2095501"/>
            <wp:effectExtent l="0" t="0" r="0" b="0"/>
            <wp:docPr id="57" name="図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103895" cy="2101507"/>
                    </a:xfrm>
                    <a:prstGeom prst="rect">
                      <a:avLst/>
                    </a:prstGeom>
                  </pic:spPr>
                </pic:pic>
              </a:graphicData>
            </a:graphic>
          </wp:inline>
        </w:drawing>
      </w:r>
    </w:p>
    <w:p w14:paraId="38D2E841" w14:textId="72605C02" w:rsidR="006D1297" w:rsidRPr="00293C37" w:rsidRDefault="005462CF" w:rsidP="006D1297">
      <w:pPr>
        <w:spacing w:line="360" w:lineRule="auto"/>
        <w:jc w:val="left"/>
        <w:rPr>
          <w:rFonts w:ascii="Times New Roman" w:hAnsi="Times New Roman" w:cs="Times New Roman"/>
        </w:rPr>
      </w:pPr>
      <w:r>
        <w:rPr>
          <w:noProof/>
        </w:rPr>
        <w:drawing>
          <wp:inline distT="0" distB="0" distL="0" distR="0" wp14:anchorId="75B6A2AC" wp14:editId="2C394563">
            <wp:extent cx="5731510" cy="3532505"/>
            <wp:effectExtent l="0" t="0" r="0" b="0"/>
            <wp:docPr id="58" name="図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1510" cy="3532505"/>
                    </a:xfrm>
                    <a:prstGeom prst="rect">
                      <a:avLst/>
                    </a:prstGeom>
                  </pic:spPr>
                </pic:pic>
              </a:graphicData>
            </a:graphic>
          </wp:inline>
        </w:drawing>
      </w:r>
    </w:p>
    <w:p w14:paraId="089AC23D" w14:textId="2D42BD70" w:rsidR="006D1297" w:rsidRPr="00293C37" w:rsidRDefault="006D1297" w:rsidP="006D1297">
      <w:pPr>
        <w:spacing w:line="360" w:lineRule="auto"/>
        <w:jc w:val="left"/>
        <w:rPr>
          <w:rFonts w:ascii="Times New Roman" w:hAnsi="Times New Roman" w:cs="Times New Roman"/>
          <w:b/>
        </w:rPr>
      </w:pPr>
      <w:r w:rsidRPr="00293C37">
        <w:rPr>
          <w:rFonts w:ascii="Times New Roman" w:hAnsi="Times New Roman" w:cs="Times New Roman"/>
          <w:b/>
        </w:rPr>
        <w:t>Fig</w:t>
      </w:r>
      <w:r w:rsidRPr="00293C37">
        <w:rPr>
          <w:rFonts w:ascii="Times New Roman" w:hAnsi="Times New Roman" w:cs="Times New Roman"/>
          <w:b/>
          <w:bCs/>
        </w:rPr>
        <w:t>.</w:t>
      </w:r>
      <w:r w:rsidRPr="00293C37">
        <w:rPr>
          <w:rFonts w:ascii="Times New Roman" w:hAnsi="Times New Roman" w:cs="Times New Roman"/>
          <w:b/>
        </w:rPr>
        <w:t xml:space="preserve"> S3. </w:t>
      </w:r>
      <w:r w:rsidRPr="00293C37">
        <w:rPr>
          <w:rFonts w:ascii="Times New Roman" w:hAnsi="Times New Roman" w:cs="Times New Roman"/>
          <w:b/>
          <w:bCs/>
        </w:rPr>
        <w:t>Mutation</w:t>
      </w:r>
      <w:r w:rsidRPr="00293C37">
        <w:rPr>
          <w:rFonts w:ascii="Times New Roman" w:hAnsi="Times New Roman" w:cs="Times New Roman"/>
          <w:b/>
        </w:rPr>
        <w:t xml:space="preserve"> efficiency in knockout embryos</w:t>
      </w:r>
      <w:r w:rsidRPr="00293C37">
        <w:rPr>
          <w:rFonts w:ascii="Times New Roman" w:hAnsi="Times New Roman" w:cs="Times New Roman"/>
          <w:b/>
          <w:bCs/>
        </w:rPr>
        <w:t>.</w:t>
      </w:r>
      <w:r w:rsidRPr="00293C37">
        <w:rPr>
          <w:rFonts w:ascii="Times New Roman" w:hAnsi="Times New Roman" w:cs="Times New Roman"/>
        </w:rPr>
        <w:t xml:space="preserve"> </w:t>
      </w:r>
      <w:r w:rsidRPr="00DF36CE">
        <w:rPr>
          <w:rFonts w:ascii="Times New Roman" w:hAnsi="Times New Roman" w:cs="Times New Roman"/>
          <w:b/>
          <w:bCs/>
        </w:rPr>
        <w:t>(</w:t>
      </w:r>
      <w:r w:rsidR="007C49AF">
        <w:rPr>
          <w:rFonts w:ascii="Times New Roman" w:hAnsi="Times New Roman" w:cs="Times New Roman"/>
          <w:b/>
          <w:bCs/>
        </w:rPr>
        <w:t>a</w:t>
      </w:r>
      <w:r w:rsidRPr="00DF36CE">
        <w:rPr>
          <w:rFonts w:ascii="Times New Roman" w:hAnsi="Times New Roman" w:cs="Times New Roman"/>
          <w:b/>
          <w:bCs/>
        </w:rPr>
        <w:t>)</w:t>
      </w:r>
      <w:r w:rsidRPr="00293C37">
        <w:rPr>
          <w:rFonts w:ascii="Times New Roman" w:hAnsi="Times New Roman" w:cs="Times New Roman"/>
        </w:rPr>
        <w:t xml:space="preserve"> Genotyping </w:t>
      </w:r>
      <w:r w:rsidR="007C49AF">
        <w:rPr>
          <w:rFonts w:ascii="Times New Roman" w:hAnsi="Times New Roman" w:cs="Times New Roman"/>
        </w:rPr>
        <w:t>using</w:t>
      </w:r>
      <w:r w:rsidR="007C49AF" w:rsidRPr="00293C37">
        <w:rPr>
          <w:rFonts w:ascii="Times New Roman" w:hAnsi="Times New Roman" w:cs="Times New Roman"/>
        </w:rPr>
        <w:t xml:space="preserve"> </w:t>
      </w:r>
      <w:r w:rsidRPr="00293C37">
        <w:rPr>
          <w:rFonts w:ascii="Times New Roman" w:hAnsi="Times New Roman" w:cs="Times New Roman"/>
        </w:rPr>
        <w:t xml:space="preserve">heteroduplex mobility assay (HMA) of genomic DNA extracted from individual sea urchin embryos injected with Cas9 alone at 40 </w:t>
      </w:r>
      <w:proofErr w:type="spellStart"/>
      <w:r w:rsidRPr="00293C37">
        <w:rPr>
          <w:rFonts w:ascii="Times New Roman" w:hAnsi="Times New Roman" w:cs="Times New Roman"/>
        </w:rPr>
        <w:t>hpf</w:t>
      </w:r>
      <w:proofErr w:type="spellEnd"/>
      <w:r w:rsidRPr="00293C37">
        <w:rPr>
          <w:rFonts w:ascii="Times New Roman" w:hAnsi="Times New Roman" w:cs="Times New Roman"/>
        </w:rPr>
        <w:t xml:space="preserve"> (control, -) or Cas9/sgRNA (</w:t>
      </w:r>
      <w:proofErr w:type="spellStart"/>
      <w:r w:rsidRPr="00293C37">
        <w:rPr>
          <w:rFonts w:ascii="Times New Roman" w:hAnsi="Times New Roman" w:cs="Times New Roman"/>
          <w:i/>
          <w:iCs/>
        </w:rPr>
        <w:t>R</w:t>
      </w:r>
      <w:r w:rsidR="00731C34">
        <w:rPr>
          <w:rFonts w:ascii="Times New Roman" w:hAnsi="Times New Roman" w:cs="Times New Roman"/>
          <w:i/>
          <w:iCs/>
        </w:rPr>
        <w:t>ho</w:t>
      </w:r>
      <w:r w:rsidRPr="00293C37">
        <w:rPr>
          <w:rFonts w:ascii="Times New Roman" w:hAnsi="Times New Roman" w:cs="Times New Roman"/>
          <w:i/>
          <w:iCs/>
        </w:rPr>
        <w:t>A</w:t>
      </w:r>
      <w:proofErr w:type="spellEnd"/>
      <w:r w:rsidRPr="00293C37">
        <w:rPr>
          <w:rFonts w:ascii="Times New Roman" w:hAnsi="Times New Roman" w:cs="Times New Roman"/>
        </w:rPr>
        <w:t xml:space="preserve"> or </w:t>
      </w:r>
      <w:r w:rsidRPr="00293C37">
        <w:rPr>
          <w:rFonts w:ascii="Times New Roman" w:hAnsi="Times New Roman" w:cs="Times New Roman"/>
          <w:i/>
        </w:rPr>
        <w:t>YAP</w:t>
      </w:r>
      <w:r w:rsidR="00731C34">
        <w:rPr>
          <w:rFonts w:ascii="Times New Roman" w:hAnsi="Times New Roman" w:cs="Times New Roman"/>
          <w:i/>
        </w:rPr>
        <w:t>1</w:t>
      </w:r>
      <w:r w:rsidRPr="00293C37">
        <w:rPr>
          <w:rFonts w:ascii="Times New Roman" w:hAnsi="Times New Roman" w:cs="Times New Roman"/>
        </w:rPr>
        <w:t xml:space="preserve"> knockout, +) using the primers</w:t>
      </w:r>
      <w:r w:rsidR="00C115C9" w:rsidRPr="00293C37">
        <w:rPr>
          <w:rFonts w:ascii="Times New Roman" w:hAnsi="Times New Roman" w:cs="Times New Roman"/>
        </w:rPr>
        <w:t xml:space="preserve"> listed</w:t>
      </w:r>
      <w:r w:rsidRPr="00293C37">
        <w:rPr>
          <w:rFonts w:ascii="Times New Roman" w:hAnsi="Times New Roman" w:cs="Times New Roman"/>
        </w:rPr>
        <w:t xml:space="preserve"> in Table S3. PCR products were separated on a 3% agarose gel. M</w:t>
      </w:r>
      <w:r w:rsidR="00E95CD7">
        <w:rPr>
          <w:rFonts w:ascii="Times New Roman" w:hAnsi="Times New Roman" w:cs="Times New Roman"/>
        </w:rPr>
        <w:t xml:space="preserve"> indicate</w:t>
      </w:r>
      <w:r w:rsidR="0095258C">
        <w:rPr>
          <w:rFonts w:ascii="Times New Roman" w:hAnsi="Times New Roman" w:cs="Times New Roman" w:hint="eastAsia"/>
        </w:rPr>
        <w:t>s</w:t>
      </w:r>
      <w:r w:rsidRPr="00293C37">
        <w:rPr>
          <w:rFonts w:ascii="Times New Roman" w:hAnsi="Times New Roman" w:cs="Times New Roman"/>
        </w:rPr>
        <w:t xml:space="preserve"> 100-bp DNA ladder. </w:t>
      </w:r>
      <w:r w:rsidRPr="00DF36CE">
        <w:rPr>
          <w:rFonts w:ascii="Times New Roman" w:hAnsi="Times New Roman" w:cs="Times New Roman"/>
          <w:b/>
          <w:bCs/>
        </w:rPr>
        <w:t>(</w:t>
      </w:r>
      <w:r w:rsidR="007C49AF">
        <w:rPr>
          <w:rFonts w:ascii="Times New Roman" w:hAnsi="Times New Roman" w:cs="Times New Roman"/>
          <w:b/>
          <w:bCs/>
        </w:rPr>
        <w:t>b</w:t>
      </w:r>
      <w:r w:rsidRPr="00DF36CE">
        <w:rPr>
          <w:rFonts w:ascii="Times New Roman" w:hAnsi="Times New Roman" w:cs="Times New Roman"/>
          <w:b/>
          <w:bCs/>
        </w:rPr>
        <w:t>)</w:t>
      </w:r>
      <w:r w:rsidRPr="00293C37">
        <w:rPr>
          <w:rFonts w:ascii="Times New Roman" w:hAnsi="Times New Roman" w:cs="Times New Roman"/>
        </w:rPr>
        <w:t xml:space="preserve"> Sequences of 9 </w:t>
      </w:r>
      <w:proofErr w:type="spellStart"/>
      <w:r w:rsidRPr="00293C37">
        <w:rPr>
          <w:rFonts w:ascii="Times New Roman" w:hAnsi="Times New Roman" w:cs="Times New Roman"/>
          <w:i/>
          <w:iCs/>
        </w:rPr>
        <w:t>R</w:t>
      </w:r>
      <w:r w:rsidR="00731C34">
        <w:rPr>
          <w:rFonts w:ascii="Times New Roman" w:hAnsi="Times New Roman" w:cs="Times New Roman"/>
          <w:i/>
          <w:iCs/>
        </w:rPr>
        <w:t>ho</w:t>
      </w:r>
      <w:r w:rsidRPr="00293C37">
        <w:rPr>
          <w:rFonts w:ascii="Times New Roman" w:hAnsi="Times New Roman" w:cs="Times New Roman"/>
          <w:i/>
          <w:iCs/>
        </w:rPr>
        <w:t>A</w:t>
      </w:r>
      <w:proofErr w:type="spellEnd"/>
      <w:r w:rsidRPr="00293C37">
        <w:rPr>
          <w:rFonts w:ascii="Times New Roman" w:hAnsi="Times New Roman" w:cs="Times New Roman"/>
        </w:rPr>
        <w:t xml:space="preserve"> knockout and 9 </w:t>
      </w:r>
      <w:r w:rsidRPr="00293C37">
        <w:rPr>
          <w:rFonts w:ascii="Times New Roman" w:hAnsi="Times New Roman" w:cs="Times New Roman"/>
          <w:i/>
        </w:rPr>
        <w:t>YAP</w:t>
      </w:r>
      <w:r w:rsidR="00731C34">
        <w:rPr>
          <w:rFonts w:ascii="Times New Roman" w:hAnsi="Times New Roman" w:cs="Times New Roman"/>
          <w:i/>
        </w:rPr>
        <w:t>1</w:t>
      </w:r>
      <w:r w:rsidRPr="00293C37">
        <w:rPr>
          <w:rFonts w:ascii="Times New Roman" w:hAnsi="Times New Roman" w:cs="Times New Roman"/>
        </w:rPr>
        <w:t xml:space="preserve"> knockout embryos. The wild-type (WT) sequences are shown on top with the protospacer adjacent motif (PAM) highlighted in magenta and the protospacer highlighted in green. Deletions, substitutions, and insertions are indicated by red dashes, red letters, and blue letters, respectively. </w:t>
      </w:r>
    </w:p>
    <w:p w14:paraId="276DB00C" w14:textId="5623DBF1" w:rsidR="006D1297" w:rsidRPr="00293C37" w:rsidRDefault="005462CF" w:rsidP="006D1297">
      <w:pPr>
        <w:spacing w:line="360" w:lineRule="auto"/>
        <w:jc w:val="left"/>
        <w:rPr>
          <w:rFonts w:ascii="Times New Roman" w:hAnsi="Times New Roman" w:cs="Times New Roman"/>
          <w:b/>
        </w:rPr>
      </w:pPr>
      <w:r>
        <w:rPr>
          <w:noProof/>
        </w:rPr>
        <w:lastRenderedPageBreak/>
        <w:drawing>
          <wp:inline distT="0" distB="0" distL="0" distR="0" wp14:anchorId="38B99C58" wp14:editId="53D65544">
            <wp:extent cx="5731510" cy="1757680"/>
            <wp:effectExtent l="0" t="0" r="0" b="0"/>
            <wp:docPr id="59" name="図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1757680"/>
                    </a:xfrm>
                    <a:prstGeom prst="rect">
                      <a:avLst/>
                    </a:prstGeom>
                  </pic:spPr>
                </pic:pic>
              </a:graphicData>
            </a:graphic>
          </wp:inline>
        </w:drawing>
      </w:r>
    </w:p>
    <w:p w14:paraId="58B01B83" w14:textId="7D2E52FA" w:rsidR="006D1297" w:rsidRPr="00293C37" w:rsidRDefault="006D1297" w:rsidP="006D1297">
      <w:pPr>
        <w:spacing w:line="360" w:lineRule="auto"/>
        <w:jc w:val="left"/>
        <w:rPr>
          <w:rFonts w:ascii="Times New Roman" w:hAnsi="Times New Roman" w:cs="Times New Roman"/>
        </w:rPr>
      </w:pPr>
      <w:r w:rsidRPr="00293C37">
        <w:rPr>
          <w:rFonts w:ascii="Times New Roman" w:hAnsi="Times New Roman" w:cs="Times New Roman"/>
          <w:b/>
        </w:rPr>
        <w:t>Fig</w:t>
      </w:r>
      <w:r w:rsidRPr="00293C37">
        <w:rPr>
          <w:rFonts w:ascii="Times New Roman" w:hAnsi="Times New Roman" w:cs="Times New Roman"/>
          <w:b/>
          <w:bCs/>
        </w:rPr>
        <w:t>.</w:t>
      </w:r>
      <w:r w:rsidRPr="00293C37">
        <w:rPr>
          <w:rFonts w:ascii="Times New Roman" w:hAnsi="Times New Roman" w:cs="Times New Roman"/>
          <w:b/>
        </w:rPr>
        <w:t xml:space="preserve"> S4. </w:t>
      </w:r>
      <w:r w:rsidR="00731C34">
        <w:rPr>
          <w:rFonts w:ascii="Times New Roman" w:hAnsi="Times New Roman" w:cs="Times New Roman"/>
          <w:b/>
        </w:rPr>
        <w:t>S</w:t>
      </w:r>
      <w:r w:rsidRPr="00293C37">
        <w:rPr>
          <w:rFonts w:ascii="Times New Roman" w:hAnsi="Times New Roman" w:cs="Times New Roman"/>
          <w:b/>
        </w:rPr>
        <w:t xml:space="preserve">imulation of </w:t>
      </w:r>
      <w:r w:rsidRPr="00293C37">
        <w:rPr>
          <w:rFonts w:ascii="Times New Roman" w:hAnsi="Times New Roman" w:cs="Times New Roman"/>
          <w:b/>
          <w:bCs/>
        </w:rPr>
        <w:t xml:space="preserve">the </w:t>
      </w:r>
      <w:r w:rsidRPr="00293C37">
        <w:rPr>
          <w:rFonts w:ascii="Times New Roman" w:hAnsi="Times New Roman" w:cs="Times New Roman"/>
          <w:b/>
        </w:rPr>
        <w:t xml:space="preserve">roundness index </w:t>
      </w:r>
      <w:r w:rsidRPr="00293C37">
        <w:rPr>
          <w:rFonts w:ascii="Times New Roman" w:hAnsi="Times New Roman" w:cs="Times New Roman"/>
          <w:b/>
          <w:bCs/>
        </w:rPr>
        <w:t xml:space="preserve">and p-values </w:t>
      </w:r>
      <w:r w:rsidRPr="00293C37">
        <w:rPr>
          <w:rFonts w:ascii="Times New Roman" w:hAnsi="Times New Roman" w:cs="Times New Roman"/>
          <w:b/>
        </w:rPr>
        <w:t xml:space="preserve">of </w:t>
      </w:r>
      <w:r w:rsidRPr="00293C37">
        <w:rPr>
          <w:rFonts w:ascii="Times New Roman" w:hAnsi="Times New Roman" w:cs="Times New Roman"/>
          <w:b/>
          <w:bCs/>
        </w:rPr>
        <w:t xml:space="preserve">the </w:t>
      </w:r>
      <w:r w:rsidRPr="00293C37">
        <w:rPr>
          <w:rFonts w:ascii="Times New Roman" w:hAnsi="Times New Roman" w:cs="Times New Roman"/>
          <w:b/>
        </w:rPr>
        <w:t>vegetal side of embryos</w:t>
      </w:r>
      <w:r w:rsidRPr="00293C37">
        <w:rPr>
          <w:rFonts w:ascii="Times New Roman" w:hAnsi="Times New Roman" w:cs="Times New Roman"/>
          <w:b/>
          <w:bCs/>
        </w:rPr>
        <w:t>.</w:t>
      </w:r>
      <w:r w:rsidRPr="00293C37">
        <w:rPr>
          <w:rFonts w:ascii="Times New Roman" w:hAnsi="Times New Roman" w:cs="Times New Roman"/>
        </w:rPr>
        <w:t xml:space="preserve"> </w:t>
      </w:r>
      <w:r w:rsidRPr="00DF36CE">
        <w:rPr>
          <w:rFonts w:ascii="Times New Roman" w:hAnsi="Times New Roman" w:cs="Times New Roman"/>
          <w:b/>
          <w:bCs/>
        </w:rPr>
        <w:t>(</w:t>
      </w:r>
      <w:r w:rsidR="00B80590">
        <w:rPr>
          <w:rFonts w:ascii="Times New Roman" w:hAnsi="Times New Roman" w:cs="Times New Roman"/>
          <w:b/>
          <w:bCs/>
        </w:rPr>
        <w:t>a</w:t>
      </w:r>
      <w:r w:rsidRPr="00DF36CE">
        <w:rPr>
          <w:rFonts w:ascii="Times New Roman" w:hAnsi="Times New Roman" w:cs="Times New Roman"/>
          <w:b/>
          <w:bCs/>
        </w:rPr>
        <w:t>)</w:t>
      </w:r>
      <w:r w:rsidRPr="00293C37">
        <w:rPr>
          <w:rFonts w:ascii="Times New Roman" w:hAnsi="Times New Roman" w:cs="Times New Roman"/>
        </w:rPr>
        <w:t xml:space="preserve"> Time course of modelled</w:t>
      </w:r>
      <w:r w:rsidRPr="00293C37" w:rsidDel="00020D4C">
        <w:rPr>
          <w:rFonts w:ascii="Times New Roman" w:hAnsi="Times New Roman" w:cs="Times New Roman"/>
        </w:rPr>
        <w:t xml:space="preserve"> </w:t>
      </w:r>
      <w:r w:rsidRPr="00293C37">
        <w:rPr>
          <w:rFonts w:ascii="Times New Roman" w:hAnsi="Times New Roman" w:cs="Times New Roman"/>
        </w:rPr>
        <w:t xml:space="preserve">vegetal side roundness of control, inhibited, and over-polarized embryos. </w:t>
      </w:r>
      <w:r w:rsidRPr="00DF36CE">
        <w:rPr>
          <w:rFonts w:ascii="Times New Roman" w:hAnsi="Times New Roman" w:cs="Times New Roman"/>
          <w:b/>
          <w:bCs/>
        </w:rPr>
        <w:t>(</w:t>
      </w:r>
      <w:r w:rsidR="00B80590">
        <w:rPr>
          <w:rFonts w:ascii="Times New Roman" w:hAnsi="Times New Roman" w:cs="Times New Roman"/>
          <w:b/>
          <w:bCs/>
        </w:rPr>
        <w:t>b</w:t>
      </w:r>
      <w:r w:rsidRPr="00DF36CE">
        <w:rPr>
          <w:rFonts w:ascii="Times New Roman" w:hAnsi="Times New Roman" w:cs="Times New Roman"/>
          <w:b/>
          <w:bCs/>
        </w:rPr>
        <w:t>)</w:t>
      </w:r>
      <w:r w:rsidRPr="00293C37">
        <w:rPr>
          <w:rFonts w:ascii="Times New Roman" w:hAnsi="Times New Roman" w:cs="Times New Roman"/>
        </w:rPr>
        <w:t xml:space="preserve"> P-values (-log</w:t>
      </w:r>
      <w:r w:rsidRPr="00293C37">
        <w:rPr>
          <w:rFonts w:ascii="Times New Roman" w:hAnsi="Times New Roman" w:cs="Times New Roman"/>
          <w:vertAlign w:val="subscript"/>
        </w:rPr>
        <w:t xml:space="preserve">10 </w:t>
      </w:r>
      <w:r w:rsidRPr="00293C37">
        <w:rPr>
          <w:rFonts w:ascii="Times New Roman" w:hAnsi="Times New Roman" w:cs="Times New Roman"/>
          <w:i/>
        </w:rPr>
        <w:t>p</w:t>
      </w:r>
      <w:r w:rsidRPr="00293C37">
        <w:rPr>
          <w:rFonts w:ascii="Times New Roman" w:hAnsi="Times New Roman" w:cs="Times New Roman"/>
        </w:rPr>
        <w:t xml:space="preserve">) of roundness indices between vegetal sides of control and inhibited embryos determined </w:t>
      </w:r>
      <w:r w:rsidR="00B80590">
        <w:rPr>
          <w:rFonts w:ascii="Times New Roman" w:hAnsi="Times New Roman" w:cs="Times New Roman"/>
        </w:rPr>
        <w:t>using</w:t>
      </w:r>
      <w:r w:rsidR="00B80590" w:rsidRPr="00293C37">
        <w:rPr>
          <w:rFonts w:ascii="Times New Roman" w:hAnsi="Times New Roman" w:cs="Times New Roman"/>
        </w:rPr>
        <w:t xml:space="preserve"> </w:t>
      </w:r>
      <w:r w:rsidRPr="00293C37">
        <w:rPr>
          <w:rFonts w:ascii="Times New Roman" w:hAnsi="Times New Roman" w:cs="Times New Roman"/>
        </w:rPr>
        <w:t>Welch’s t-test.</w:t>
      </w:r>
    </w:p>
    <w:p w14:paraId="771C6327" w14:textId="77777777" w:rsidR="006D1297" w:rsidRPr="00293C37" w:rsidRDefault="006D1297" w:rsidP="006D1297">
      <w:pPr>
        <w:spacing w:line="360" w:lineRule="auto"/>
        <w:jc w:val="left"/>
        <w:rPr>
          <w:rFonts w:ascii="Times New Roman" w:hAnsi="Times New Roman" w:cs="Times New Roman"/>
          <w:b/>
        </w:rPr>
      </w:pPr>
    </w:p>
    <w:p w14:paraId="1714C4F5" w14:textId="54CE411C" w:rsidR="006D1297" w:rsidRPr="00293C37" w:rsidRDefault="006D1297" w:rsidP="006D1297">
      <w:pPr>
        <w:spacing w:line="360" w:lineRule="auto"/>
        <w:jc w:val="left"/>
        <w:rPr>
          <w:rFonts w:ascii="Times New Roman" w:hAnsi="Times New Roman" w:cs="Times New Roman"/>
          <w:b/>
        </w:rPr>
      </w:pPr>
      <w:r w:rsidRPr="00293C37">
        <w:rPr>
          <w:rFonts w:ascii="Times New Roman" w:hAnsi="Times New Roman" w:cs="Times New Roman"/>
        </w:rPr>
        <w:t xml:space="preserve"> </w:t>
      </w:r>
      <w:r w:rsidR="005462CF">
        <w:rPr>
          <w:noProof/>
        </w:rPr>
        <w:drawing>
          <wp:inline distT="0" distB="0" distL="0" distR="0" wp14:anchorId="07A4AC89" wp14:editId="7F9840CB">
            <wp:extent cx="5731510" cy="3707765"/>
            <wp:effectExtent l="0" t="0" r="0" b="0"/>
            <wp:docPr id="60" name="図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1510" cy="3707765"/>
                    </a:xfrm>
                    <a:prstGeom prst="rect">
                      <a:avLst/>
                    </a:prstGeom>
                  </pic:spPr>
                </pic:pic>
              </a:graphicData>
            </a:graphic>
          </wp:inline>
        </w:drawing>
      </w:r>
    </w:p>
    <w:p w14:paraId="04EA02AA" w14:textId="64AC5484" w:rsidR="006D1297" w:rsidRPr="00293C37" w:rsidRDefault="006D1297" w:rsidP="006D1297">
      <w:pPr>
        <w:spacing w:line="360" w:lineRule="auto"/>
        <w:jc w:val="left"/>
        <w:rPr>
          <w:rFonts w:ascii="Times New Roman" w:hAnsi="Times New Roman" w:cs="Times New Roman"/>
        </w:rPr>
      </w:pPr>
      <w:r w:rsidRPr="00293C37">
        <w:rPr>
          <w:rFonts w:ascii="Times New Roman" w:hAnsi="Times New Roman" w:cs="Times New Roman"/>
          <w:b/>
        </w:rPr>
        <w:t>Fig</w:t>
      </w:r>
      <w:r w:rsidRPr="00293C37">
        <w:rPr>
          <w:rFonts w:ascii="Times New Roman" w:hAnsi="Times New Roman" w:cs="Times New Roman"/>
          <w:b/>
          <w:bCs/>
        </w:rPr>
        <w:t>.</w:t>
      </w:r>
      <w:r w:rsidRPr="00293C37">
        <w:rPr>
          <w:rFonts w:ascii="Times New Roman" w:hAnsi="Times New Roman" w:cs="Times New Roman"/>
          <w:b/>
        </w:rPr>
        <w:t xml:space="preserve"> S5. Evaluation of intracellular </w:t>
      </w:r>
      <w:proofErr w:type="spellStart"/>
      <w:r w:rsidRPr="00293C37">
        <w:rPr>
          <w:rFonts w:ascii="Times New Roman" w:hAnsi="Times New Roman" w:cs="Times New Roman"/>
          <w:b/>
        </w:rPr>
        <w:t>pH</w:t>
      </w:r>
      <w:r w:rsidRPr="00293C37">
        <w:rPr>
          <w:rFonts w:ascii="Times New Roman" w:hAnsi="Times New Roman" w:cs="Times New Roman"/>
          <w:b/>
          <w:bCs/>
        </w:rPr>
        <w:t>.</w:t>
      </w:r>
      <w:proofErr w:type="spellEnd"/>
      <w:r w:rsidRPr="00293C37">
        <w:rPr>
          <w:rFonts w:ascii="Times New Roman" w:hAnsi="Times New Roman" w:cs="Times New Roman"/>
        </w:rPr>
        <w:t xml:space="preserve"> Distributions of intracellular fluorescence intensity of pH indicator </w:t>
      </w:r>
      <w:r w:rsidRPr="00DF36CE">
        <w:rPr>
          <w:rFonts w:ascii="Times New Roman" w:hAnsi="Times New Roman" w:cs="Times New Roman"/>
          <w:b/>
          <w:bCs/>
        </w:rPr>
        <w:t>(</w:t>
      </w:r>
      <w:r w:rsidR="00B80590">
        <w:rPr>
          <w:rFonts w:ascii="Times New Roman" w:hAnsi="Times New Roman" w:cs="Times New Roman"/>
          <w:b/>
          <w:bCs/>
        </w:rPr>
        <w:t>a</w:t>
      </w:r>
      <w:r w:rsidRPr="00DF36CE">
        <w:rPr>
          <w:rFonts w:ascii="Times New Roman" w:hAnsi="Times New Roman" w:cs="Times New Roman"/>
          <w:b/>
          <w:bCs/>
        </w:rPr>
        <w:t>)</w:t>
      </w:r>
      <w:r w:rsidRPr="00293C37">
        <w:rPr>
          <w:rFonts w:ascii="Times New Roman" w:hAnsi="Times New Roman" w:cs="Times New Roman"/>
        </w:rPr>
        <w:t xml:space="preserve"> and SNARF-1 </w:t>
      </w:r>
      <w:r w:rsidRPr="00DF36CE">
        <w:rPr>
          <w:rFonts w:ascii="Times New Roman" w:hAnsi="Times New Roman" w:cs="Times New Roman"/>
          <w:b/>
          <w:bCs/>
        </w:rPr>
        <w:t>(</w:t>
      </w:r>
      <w:r w:rsidR="00B80590">
        <w:rPr>
          <w:rFonts w:ascii="Times New Roman" w:hAnsi="Times New Roman" w:cs="Times New Roman"/>
          <w:b/>
          <w:bCs/>
        </w:rPr>
        <w:t>c</w:t>
      </w:r>
      <w:r w:rsidRPr="00DF36CE">
        <w:rPr>
          <w:rFonts w:ascii="Times New Roman" w:hAnsi="Times New Roman" w:cs="Times New Roman"/>
          <w:b/>
          <w:bCs/>
        </w:rPr>
        <w:t>)</w:t>
      </w:r>
      <w:r w:rsidRPr="00293C37">
        <w:rPr>
          <w:rFonts w:ascii="Times New Roman" w:hAnsi="Times New Roman" w:cs="Times New Roman"/>
        </w:rPr>
        <w:t xml:space="preserve"> in control and inhibited embryos at step 2 at each </w:t>
      </w:r>
      <w:r w:rsidRPr="00293C37">
        <w:rPr>
          <w:rFonts w:ascii="Times New Roman" w:hAnsi="Times New Roman" w:cs="Times New Roman"/>
          <w:i/>
          <w:iCs/>
        </w:rPr>
        <w:t>θ</w:t>
      </w:r>
      <w:r w:rsidRPr="00293C37">
        <w:rPr>
          <w:rFonts w:ascii="Times New Roman" w:hAnsi="Times New Roman" w:cs="Times New Roman"/>
        </w:rPr>
        <w:t xml:space="preserve">. </w:t>
      </w:r>
      <w:r w:rsidR="00656940">
        <w:rPr>
          <w:rFonts w:ascii="Times New Roman" w:hAnsi="Times New Roman" w:cs="Times New Roman"/>
        </w:rPr>
        <w:t>P</w:t>
      </w:r>
      <w:r w:rsidRPr="00293C37">
        <w:rPr>
          <w:rFonts w:ascii="Times New Roman" w:hAnsi="Times New Roman" w:cs="Times New Roman"/>
        </w:rPr>
        <w:t xml:space="preserve">-value </w:t>
      </w:r>
      <w:r w:rsidR="00656940">
        <w:rPr>
          <w:rFonts w:ascii="Times New Roman" w:hAnsi="Times New Roman" w:cs="Times New Roman"/>
        </w:rPr>
        <w:t>d</w:t>
      </w:r>
      <w:r w:rsidR="00656940" w:rsidRPr="00293C37">
        <w:rPr>
          <w:rFonts w:ascii="Times New Roman" w:hAnsi="Times New Roman" w:cs="Times New Roman"/>
        </w:rPr>
        <w:t xml:space="preserve">istributions </w:t>
      </w:r>
      <w:r w:rsidRPr="00293C37">
        <w:rPr>
          <w:rFonts w:ascii="Times New Roman" w:hAnsi="Times New Roman" w:cs="Times New Roman"/>
        </w:rPr>
        <w:t>(-log</w:t>
      </w:r>
      <w:r w:rsidRPr="00293C37">
        <w:rPr>
          <w:rFonts w:ascii="Times New Roman" w:hAnsi="Times New Roman" w:cs="Times New Roman"/>
          <w:vertAlign w:val="subscript"/>
        </w:rPr>
        <w:t xml:space="preserve">10 </w:t>
      </w:r>
      <w:r w:rsidRPr="00293C37">
        <w:rPr>
          <w:rFonts w:ascii="Times New Roman" w:hAnsi="Times New Roman" w:cs="Times New Roman"/>
          <w:i/>
        </w:rPr>
        <w:t>p</w:t>
      </w:r>
      <w:r w:rsidRPr="00293C37">
        <w:rPr>
          <w:rFonts w:ascii="Times New Roman" w:hAnsi="Times New Roman" w:cs="Times New Roman"/>
        </w:rPr>
        <w:t xml:space="preserve">) of the intracellular intensity of pH indicator </w:t>
      </w:r>
      <w:r w:rsidRPr="00DF36CE">
        <w:rPr>
          <w:rFonts w:ascii="Times New Roman" w:hAnsi="Times New Roman" w:cs="Times New Roman"/>
          <w:b/>
          <w:bCs/>
        </w:rPr>
        <w:t>(</w:t>
      </w:r>
      <w:r w:rsidR="00B80590">
        <w:rPr>
          <w:rFonts w:ascii="Times New Roman" w:hAnsi="Times New Roman" w:cs="Times New Roman"/>
          <w:b/>
          <w:bCs/>
        </w:rPr>
        <w:t>b</w:t>
      </w:r>
      <w:r w:rsidRPr="00DF36CE">
        <w:rPr>
          <w:rFonts w:ascii="Times New Roman" w:hAnsi="Times New Roman" w:cs="Times New Roman"/>
          <w:b/>
          <w:bCs/>
        </w:rPr>
        <w:t>)</w:t>
      </w:r>
      <w:r w:rsidRPr="00293C37">
        <w:rPr>
          <w:rFonts w:ascii="Times New Roman" w:hAnsi="Times New Roman" w:cs="Times New Roman"/>
        </w:rPr>
        <w:t xml:space="preserve"> and SNARF-1 </w:t>
      </w:r>
      <w:r w:rsidRPr="00DF36CE">
        <w:rPr>
          <w:rFonts w:ascii="Times New Roman" w:hAnsi="Times New Roman" w:cs="Times New Roman"/>
          <w:b/>
          <w:bCs/>
        </w:rPr>
        <w:t>(</w:t>
      </w:r>
      <w:r w:rsidR="00B80590">
        <w:rPr>
          <w:rFonts w:ascii="Times New Roman" w:hAnsi="Times New Roman" w:cs="Times New Roman"/>
          <w:b/>
          <w:bCs/>
        </w:rPr>
        <w:t>d</w:t>
      </w:r>
      <w:r w:rsidRPr="00DF36CE">
        <w:rPr>
          <w:rFonts w:ascii="Times New Roman" w:hAnsi="Times New Roman" w:cs="Times New Roman"/>
          <w:b/>
          <w:bCs/>
        </w:rPr>
        <w:t>)</w:t>
      </w:r>
      <w:r w:rsidRPr="00293C37">
        <w:rPr>
          <w:rFonts w:ascii="Times New Roman" w:hAnsi="Times New Roman" w:cs="Times New Roman"/>
        </w:rPr>
        <w:t xml:space="preserve"> between control and inhibited embryos at each </w:t>
      </w:r>
      <w:r w:rsidRPr="00293C37">
        <w:rPr>
          <w:rFonts w:ascii="Times New Roman" w:hAnsi="Times New Roman" w:cs="Times New Roman"/>
          <w:i/>
          <w:iCs/>
        </w:rPr>
        <w:t>θ</w:t>
      </w:r>
      <w:r w:rsidRPr="00293C37">
        <w:rPr>
          <w:rFonts w:ascii="Times New Roman" w:hAnsi="Times New Roman" w:cs="Times New Roman"/>
        </w:rPr>
        <w:t xml:space="preserve"> </w:t>
      </w:r>
      <w:r w:rsidR="00656940">
        <w:rPr>
          <w:rFonts w:ascii="Times New Roman" w:hAnsi="Times New Roman" w:cs="Times New Roman"/>
        </w:rPr>
        <w:t xml:space="preserve">obtained </w:t>
      </w:r>
      <w:r w:rsidRPr="00293C37">
        <w:rPr>
          <w:rFonts w:ascii="Times New Roman" w:hAnsi="Times New Roman" w:cs="Times New Roman"/>
        </w:rPr>
        <w:t xml:space="preserve">using Welch’s t-test. The </w:t>
      </w:r>
      <w:r w:rsidR="00656940">
        <w:rPr>
          <w:rFonts w:ascii="Times New Roman" w:hAnsi="Times New Roman" w:cs="Times New Roman"/>
        </w:rPr>
        <w:t>indications</w:t>
      </w:r>
      <w:r w:rsidR="00656940" w:rsidRPr="00293C37">
        <w:rPr>
          <w:rFonts w:ascii="Times New Roman" w:hAnsi="Times New Roman" w:cs="Times New Roman"/>
        </w:rPr>
        <w:t xml:space="preserve"> </w:t>
      </w:r>
      <w:r w:rsidRPr="00293C37">
        <w:rPr>
          <w:rFonts w:ascii="Times New Roman" w:hAnsi="Times New Roman" w:cs="Times New Roman"/>
        </w:rPr>
        <w:t xml:space="preserve">of the colors and </w:t>
      </w:r>
      <w:r w:rsidRPr="00293C37">
        <w:rPr>
          <w:rFonts w:ascii="Times New Roman" w:hAnsi="Times New Roman" w:cs="Times New Roman"/>
          <w:i/>
          <w:iCs/>
        </w:rPr>
        <w:t>θ</w:t>
      </w:r>
      <w:r w:rsidRPr="00293C37">
        <w:rPr>
          <w:rFonts w:ascii="Times New Roman" w:hAnsi="Times New Roman" w:cs="Times New Roman"/>
        </w:rPr>
        <w:t xml:space="preserve"> </w:t>
      </w:r>
      <w:r w:rsidR="0084090B" w:rsidRPr="00293C37">
        <w:rPr>
          <w:rFonts w:ascii="Times New Roman" w:hAnsi="Times New Roman" w:cs="Times New Roman"/>
        </w:rPr>
        <w:t xml:space="preserve">are </w:t>
      </w:r>
      <w:r w:rsidRPr="00293C37">
        <w:rPr>
          <w:rFonts w:ascii="Times New Roman" w:hAnsi="Times New Roman" w:cs="Times New Roman"/>
        </w:rPr>
        <w:t>stated in Fig. 3.</w:t>
      </w:r>
    </w:p>
    <w:p w14:paraId="2074F446" w14:textId="77777777" w:rsidR="006D1297" w:rsidRPr="00293C37" w:rsidRDefault="006D1297" w:rsidP="006D1297">
      <w:pPr>
        <w:spacing w:line="360" w:lineRule="auto"/>
        <w:jc w:val="left"/>
        <w:rPr>
          <w:rFonts w:ascii="Times New Roman" w:hAnsi="Times New Roman" w:cs="Times New Roman"/>
        </w:rPr>
      </w:pPr>
    </w:p>
    <w:p w14:paraId="41CBE3F7" w14:textId="77777777" w:rsidR="006D1297" w:rsidRPr="00293C37" w:rsidRDefault="006D1297" w:rsidP="006D1297">
      <w:pPr>
        <w:spacing w:line="360" w:lineRule="auto"/>
        <w:jc w:val="left"/>
        <w:rPr>
          <w:rFonts w:ascii="Times New Roman" w:hAnsi="Times New Roman" w:cs="Times New Roman"/>
          <w:b/>
        </w:rPr>
      </w:pPr>
    </w:p>
    <w:p w14:paraId="45F55FF5" w14:textId="77777777" w:rsidR="006D1297" w:rsidRPr="00293C37" w:rsidRDefault="006D1297" w:rsidP="006D1297">
      <w:pPr>
        <w:spacing w:line="360" w:lineRule="auto"/>
        <w:jc w:val="left"/>
        <w:rPr>
          <w:rFonts w:ascii="Times New Roman" w:hAnsi="Times New Roman" w:cs="Times New Roman"/>
          <w:b/>
        </w:rPr>
      </w:pPr>
      <w:r w:rsidRPr="00293C37">
        <w:rPr>
          <w:rFonts w:ascii="Times New Roman" w:hAnsi="Times New Roman" w:cs="Times New Roman"/>
          <w:noProof/>
        </w:rPr>
        <w:drawing>
          <wp:inline distT="0" distB="0" distL="0" distR="0" wp14:anchorId="3528AB14" wp14:editId="7437FD6C">
            <wp:extent cx="5400040" cy="3060065"/>
            <wp:effectExtent l="0" t="0" r="0" b="635"/>
            <wp:docPr id="932" name="図 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750965" name=""/>
                    <pic:cNvPicPr/>
                  </pic:nvPicPr>
                  <pic:blipFill>
                    <a:blip r:embed="rId12"/>
                    <a:stretch>
                      <a:fillRect/>
                    </a:stretch>
                  </pic:blipFill>
                  <pic:spPr>
                    <a:xfrm>
                      <a:off x="0" y="0"/>
                      <a:ext cx="5400040" cy="3060065"/>
                    </a:xfrm>
                    <a:prstGeom prst="rect">
                      <a:avLst/>
                    </a:prstGeom>
                  </pic:spPr>
                </pic:pic>
              </a:graphicData>
            </a:graphic>
          </wp:inline>
        </w:drawing>
      </w:r>
    </w:p>
    <w:p w14:paraId="4FA09CE3" w14:textId="65416193" w:rsidR="006D1297" w:rsidRPr="00293C37" w:rsidRDefault="006D1297" w:rsidP="006D1297">
      <w:pPr>
        <w:spacing w:line="360" w:lineRule="auto"/>
        <w:jc w:val="left"/>
        <w:rPr>
          <w:rFonts w:ascii="Times New Roman" w:hAnsi="Times New Roman" w:cs="Times New Roman"/>
        </w:rPr>
      </w:pPr>
      <w:r w:rsidRPr="00293C37">
        <w:rPr>
          <w:rFonts w:ascii="Times New Roman" w:hAnsi="Times New Roman" w:cs="Times New Roman"/>
          <w:b/>
        </w:rPr>
        <w:t>Fig</w:t>
      </w:r>
      <w:r w:rsidRPr="00293C37">
        <w:rPr>
          <w:rFonts w:ascii="Times New Roman" w:hAnsi="Times New Roman" w:cs="Times New Roman"/>
          <w:b/>
          <w:bCs/>
        </w:rPr>
        <w:t>.</w:t>
      </w:r>
      <w:r w:rsidRPr="00293C37">
        <w:rPr>
          <w:rFonts w:ascii="Times New Roman" w:hAnsi="Times New Roman" w:cs="Times New Roman"/>
          <w:b/>
        </w:rPr>
        <w:t xml:space="preserve"> S6. Quantification of fluorescent images.</w:t>
      </w:r>
      <w:r w:rsidRPr="00293C37">
        <w:rPr>
          <w:rFonts w:ascii="Times New Roman" w:hAnsi="Times New Roman" w:cs="Times New Roman"/>
        </w:rPr>
        <w:t xml:space="preserve"> Workflow of the image analysis method used to evaluate intracellular fluorescence intensities and polarities (see Materials and Methods).</w:t>
      </w:r>
    </w:p>
    <w:p w14:paraId="5FAF9158" w14:textId="77777777" w:rsidR="006D1297" w:rsidRPr="00293C37" w:rsidRDefault="006D1297" w:rsidP="006D1297">
      <w:pPr>
        <w:spacing w:line="360" w:lineRule="auto"/>
        <w:jc w:val="left"/>
        <w:rPr>
          <w:rFonts w:ascii="Times New Roman" w:hAnsi="Times New Roman" w:cs="Times New Roman"/>
        </w:rPr>
      </w:pPr>
    </w:p>
    <w:p w14:paraId="6D67D7D9" w14:textId="77777777" w:rsidR="006D1297" w:rsidRPr="00293C37" w:rsidRDefault="006D1297" w:rsidP="006D1297">
      <w:pPr>
        <w:spacing w:line="360" w:lineRule="auto"/>
        <w:jc w:val="left"/>
        <w:rPr>
          <w:rFonts w:ascii="Times New Roman" w:hAnsi="Times New Roman" w:cs="Times New Roman"/>
        </w:rPr>
      </w:pPr>
    </w:p>
    <w:p w14:paraId="43D09BD7" w14:textId="77777777" w:rsidR="006D1297" w:rsidRPr="00293C37" w:rsidRDefault="006D1297" w:rsidP="006D1297">
      <w:pPr>
        <w:spacing w:line="360" w:lineRule="auto"/>
        <w:jc w:val="left"/>
        <w:rPr>
          <w:rFonts w:ascii="Times New Roman" w:hAnsi="Times New Roman" w:cs="Times New Roman"/>
        </w:rPr>
      </w:pPr>
    </w:p>
    <w:p w14:paraId="34F75242" w14:textId="77777777" w:rsidR="006D1297" w:rsidRPr="00293C37" w:rsidRDefault="006D1297" w:rsidP="006D1297">
      <w:pPr>
        <w:spacing w:line="360" w:lineRule="auto"/>
        <w:jc w:val="left"/>
        <w:rPr>
          <w:rFonts w:ascii="Times New Roman" w:hAnsi="Times New Roman" w:cs="Times New Roman"/>
        </w:rPr>
      </w:pPr>
    </w:p>
    <w:p w14:paraId="0F1B8EF0" w14:textId="77777777" w:rsidR="006D1297" w:rsidRPr="00293C37" w:rsidRDefault="006D1297" w:rsidP="006D1297">
      <w:pPr>
        <w:spacing w:line="360" w:lineRule="auto"/>
        <w:jc w:val="left"/>
        <w:rPr>
          <w:rFonts w:ascii="Times New Roman" w:hAnsi="Times New Roman" w:cs="Times New Roman"/>
        </w:rPr>
      </w:pPr>
    </w:p>
    <w:p w14:paraId="2F474250" w14:textId="77777777" w:rsidR="006D1297" w:rsidRPr="00293C37" w:rsidRDefault="006D1297" w:rsidP="006D1297">
      <w:pPr>
        <w:spacing w:line="360" w:lineRule="auto"/>
        <w:jc w:val="left"/>
        <w:rPr>
          <w:rFonts w:ascii="Times New Roman" w:hAnsi="Times New Roman" w:cs="Times New Roman"/>
        </w:rPr>
      </w:pPr>
    </w:p>
    <w:p w14:paraId="5BC7C895" w14:textId="77777777" w:rsidR="006D1297" w:rsidRPr="00293C37" w:rsidRDefault="006D1297" w:rsidP="006D1297">
      <w:pPr>
        <w:spacing w:line="360" w:lineRule="auto"/>
        <w:jc w:val="left"/>
        <w:rPr>
          <w:rFonts w:ascii="Times New Roman" w:hAnsi="Times New Roman" w:cs="Times New Roman"/>
        </w:rPr>
      </w:pPr>
    </w:p>
    <w:p w14:paraId="1A66EDF3" w14:textId="77777777" w:rsidR="006D1297" w:rsidRPr="00293C37" w:rsidRDefault="006D1297" w:rsidP="006D1297">
      <w:pPr>
        <w:spacing w:line="360" w:lineRule="auto"/>
        <w:jc w:val="left"/>
        <w:rPr>
          <w:rFonts w:ascii="Times New Roman" w:hAnsi="Times New Roman" w:cs="Times New Roman"/>
        </w:rPr>
      </w:pPr>
      <w:r w:rsidRPr="00293C37">
        <w:rPr>
          <w:rFonts w:ascii="Times New Roman" w:hAnsi="Times New Roman" w:cs="Times New Roman"/>
        </w:rPr>
        <w:t xml:space="preserve"> </w:t>
      </w:r>
      <w:r w:rsidRPr="00293C37">
        <w:rPr>
          <w:rFonts w:ascii="Times New Roman" w:hAnsi="Times New Roman" w:cs="Times New Roman"/>
          <w:noProof/>
        </w:rPr>
        <w:drawing>
          <wp:inline distT="0" distB="0" distL="0" distR="0" wp14:anchorId="23020C4D" wp14:editId="209EA763">
            <wp:extent cx="5400040" cy="2965450"/>
            <wp:effectExtent l="0" t="0" r="0" b="0"/>
            <wp:docPr id="167" name="図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339633" name=""/>
                    <pic:cNvPicPr/>
                  </pic:nvPicPr>
                  <pic:blipFill>
                    <a:blip r:embed="rId13"/>
                    <a:stretch>
                      <a:fillRect/>
                    </a:stretch>
                  </pic:blipFill>
                  <pic:spPr>
                    <a:xfrm>
                      <a:off x="0" y="0"/>
                      <a:ext cx="5400040" cy="2965450"/>
                    </a:xfrm>
                    <a:prstGeom prst="rect">
                      <a:avLst/>
                    </a:prstGeom>
                  </pic:spPr>
                </pic:pic>
              </a:graphicData>
            </a:graphic>
          </wp:inline>
        </w:drawing>
      </w:r>
    </w:p>
    <w:p w14:paraId="5097019B" w14:textId="588675D4" w:rsidR="006D1297" w:rsidRPr="00293C37" w:rsidRDefault="006D1297" w:rsidP="006D1297">
      <w:pPr>
        <w:spacing w:line="360" w:lineRule="auto"/>
        <w:jc w:val="left"/>
        <w:rPr>
          <w:rFonts w:ascii="Times New Roman" w:hAnsi="Times New Roman" w:cs="Times New Roman"/>
        </w:rPr>
      </w:pPr>
      <w:r w:rsidRPr="00293C37">
        <w:rPr>
          <w:rFonts w:ascii="Times New Roman" w:hAnsi="Times New Roman" w:cs="Times New Roman"/>
          <w:b/>
        </w:rPr>
        <w:lastRenderedPageBreak/>
        <w:t>Fig</w:t>
      </w:r>
      <w:r w:rsidRPr="00293C37">
        <w:rPr>
          <w:rFonts w:ascii="Times New Roman" w:hAnsi="Times New Roman" w:cs="Times New Roman"/>
          <w:b/>
          <w:bCs/>
        </w:rPr>
        <w:t>.</w:t>
      </w:r>
      <w:r w:rsidRPr="00293C37">
        <w:rPr>
          <w:rFonts w:ascii="Times New Roman" w:hAnsi="Times New Roman" w:cs="Times New Roman"/>
          <w:b/>
        </w:rPr>
        <w:t xml:space="preserve"> S7. Illustration of mathematical model geometry</w:t>
      </w:r>
      <w:r w:rsidRPr="00293C37">
        <w:rPr>
          <w:rFonts w:ascii="Times New Roman" w:hAnsi="Times New Roman" w:cs="Times New Roman"/>
        </w:rPr>
        <w:t xml:space="preserve"> </w:t>
      </w:r>
      <w:r w:rsidRPr="00293C37">
        <w:rPr>
          <w:rFonts w:ascii="Times New Roman" w:hAnsi="Times New Roman" w:cs="Times New Roman"/>
          <w:b/>
          <w:bCs/>
        </w:rPr>
        <w:t xml:space="preserve">for </w:t>
      </w:r>
      <w:r w:rsidRPr="00293C37">
        <w:rPr>
          <w:rFonts w:ascii="Times New Roman" w:hAnsi="Times New Roman" w:cs="Times New Roman"/>
          <w:b/>
        </w:rPr>
        <w:t>each cell and embryo consisting of 64 cells.</w:t>
      </w:r>
      <w:r w:rsidRPr="00293C37">
        <w:rPr>
          <w:rFonts w:ascii="Times New Roman" w:hAnsi="Times New Roman" w:cs="Times New Roman"/>
        </w:rPr>
        <w:t xml:space="preserve"> Each pair of particles joined by orange or magenta lines was connected by </w:t>
      </w:r>
      <w:r w:rsidRPr="00293C37">
        <w:rPr>
          <w:rFonts w:ascii="Times New Roman" w:eastAsia="游明朝" w:hAnsi="Times New Roman" w:cs="Times New Roman"/>
        </w:rPr>
        <w:t>a</w:t>
      </w:r>
      <w:r w:rsidRPr="00293C37">
        <w:rPr>
          <w:rFonts w:ascii="Times New Roman" w:hAnsi="Times New Roman" w:cs="Times New Roman"/>
        </w:rPr>
        <w:t xml:space="preserve"> spring with </w:t>
      </w:r>
      <w:r w:rsidRPr="00293C37">
        <w:rPr>
          <w:rFonts w:ascii="Times New Roman" w:eastAsia="游明朝" w:hAnsi="Times New Roman" w:cs="Times New Roman"/>
        </w:rPr>
        <w:t xml:space="preserve">a </w:t>
      </w:r>
      <w:r w:rsidRPr="00293C37">
        <w:rPr>
          <w:rFonts w:ascii="Times New Roman" w:hAnsi="Times New Roman" w:cs="Times New Roman"/>
        </w:rPr>
        <w:t>natural length equal to their diameters</w:t>
      </w:r>
      <w:r w:rsidRPr="00293C37">
        <w:rPr>
          <w:rFonts w:ascii="Times New Roman" w:eastAsia="游明朝" w:hAnsi="Times New Roman" w:cs="Times New Roman"/>
        </w:rPr>
        <w:t>.</w:t>
      </w:r>
      <w:r w:rsidRPr="00293C37">
        <w:rPr>
          <w:rFonts w:ascii="Times New Roman" w:hAnsi="Times New Roman" w:cs="Times New Roman"/>
        </w:rPr>
        <w:t xml:space="preserve"> Each loop formed by 16 particles along orange lines represent the membrane of each cell, and the elastic force of </w:t>
      </w:r>
      <w:r w:rsidRPr="00293C37">
        <w:rPr>
          <w:rFonts w:ascii="Times New Roman" w:eastAsia="游明朝" w:hAnsi="Times New Roman" w:cs="Times New Roman"/>
        </w:rPr>
        <w:t xml:space="preserve">the </w:t>
      </w:r>
      <w:r w:rsidRPr="00293C37">
        <w:rPr>
          <w:rFonts w:ascii="Times New Roman" w:hAnsi="Times New Roman" w:cs="Times New Roman"/>
        </w:rPr>
        <w:t xml:space="preserve">spring between the pair of particles connected by </w:t>
      </w:r>
      <w:r w:rsidRPr="00293C37">
        <w:rPr>
          <w:rFonts w:ascii="Times New Roman" w:eastAsia="游明朝" w:hAnsi="Times New Roman" w:cs="Times New Roman"/>
        </w:rPr>
        <w:t xml:space="preserve">the </w:t>
      </w:r>
      <w:r w:rsidRPr="00293C37">
        <w:rPr>
          <w:rFonts w:ascii="Times New Roman" w:hAnsi="Times New Roman" w:cs="Times New Roman"/>
        </w:rPr>
        <w:t>magenta line describe</w:t>
      </w:r>
      <w:r w:rsidR="0001361E" w:rsidRPr="00293C37">
        <w:rPr>
          <w:rFonts w:ascii="Times New Roman" w:hAnsi="Times New Roman" w:cs="Times New Roman"/>
        </w:rPr>
        <w:t>s</w:t>
      </w:r>
      <w:r w:rsidRPr="00293C37">
        <w:rPr>
          <w:rFonts w:ascii="Times New Roman" w:hAnsi="Times New Roman" w:cs="Times New Roman"/>
        </w:rPr>
        <w:t xml:space="preserve"> </w:t>
      </w:r>
      <w:r w:rsidRPr="00293C37">
        <w:rPr>
          <w:rFonts w:ascii="Times New Roman" w:eastAsia="游明朝" w:hAnsi="Times New Roman" w:cs="Times New Roman"/>
        </w:rPr>
        <w:t xml:space="preserve">the </w:t>
      </w:r>
      <w:r w:rsidRPr="00293C37">
        <w:rPr>
          <w:rFonts w:ascii="Times New Roman" w:hAnsi="Times New Roman" w:cs="Times New Roman"/>
        </w:rPr>
        <w:t xml:space="preserve">adhesive force between </w:t>
      </w:r>
      <w:r w:rsidRPr="00293C37">
        <w:rPr>
          <w:rFonts w:ascii="Times New Roman" w:eastAsia="游明朝" w:hAnsi="Times New Roman" w:cs="Times New Roman"/>
        </w:rPr>
        <w:t xml:space="preserve">the </w:t>
      </w:r>
      <w:r w:rsidRPr="00293C37">
        <w:rPr>
          <w:rFonts w:ascii="Times New Roman" w:hAnsi="Times New Roman" w:cs="Times New Roman"/>
        </w:rPr>
        <w:t xml:space="preserve">cells. </w:t>
      </w:r>
      <w:r w:rsidRPr="00293C37">
        <w:rPr>
          <w:rFonts w:ascii="Times New Roman" w:eastAsia="游明朝" w:hAnsi="Times New Roman" w:cs="Times New Roman"/>
        </w:rPr>
        <w:t xml:space="preserve">The </w:t>
      </w:r>
      <w:r w:rsidRPr="00293C37">
        <w:rPr>
          <w:rFonts w:ascii="Times New Roman" w:hAnsi="Times New Roman" w:cs="Times New Roman"/>
        </w:rPr>
        <w:t xml:space="preserve">cell cortical force at </w:t>
      </w:r>
      <w:r w:rsidRPr="00293C37">
        <w:rPr>
          <w:rFonts w:ascii="Times New Roman" w:eastAsia="游明朝" w:hAnsi="Times New Roman" w:cs="Times New Roman"/>
        </w:rPr>
        <w:t xml:space="preserve">the </w:t>
      </w:r>
      <w:r w:rsidRPr="00293C37">
        <w:rPr>
          <w:rFonts w:ascii="Times New Roman" w:hAnsi="Times New Roman" w:cs="Times New Roman"/>
        </w:rPr>
        <w:t xml:space="preserve">apical and basal sides of each cell was modeled by the elastic force of </w:t>
      </w:r>
      <w:r w:rsidRPr="00293C37">
        <w:rPr>
          <w:rFonts w:ascii="Times New Roman" w:eastAsia="游明朝" w:hAnsi="Times New Roman" w:cs="Times New Roman"/>
        </w:rPr>
        <w:t xml:space="preserve">the </w:t>
      </w:r>
      <w:r w:rsidRPr="00293C37">
        <w:rPr>
          <w:rFonts w:ascii="Times New Roman" w:hAnsi="Times New Roman" w:cs="Times New Roman"/>
        </w:rPr>
        <w:t xml:space="preserve">spring between each pair of particles connected by </w:t>
      </w:r>
      <w:r w:rsidRPr="00293C37">
        <w:rPr>
          <w:rFonts w:ascii="Times New Roman" w:eastAsia="游明朝" w:hAnsi="Times New Roman" w:cs="Times New Roman"/>
        </w:rPr>
        <w:t xml:space="preserve">a </w:t>
      </w:r>
      <w:r w:rsidRPr="00293C37">
        <w:rPr>
          <w:rFonts w:ascii="Times New Roman" w:hAnsi="Times New Roman" w:cs="Times New Roman"/>
        </w:rPr>
        <w:t xml:space="preserve">red line with natural length </w:t>
      </w:r>
      <m:oMath>
        <m:sSubSup>
          <m:sSubSupPr>
            <m:ctrlPr>
              <w:rPr>
                <w:rFonts w:ascii="Cambria Math" w:hAnsi="Cambria Math" w:cs="Times New Roman"/>
                <w:i/>
              </w:rPr>
            </m:ctrlPr>
          </m:sSubSupPr>
          <m:e>
            <m:r>
              <w:rPr>
                <w:rFonts w:ascii="Cambria Math" w:hAnsi="Cambria Math" w:cs="Times New Roman"/>
              </w:rPr>
              <m:t>=l</m:t>
            </m:r>
          </m:e>
          <m:sub>
            <m:r>
              <w:rPr>
                <w:rFonts w:ascii="Cambria Math" w:hAnsi="Cambria Math" w:cs="Times New Roman"/>
              </w:rPr>
              <m:t>i</m:t>
            </m:r>
          </m:sub>
          <m:sup>
            <m:r>
              <w:rPr>
                <w:rFonts w:ascii="Cambria Math" w:hAnsi="Cambria Math" w:cs="Times New Roman"/>
              </w:rPr>
              <m:t>a,fin</m:t>
            </m:r>
          </m:sup>
        </m:sSubSup>
      </m:oMath>
      <w:r w:rsidRPr="00293C37">
        <w:rPr>
          <w:rFonts w:ascii="Times New Roman" w:hAnsi="Times New Roman" w:cs="Times New Roman"/>
        </w:rPr>
        <w:t xml:space="preserve"> and </w:t>
      </w:r>
      <m:oMath>
        <m:sSubSup>
          <m:sSubSupPr>
            <m:ctrlPr>
              <w:rPr>
                <w:rFonts w:ascii="Cambria Math" w:hAnsi="Cambria Math" w:cs="Times New Roman"/>
                <w:i/>
              </w:rPr>
            </m:ctrlPr>
          </m:sSubSupPr>
          <m:e>
            <m:r>
              <w:rPr>
                <w:rFonts w:ascii="Cambria Math" w:hAnsi="Cambria Math" w:cs="Times New Roman"/>
              </w:rPr>
              <m:t>l</m:t>
            </m:r>
          </m:e>
          <m:sub>
            <m:r>
              <w:rPr>
                <w:rFonts w:ascii="Cambria Math" w:hAnsi="Cambria Math" w:cs="Times New Roman"/>
              </w:rPr>
              <m:t>i</m:t>
            </m:r>
          </m:sub>
          <m:sup>
            <m:r>
              <w:rPr>
                <w:rFonts w:ascii="Cambria Math" w:hAnsi="Cambria Math" w:cs="Times New Roman"/>
              </w:rPr>
              <m:t>b,fin</m:t>
            </m:r>
          </m:sup>
        </m:sSubSup>
      </m:oMath>
      <w:r w:rsidRPr="00293C37">
        <w:rPr>
          <w:rFonts w:ascii="Times New Roman" w:hAnsi="Times New Roman" w:cs="Times New Roman"/>
        </w:rPr>
        <w:t xml:space="preserve">, respectively. </w:t>
      </w:r>
      <w:r w:rsidRPr="00293C37">
        <w:rPr>
          <w:rFonts w:ascii="Times New Roman" w:eastAsia="游明朝" w:hAnsi="Times New Roman" w:cs="Times New Roman"/>
        </w:rPr>
        <w:t xml:space="preserve">The </w:t>
      </w:r>
      <w:r w:rsidRPr="00293C37">
        <w:rPr>
          <w:rFonts w:ascii="Times New Roman" w:hAnsi="Times New Roman" w:cs="Times New Roman"/>
        </w:rPr>
        <w:t xml:space="preserve">black point </w:t>
      </w:r>
      <w:bookmarkStart w:id="0" w:name="_Hlk79957307"/>
      <w:r w:rsidRPr="00293C37">
        <w:rPr>
          <w:rFonts w:ascii="Times New Roman" w:hAnsi="Times New Roman" w:cs="Times New Roman"/>
        </w:rPr>
        <w:t>marked “</w:t>
      </w:r>
      <m:oMath>
        <m:sSubSup>
          <m:sSubSupPr>
            <m:ctrlPr>
              <w:rPr>
                <w:rFonts w:ascii="Cambria Math" w:hAnsi="Cambria Math" w:cs="Times New Roman"/>
                <w:b/>
                <w:bCs/>
                <w:i/>
              </w:rPr>
            </m:ctrlPr>
          </m:sSubSupPr>
          <m:e>
            <m:r>
              <m:rPr>
                <m:sty m:val="bi"/>
              </m:rPr>
              <w:rPr>
                <w:rFonts w:ascii="Cambria Math" w:hAnsi="Cambria Math" w:cs="Times New Roman"/>
              </w:rPr>
              <m:t>X</m:t>
            </m:r>
          </m:e>
          <m:sub>
            <m:r>
              <m:rPr>
                <m:sty m:val="bi"/>
              </m:rPr>
              <w:rPr>
                <w:rFonts w:ascii="Cambria Math" w:hAnsi="Cambria Math" w:cs="Times New Roman"/>
              </w:rPr>
              <m:t>i</m:t>
            </m:r>
          </m:sub>
          <m:sup>
            <m:r>
              <m:rPr>
                <m:sty m:val="bi"/>
              </m:rPr>
              <w:rPr>
                <w:rFonts w:ascii="Cambria Math" w:hAnsi="Cambria Math" w:cs="Times New Roman"/>
              </w:rPr>
              <m:t>cc</m:t>
            </m:r>
          </m:sup>
        </m:sSubSup>
      </m:oMath>
      <w:r w:rsidRPr="00293C37">
        <w:rPr>
          <w:rFonts w:ascii="Times New Roman" w:hAnsi="Times New Roman" w:cs="Times New Roman"/>
          <w:b/>
          <w:bCs/>
        </w:rPr>
        <w:t xml:space="preserve">” </w:t>
      </w:r>
      <w:bookmarkEnd w:id="0"/>
      <w:r w:rsidRPr="00293C37">
        <w:rPr>
          <w:rFonts w:ascii="Times New Roman" w:hAnsi="Times New Roman" w:cs="Times New Roman"/>
        </w:rPr>
        <w:t>represent</w:t>
      </w:r>
      <w:r w:rsidR="0001361E" w:rsidRPr="00293C37">
        <w:rPr>
          <w:rFonts w:ascii="Times New Roman" w:hAnsi="Times New Roman" w:cs="Times New Roman"/>
        </w:rPr>
        <w:t>s</w:t>
      </w:r>
      <w:r w:rsidRPr="00293C37">
        <w:rPr>
          <w:rFonts w:ascii="Times New Roman" w:hAnsi="Times New Roman" w:cs="Times New Roman"/>
        </w:rPr>
        <w:t xml:space="preserve"> the position of the center of the </w:t>
      </w:r>
      <w:proofErr w:type="spellStart"/>
      <w:r w:rsidRPr="00293C37">
        <w:rPr>
          <w:rFonts w:ascii="Times New Roman" w:hAnsi="Times New Roman" w:cs="Times New Roman"/>
          <w:i/>
          <w:iCs/>
        </w:rPr>
        <w:t>i</w:t>
      </w:r>
      <w:r w:rsidRPr="00293C37">
        <w:rPr>
          <w:rFonts w:ascii="Times New Roman" w:hAnsi="Times New Roman" w:cs="Times New Roman"/>
        </w:rPr>
        <w:t>-th</w:t>
      </w:r>
      <w:proofErr w:type="spellEnd"/>
      <w:r w:rsidRPr="00293C37">
        <w:rPr>
          <w:rFonts w:ascii="Times New Roman" w:hAnsi="Times New Roman" w:cs="Times New Roman"/>
        </w:rPr>
        <w:t xml:space="preserve"> cell. </w:t>
      </w:r>
      <w:r w:rsidRPr="00293C37">
        <w:rPr>
          <w:rFonts w:ascii="Times New Roman" w:eastAsia="游明朝" w:hAnsi="Times New Roman" w:cs="Times New Roman"/>
        </w:rPr>
        <w:t xml:space="preserve">The </w:t>
      </w:r>
      <w:r w:rsidRPr="00293C37">
        <w:rPr>
          <w:rFonts w:ascii="Times New Roman" w:hAnsi="Times New Roman" w:cs="Times New Roman"/>
        </w:rPr>
        <w:t xml:space="preserve">magenta curve around the model of </w:t>
      </w:r>
      <w:r w:rsidRPr="00293C37">
        <w:rPr>
          <w:rFonts w:ascii="Times New Roman" w:eastAsia="游明朝" w:hAnsi="Times New Roman" w:cs="Times New Roman"/>
        </w:rPr>
        <w:t xml:space="preserve">the </w:t>
      </w:r>
      <w:r w:rsidRPr="00293C37">
        <w:rPr>
          <w:rFonts w:ascii="Times New Roman" w:hAnsi="Times New Roman" w:cs="Times New Roman"/>
        </w:rPr>
        <w:t xml:space="preserve">embryo starting from </w:t>
      </w:r>
      <w:r w:rsidRPr="00293C37">
        <w:rPr>
          <w:rFonts w:ascii="Times New Roman" w:eastAsia="游明朝" w:hAnsi="Times New Roman" w:cs="Times New Roman"/>
        </w:rPr>
        <w:t xml:space="preserve">the </w:t>
      </w:r>
      <w:r w:rsidRPr="00293C37">
        <w:rPr>
          <w:rFonts w:ascii="Times New Roman" w:hAnsi="Times New Roman" w:cs="Times New Roman"/>
        </w:rPr>
        <w:t xml:space="preserve">vegetal pole </w:t>
      </w:r>
      <w:r w:rsidR="0001361E" w:rsidRPr="00293C37">
        <w:rPr>
          <w:rFonts w:ascii="Times New Roman" w:hAnsi="Times New Roman" w:cs="Times New Roman"/>
        </w:rPr>
        <w:t xml:space="preserve">is </w:t>
      </w:r>
      <w:r w:rsidRPr="00293C37">
        <w:rPr>
          <w:rFonts w:ascii="Times New Roman" w:hAnsi="Times New Roman" w:cs="Times New Roman"/>
        </w:rPr>
        <w:t xml:space="preserve">the axis of </w:t>
      </w:r>
      <w:r w:rsidRPr="00293C37">
        <w:rPr>
          <w:rFonts w:ascii="Times New Roman" w:eastAsia="游明朝" w:hAnsi="Times New Roman" w:cs="Times New Roman"/>
        </w:rPr>
        <w:t xml:space="preserve">the </w:t>
      </w:r>
      <w:r w:rsidRPr="00293C37">
        <w:rPr>
          <w:rFonts w:ascii="Times New Roman" w:hAnsi="Times New Roman" w:cs="Times New Roman"/>
        </w:rPr>
        <w:t xml:space="preserve">cell index </w:t>
      </w:r>
      <w:proofErr w:type="spellStart"/>
      <w:r w:rsidRPr="00293C37">
        <w:rPr>
          <w:rFonts w:ascii="Times New Roman" w:eastAsia="游明朝" w:hAnsi="Times New Roman" w:cs="Times New Roman"/>
          <w:i/>
          <w:iCs/>
        </w:rPr>
        <w:t>i</w:t>
      </w:r>
      <w:proofErr w:type="spellEnd"/>
      <w:r w:rsidRPr="00293C37">
        <w:rPr>
          <w:rFonts w:ascii="Times New Roman" w:eastAsia="游明朝" w:hAnsi="Times New Roman" w:cs="Times New Roman"/>
        </w:rPr>
        <w:t xml:space="preserve"> = 0, 1, … 63. The </w:t>
      </w:r>
      <w:r w:rsidRPr="00293C37">
        <w:rPr>
          <w:rFonts w:ascii="Times New Roman" w:hAnsi="Times New Roman" w:cs="Times New Roman"/>
        </w:rPr>
        <w:t xml:space="preserve">black point </w:t>
      </w:r>
      <w:bookmarkStart w:id="1" w:name="_Hlk79957351"/>
      <w:r w:rsidRPr="00293C37">
        <w:rPr>
          <w:rFonts w:ascii="Times New Roman" w:hAnsi="Times New Roman" w:cs="Times New Roman"/>
        </w:rPr>
        <w:t>marked “</w:t>
      </w:r>
      <m:oMath>
        <m:sSup>
          <m:sSupPr>
            <m:ctrlPr>
              <w:rPr>
                <w:rFonts w:ascii="Cambria Math" w:hAnsi="Cambria Math" w:cs="Times New Roman"/>
                <w:b/>
                <w:bCs/>
                <w:i/>
              </w:rPr>
            </m:ctrlPr>
          </m:sSupPr>
          <m:e>
            <m:r>
              <m:rPr>
                <m:sty m:val="bi"/>
              </m:rPr>
              <w:rPr>
                <w:rFonts w:ascii="Cambria Math" w:hAnsi="Cambria Math" w:cs="Times New Roman"/>
              </w:rPr>
              <m:t>X</m:t>
            </m:r>
          </m:e>
          <m:sup>
            <m:r>
              <m:rPr>
                <m:sty m:val="bi"/>
              </m:rPr>
              <w:rPr>
                <w:rFonts w:ascii="Cambria Math" w:hAnsi="Cambria Math" w:cs="Times New Roman"/>
              </w:rPr>
              <m:t>ec</m:t>
            </m:r>
          </m:sup>
        </m:sSup>
      </m:oMath>
      <w:r w:rsidRPr="00293C37">
        <w:rPr>
          <w:rFonts w:ascii="Times New Roman" w:hAnsi="Times New Roman" w:cs="Times New Roman"/>
          <w:b/>
          <w:bCs/>
        </w:rPr>
        <w:t xml:space="preserve">” </w:t>
      </w:r>
      <w:bookmarkEnd w:id="1"/>
      <w:r w:rsidRPr="00293C37">
        <w:rPr>
          <w:rFonts w:ascii="Times New Roman" w:hAnsi="Times New Roman" w:cs="Times New Roman"/>
        </w:rPr>
        <w:t>represent</w:t>
      </w:r>
      <w:r w:rsidR="0001361E" w:rsidRPr="00293C37">
        <w:rPr>
          <w:rFonts w:ascii="Times New Roman" w:hAnsi="Times New Roman" w:cs="Times New Roman"/>
        </w:rPr>
        <w:t>s</w:t>
      </w:r>
      <w:r w:rsidRPr="00293C37">
        <w:rPr>
          <w:rFonts w:ascii="Times New Roman" w:hAnsi="Times New Roman" w:cs="Times New Roman"/>
        </w:rPr>
        <w:t xml:space="preserve"> the center of </w:t>
      </w:r>
      <w:r w:rsidRPr="00293C37">
        <w:rPr>
          <w:rFonts w:ascii="Times New Roman" w:eastAsia="游明朝" w:hAnsi="Times New Roman" w:cs="Times New Roman"/>
        </w:rPr>
        <w:t xml:space="preserve">the </w:t>
      </w:r>
      <w:r w:rsidRPr="00293C37">
        <w:rPr>
          <w:rFonts w:ascii="Times New Roman" w:hAnsi="Times New Roman" w:cs="Times New Roman"/>
        </w:rPr>
        <w:t xml:space="preserve">embryo. Red, green, </w:t>
      </w:r>
      <w:r w:rsidRPr="00293C37">
        <w:rPr>
          <w:rFonts w:ascii="Times New Roman" w:eastAsia="游明朝" w:hAnsi="Times New Roman" w:cs="Times New Roman"/>
        </w:rPr>
        <w:t xml:space="preserve">and </w:t>
      </w:r>
      <w:r w:rsidRPr="00293C37">
        <w:rPr>
          <w:rFonts w:ascii="Times New Roman" w:hAnsi="Times New Roman" w:cs="Times New Roman"/>
        </w:rPr>
        <w:t>blue cells represent pigment, wedge, and other cells, respectively</w:t>
      </w:r>
      <w:r w:rsidR="00F377B4" w:rsidRPr="00293C37">
        <w:rPr>
          <w:rFonts w:ascii="Times New Roman" w:hAnsi="Times New Roman" w:cs="Times New Roman"/>
        </w:rPr>
        <w:t>,</w:t>
      </w:r>
      <w:r w:rsidRPr="00293C37">
        <w:rPr>
          <w:rFonts w:ascii="Times New Roman" w:hAnsi="Times New Roman" w:cs="Times New Roman"/>
        </w:rPr>
        <w:t xml:space="preserve"> which show the different mechanical features during gastrulation.</w:t>
      </w:r>
    </w:p>
    <w:p w14:paraId="4BE883B8" w14:textId="6170C99B" w:rsidR="006D1297" w:rsidRPr="00293C37" w:rsidRDefault="006D1297" w:rsidP="006D1297">
      <w:pPr>
        <w:spacing w:line="360" w:lineRule="auto"/>
        <w:jc w:val="left"/>
        <w:rPr>
          <w:rFonts w:ascii="Times New Roman" w:hAnsi="Times New Roman"/>
        </w:rPr>
      </w:pPr>
      <w:r w:rsidRPr="00293C37">
        <w:rPr>
          <w:rFonts w:ascii="Times New Roman" w:hAnsi="Times New Roman" w:cs="Times New Roman"/>
        </w:rPr>
        <w:br w:type="page"/>
      </w:r>
      <w:r w:rsidRPr="00293C37">
        <w:rPr>
          <w:rFonts w:ascii="Times New Roman" w:hAnsi="Times New Roman"/>
          <w:b/>
        </w:rPr>
        <w:lastRenderedPageBreak/>
        <w:t>Table S1. Primers used for cDNA isolation</w:t>
      </w:r>
    </w:p>
    <w:tbl>
      <w:tblPr>
        <w:tblStyle w:val="ad"/>
        <w:tblW w:w="9923" w:type="dxa"/>
        <w:tblInd w:w="-289" w:type="dxa"/>
        <w:tblLook w:val="04A0" w:firstRow="1" w:lastRow="0" w:firstColumn="1" w:lastColumn="0" w:noHBand="0" w:noVBand="1"/>
      </w:tblPr>
      <w:tblGrid>
        <w:gridCol w:w="1702"/>
        <w:gridCol w:w="4480"/>
        <w:gridCol w:w="3741"/>
      </w:tblGrid>
      <w:tr w:rsidR="00364B6A" w:rsidRPr="0075525C" w14:paraId="185F3440" w14:textId="77777777" w:rsidTr="00364B6A">
        <w:trPr>
          <w:trHeight w:val="503"/>
        </w:trPr>
        <w:tc>
          <w:tcPr>
            <w:tcW w:w="1702" w:type="dxa"/>
            <w:tcBorders>
              <w:top w:val="single" w:sz="12" w:space="0" w:color="auto"/>
              <w:left w:val="nil"/>
              <w:bottom w:val="single" w:sz="12" w:space="0" w:color="auto"/>
              <w:right w:val="nil"/>
            </w:tcBorders>
            <w:noWrap/>
            <w:vAlign w:val="center"/>
            <w:hideMark/>
          </w:tcPr>
          <w:p w14:paraId="71273011" w14:textId="77777777" w:rsidR="0075525C" w:rsidRPr="009A7572" w:rsidRDefault="0075525C" w:rsidP="009A7572">
            <w:pPr>
              <w:rPr>
                <w:rFonts w:ascii="Arial" w:hAnsi="Arial" w:cs="Arial"/>
                <w:sz w:val="18"/>
                <w:szCs w:val="18"/>
              </w:rPr>
            </w:pPr>
            <w:r w:rsidRPr="009A7572">
              <w:rPr>
                <w:rFonts w:ascii="Arial" w:hAnsi="Arial" w:cs="Arial"/>
                <w:sz w:val="18"/>
                <w:szCs w:val="18"/>
              </w:rPr>
              <w:t>Name</w:t>
            </w:r>
          </w:p>
        </w:tc>
        <w:tc>
          <w:tcPr>
            <w:tcW w:w="4480" w:type="dxa"/>
            <w:tcBorders>
              <w:top w:val="single" w:sz="12" w:space="0" w:color="auto"/>
              <w:left w:val="nil"/>
              <w:bottom w:val="single" w:sz="12" w:space="0" w:color="auto"/>
              <w:right w:val="nil"/>
            </w:tcBorders>
            <w:noWrap/>
            <w:vAlign w:val="center"/>
            <w:hideMark/>
          </w:tcPr>
          <w:p w14:paraId="076BF809" w14:textId="77777777" w:rsidR="0075525C" w:rsidRPr="009A7572" w:rsidRDefault="0075525C" w:rsidP="009A7572">
            <w:pPr>
              <w:rPr>
                <w:rFonts w:ascii="Arial" w:hAnsi="Arial" w:cs="Arial"/>
                <w:sz w:val="18"/>
                <w:szCs w:val="18"/>
              </w:rPr>
            </w:pPr>
            <w:r w:rsidRPr="009A7572">
              <w:rPr>
                <w:rFonts w:ascii="Arial" w:hAnsi="Arial" w:cs="Arial"/>
                <w:sz w:val="18"/>
                <w:szCs w:val="18"/>
              </w:rPr>
              <w:t>Forward primer sequence (5’ to 3’)</w:t>
            </w:r>
          </w:p>
        </w:tc>
        <w:tc>
          <w:tcPr>
            <w:tcW w:w="3741" w:type="dxa"/>
            <w:tcBorders>
              <w:top w:val="single" w:sz="12" w:space="0" w:color="auto"/>
              <w:left w:val="nil"/>
              <w:bottom w:val="single" w:sz="12" w:space="0" w:color="auto"/>
              <w:right w:val="nil"/>
            </w:tcBorders>
            <w:noWrap/>
            <w:vAlign w:val="center"/>
            <w:hideMark/>
          </w:tcPr>
          <w:p w14:paraId="54172E7C" w14:textId="77777777" w:rsidR="0075525C" w:rsidRPr="009A7572" w:rsidRDefault="0075525C" w:rsidP="009A7572">
            <w:pPr>
              <w:rPr>
                <w:rFonts w:ascii="Arial" w:hAnsi="Arial" w:cs="Arial"/>
                <w:sz w:val="18"/>
                <w:szCs w:val="18"/>
              </w:rPr>
            </w:pPr>
            <w:r w:rsidRPr="009A7572">
              <w:rPr>
                <w:rFonts w:ascii="Arial" w:hAnsi="Arial" w:cs="Arial"/>
                <w:sz w:val="18"/>
                <w:szCs w:val="18"/>
              </w:rPr>
              <w:t>Reverse primer sequence (5’ to 3’)</w:t>
            </w:r>
          </w:p>
        </w:tc>
      </w:tr>
      <w:tr w:rsidR="00364B6A" w:rsidRPr="0075525C" w14:paraId="728537BD" w14:textId="77777777" w:rsidTr="00364B6A">
        <w:trPr>
          <w:trHeight w:val="503"/>
        </w:trPr>
        <w:tc>
          <w:tcPr>
            <w:tcW w:w="1702" w:type="dxa"/>
            <w:tcBorders>
              <w:top w:val="single" w:sz="12" w:space="0" w:color="auto"/>
              <w:left w:val="nil"/>
              <w:right w:val="nil"/>
            </w:tcBorders>
            <w:noWrap/>
            <w:vAlign w:val="center"/>
            <w:hideMark/>
          </w:tcPr>
          <w:p w14:paraId="17642FA1" w14:textId="77777777" w:rsidR="0075525C" w:rsidRPr="009A7572" w:rsidRDefault="0075525C" w:rsidP="009A7572">
            <w:pPr>
              <w:rPr>
                <w:rFonts w:ascii="Arial" w:hAnsi="Arial" w:cs="Arial"/>
                <w:sz w:val="18"/>
                <w:szCs w:val="18"/>
              </w:rPr>
            </w:pPr>
            <w:r w:rsidRPr="009A7572">
              <w:rPr>
                <w:rFonts w:ascii="Arial" w:hAnsi="Arial" w:cs="Arial"/>
                <w:sz w:val="18"/>
                <w:szCs w:val="18"/>
              </w:rPr>
              <w:t>Actinin-GFP</w:t>
            </w:r>
          </w:p>
        </w:tc>
        <w:tc>
          <w:tcPr>
            <w:tcW w:w="4480" w:type="dxa"/>
            <w:tcBorders>
              <w:top w:val="single" w:sz="12" w:space="0" w:color="auto"/>
              <w:left w:val="nil"/>
              <w:right w:val="nil"/>
            </w:tcBorders>
            <w:noWrap/>
            <w:vAlign w:val="center"/>
            <w:hideMark/>
          </w:tcPr>
          <w:p w14:paraId="7983E5B0" w14:textId="79577C84" w:rsidR="0075525C" w:rsidRPr="009A7572" w:rsidRDefault="0075525C" w:rsidP="009A7572">
            <w:pPr>
              <w:rPr>
                <w:rFonts w:ascii="Arial Narrow" w:hAnsi="Arial Narrow" w:cs="Arial"/>
                <w:sz w:val="18"/>
                <w:szCs w:val="18"/>
              </w:rPr>
            </w:pPr>
            <w:r w:rsidRPr="009A7572">
              <w:rPr>
                <w:rFonts w:ascii="Arial Narrow" w:hAnsi="Arial Narrow" w:cs="Arial"/>
                <w:sz w:val="18"/>
                <w:szCs w:val="18"/>
              </w:rPr>
              <w:t>CTAGGTACCAAGATCGCCACCATGGCGTACTATGGCAATC</w:t>
            </w:r>
          </w:p>
        </w:tc>
        <w:tc>
          <w:tcPr>
            <w:tcW w:w="3741" w:type="dxa"/>
            <w:tcBorders>
              <w:top w:val="single" w:sz="12" w:space="0" w:color="auto"/>
              <w:left w:val="nil"/>
              <w:right w:val="nil"/>
            </w:tcBorders>
            <w:noWrap/>
            <w:vAlign w:val="center"/>
            <w:hideMark/>
          </w:tcPr>
          <w:p w14:paraId="540F859A" w14:textId="2C50C47F" w:rsidR="0075525C" w:rsidRPr="009A7572" w:rsidRDefault="0075525C" w:rsidP="009A7572">
            <w:pPr>
              <w:rPr>
                <w:rFonts w:ascii="Arial Narrow" w:hAnsi="Arial Narrow" w:cs="Arial"/>
                <w:sz w:val="18"/>
                <w:szCs w:val="18"/>
              </w:rPr>
            </w:pPr>
            <w:r w:rsidRPr="009A7572">
              <w:rPr>
                <w:rFonts w:ascii="Arial Narrow" w:hAnsi="Arial Narrow" w:cs="Arial"/>
                <w:sz w:val="18"/>
                <w:szCs w:val="18"/>
              </w:rPr>
              <w:t>GCCGCCACTAGAATTGCAAGCTCACTCTGGCCG</w:t>
            </w:r>
          </w:p>
        </w:tc>
      </w:tr>
      <w:tr w:rsidR="00364B6A" w:rsidRPr="0075525C" w14:paraId="61F33AFB" w14:textId="77777777" w:rsidTr="00364B6A">
        <w:trPr>
          <w:trHeight w:val="503"/>
        </w:trPr>
        <w:tc>
          <w:tcPr>
            <w:tcW w:w="1702" w:type="dxa"/>
            <w:tcBorders>
              <w:left w:val="nil"/>
              <w:bottom w:val="single" w:sz="12" w:space="0" w:color="auto"/>
              <w:right w:val="nil"/>
            </w:tcBorders>
            <w:noWrap/>
            <w:vAlign w:val="center"/>
            <w:hideMark/>
          </w:tcPr>
          <w:p w14:paraId="7BB842D8" w14:textId="77777777" w:rsidR="0075525C" w:rsidRPr="009A7572" w:rsidRDefault="0075525C" w:rsidP="009A7572">
            <w:pPr>
              <w:rPr>
                <w:rFonts w:ascii="Arial" w:hAnsi="Arial" w:cs="Arial"/>
                <w:sz w:val="18"/>
                <w:szCs w:val="18"/>
              </w:rPr>
            </w:pPr>
            <w:r w:rsidRPr="009A7572">
              <w:rPr>
                <w:rFonts w:ascii="Arial" w:hAnsi="Arial" w:cs="Arial"/>
                <w:sz w:val="18"/>
                <w:szCs w:val="18"/>
              </w:rPr>
              <w:t>Fibropellin-1-GFP</w:t>
            </w:r>
          </w:p>
        </w:tc>
        <w:tc>
          <w:tcPr>
            <w:tcW w:w="4480" w:type="dxa"/>
            <w:tcBorders>
              <w:left w:val="nil"/>
              <w:bottom w:val="single" w:sz="12" w:space="0" w:color="auto"/>
              <w:right w:val="nil"/>
            </w:tcBorders>
            <w:noWrap/>
            <w:vAlign w:val="center"/>
            <w:hideMark/>
          </w:tcPr>
          <w:p w14:paraId="66E95BF7" w14:textId="318F0F62" w:rsidR="0075525C" w:rsidRPr="009A7572" w:rsidRDefault="0075525C" w:rsidP="009A7572">
            <w:pPr>
              <w:rPr>
                <w:rFonts w:ascii="Arial Narrow" w:hAnsi="Arial Narrow" w:cs="Arial"/>
                <w:sz w:val="18"/>
                <w:szCs w:val="18"/>
              </w:rPr>
            </w:pPr>
            <w:r w:rsidRPr="009A7572">
              <w:rPr>
                <w:rFonts w:ascii="Arial Narrow" w:hAnsi="Arial Narrow" w:cs="Arial"/>
                <w:sz w:val="18"/>
                <w:szCs w:val="18"/>
              </w:rPr>
              <w:t>CTAGGTACCAAGATCGCCACCATGAGGACGTGGTTACTAGC</w:t>
            </w:r>
          </w:p>
        </w:tc>
        <w:tc>
          <w:tcPr>
            <w:tcW w:w="3741" w:type="dxa"/>
            <w:tcBorders>
              <w:left w:val="nil"/>
              <w:bottom w:val="single" w:sz="12" w:space="0" w:color="auto"/>
              <w:right w:val="nil"/>
            </w:tcBorders>
            <w:noWrap/>
            <w:vAlign w:val="center"/>
            <w:hideMark/>
          </w:tcPr>
          <w:p w14:paraId="217A0A8B" w14:textId="584DF4DF" w:rsidR="0075525C" w:rsidRPr="009A7572" w:rsidRDefault="0075525C" w:rsidP="009A7572">
            <w:pPr>
              <w:rPr>
                <w:rFonts w:ascii="Arial Narrow" w:hAnsi="Arial Narrow" w:cs="Arial"/>
                <w:sz w:val="18"/>
                <w:szCs w:val="18"/>
              </w:rPr>
            </w:pPr>
            <w:r w:rsidRPr="009A7572">
              <w:rPr>
                <w:rFonts w:ascii="Arial Narrow" w:hAnsi="Arial Narrow" w:cs="Arial"/>
                <w:sz w:val="18"/>
                <w:szCs w:val="18"/>
              </w:rPr>
              <w:t>GCCGCCACTAGAATTGCTGCATCAGGCTGAGGTG</w:t>
            </w:r>
          </w:p>
        </w:tc>
      </w:tr>
    </w:tbl>
    <w:p w14:paraId="1984F587" w14:textId="1CCC0A7F" w:rsidR="0075525C" w:rsidRPr="0075525C" w:rsidRDefault="0075525C" w:rsidP="006D1297">
      <w:pPr>
        <w:spacing w:line="360" w:lineRule="auto"/>
        <w:jc w:val="left"/>
        <w:rPr>
          <w:rFonts w:ascii="Times New Roman" w:hAnsi="Times New Roman"/>
        </w:rPr>
      </w:pPr>
    </w:p>
    <w:p w14:paraId="5ABB646E" w14:textId="77777777" w:rsidR="0075525C" w:rsidRPr="00293C37" w:rsidRDefault="0075525C" w:rsidP="006D1297">
      <w:pPr>
        <w:spacing w:line="360" w:lineRule="auto"/>
        <w:jc w:val="left"/>
        <w:rPr>
          <w:rFonts w:ascii="Times New Roman" w:hAnsi="Times New Roman"/>
        </w:rPr>
      </w:pPr>
    </w:p>
    <w:p w14:paraId="16D34972" w14:textId="4323D6E7" w:rsidR="006D1297" w:rsidRPr="00293C37" w:rsidRDefault="006D1297" w:rsidP="006D1297">
      <w:pPr>
        <w:spacing w:line="360" w:lineRule="auto"/>
        <w:jc w:val="left"/>
        <w:rPr>
          <w:rFonts w:ascii="Times New Roman" w:hAnsi="Times New Roman"/>
        </w:rPr>
      </w:pPr>
      <w:r w:rsidRPr="00293C37">
        <w:rPr>
          <w:rFonts w:ascii="Times New Roman" w:hAnsi="Times New Roman"/>
          <w:b/>
        </w:rPr>
        <w:t xml:space="preserve">Table S2. Oligonucleotides used in </w:t>
      </w:r>
      <w:r w:rsidRPr="00293C37">
        <w:rPr>
          <w:rFonts w:ascii="Times New Roman" w:hAnsi="Times New Roman" w:cs="Times New Roman"/>
          <w:b/>
          <w:bCs/>
        </w:rPr>
        <w:t xml:space="preserve">the </w:t>
      </w:r>
      <w:r w:rsidRPr="00293C37">
        <w:rPr>
          <w:rFonts w:ascii="Times New Roman" w:hAnsi="Times New Roman"/>
          <w:b/>
        </w:rPr>
        <w:t xml:space="preserve">PCR assembly of </w:t>
      </w:r>
      <w:r w:rsidRPr="00293C37">
        <w:rPr>
          <w:rFonts w:ascii="Times New Roman" w:hAnsi="Times New Roman" w:cs="Times New Roman"/>
          <w:b/>
          <w:bCs/>
        </w:rPr>
        <w:t xml:space="preserve">the </w:t>
      </w:r>
      <w:r w:rsidRPr="00293C37">
        <w:rPr>
          <w:rFonts w:ascii="Times New Roman" w:hAnsi="Times New Roman"/>
          <w:b/>
        </w:rPr>
        <w:t>sgRNA template</w:t>
      </w:r>
    </w:p>
    <w:tbl>
      <w:tblPr>
        <w:tblStyle w:val="ad"/>
        <w:tblW w:w="0" w:type="auto"/>
        <w:tblLook w:val="04A0" w:firstRow="1" w:lastRow="0" w:firstColumn="1" w:lastColumn="0" w:noHBand="0" w:noVBand="1"/>
      </w:tblPr>
      <w:tblGrid>
        <w:gridCol w:w="1696"/>
        <w:gridCol w:w="7320"/>
      </w:tblGrid>
      <w:tr w:rsidR="0075525C" w:rsidRPr="0075525C" w14:paraId="76C66947" w14:textId="77777777" w:rsidTr="009A7572">
        <w:trPr>
          <w:trHeight w:val="503"/>
        </w:trPr>
        <w:tc>
          <w:tcPr>
            <w:tcW w:w="1696" w:type="dxa"/>
            <w:tcBorders>
              <w:top w:val="single" w:sz="12" w:space="0" w:color="auto"/>
              <w:left w:val="nil"/>
              <w:bottom w:val="single" w:sz="12" w:space="0" w:color="auto"/>
              <w:right w:val="nil"/>
            </w:tcBorders>
            <w:noWrap/>
            <w:vAlign w:val="center"/>
            <w:hideMark/>
          </w:tcPr>
          <w:p w14:paraId="5C1F6538" w14:textId="77777777" w:rsidR="0075525C" w:rsidRPr="009A7572" w:rsidRDefault="0075525C" w:rsidP="009A7572">
            <w:pPr>
              <w:rPr>
                <w:rFonts w:ascii="Arial" w:hAnsi="Arial" w:cs="Arial"/>
                <w:sz w:val="18"/>
                <w:szCs w:val="18"/>
              </w:rPr>
            </w:pPr>
            <w:r w:rsidRPr="009A7572">
              <w:rPr>
                <w:rFonts w:ascii="Arial" w:hAnsi="Arial" w:cs="Arial"/>
                <w:sz w:val="18"/>
                <w:szCs w:val="18"/>
              </w:rPr>
              <w:t>Name</w:t>
            </w:r>
          </w:p>
        </w:tc>
        <w:tc>
          <w:tcPr>
            <w:tcW w:w="7320" w:type="dxa"/>
            <w:tcBorders>
              <w:top w:val="single" w:sz="12" w:space="0" w:color="auto"/>
              <w:left w:val="nil"/>
              <w:bottom w:val="single" w:sz="12" w:space="0" w:color="auto"/>
              <w:right w:val="nil"/>
            </w:tcBorders>
            <w:noWrap/>
            <w:vAlign w:val="center"/>
            <w:hideMark/>
          </w:tcPr>
          <w:p w14:paraId="3B7AF2EE" w14:textId="77777777" w:rsidR="0075525C" w:rsidRPr="009A7572" w:rsidRDefault="0075525C" w:rsidP="009A7572">
            <w:pPr>
              <w:rPr>
                <w:rFonts w:ascii="Arial" w:hAnsi="Arial" w:cs="Arial"/>
                <w:sz w:val="18"/>
                <w:szCs w:val="18"/>
              </w:rPr>
            </w:pPr>
            <w:r w:rsidRPr="009A7572">
              <w:rPr>
                <w:rFonts w:ascii="Arial" w:hAnsi="Arial" w:cs="Arial"/>
                <w:sz w:val="18"/>
                <w:szCs w:val="18"/>
              </w:rPr>
              <w:t>Nucleotide sequence (5’ to 3’)</w:t>
            </w:r>
          </w:p>
        </w:tc>
      </w:tr>
      <w:tr w:rsidR="0075525C" w:rsidRPr="0075525C" w14:paraId="56BA6D63" w14:textId="77777777" w:rsidTr="009A7572">
        <w:trPr>
          <w:trHeight w:val="503"/>
        </w:trPr>
        <w:tc>
          <w:tcPr>
            <w:tcW w:w="1696" w:type="dxa"/>
            <w:tcBorders>
              <w:top w:val="single" w:sz="12" w:space="0" w:color="auto"/>
              <w:left w:val="nil"/>
              <w:right w:val="nil"/>
            </w:tcBorders>
            <w:noWrap/>
            <w:vAlign w:val="center"/>
            <w:hideMark/>
          </w:tcPr>
          <w:p w14:paraId="34C1BA4F" w14:textId="77777777" w:rsidR="0075525C" w:rsidRPr="009A7572" w:rsidRDefault="0075525C" w:rsidP="009A7572">
            <w:pPr>
              <w:rPr>
                <w:rFonts w:ascii="Arial" w:hAnsi="Arial" w:cs="Arial"/>
                <w:sz w:val="18"/>
                <w:szCs w:val="18"/>
              </w:rPr>
            </w:pPr>
            <w:proofErr w:type="spellStart"/>
            <w:r w:rsidRPr="009A7572">
              <w:rPr>
                <w:rFonts w:ascii="Arial" w:hAnsi="Arial" w:cs="Arial"/>
                <w:sz w:val="18"/>
                <w:szCs w:val="18"/>
              </w:rPr>
              <w:t>RhoA</w:t>
            </w:r>
            <w:proofErr w:type="spellEnd"/>
            <w:r w:rsidRPr="009A7572">
              <w:rPr>
                <w:rFonts w:ascii="Arial" w:hAnsi="Arial" w:cs="Arial"/>
                <w:sz w:val="18"/>
                <w:szCs w:val="18"/>
              </w:rPr>
              <w:t xml:space="preserve"> knockout</w:t>
            </w:r>
          </w:p>
        </w:tc>
        <w:tc>
          <w:tcPr>
            <w:tcW w:w="7320" w:type="dxa"/>
            <w:tcBorders>
              <w:top w:val="single" w:sz="12" w:space="0" w:color="auto"/>
              <w:left w:val="nil"/>
              <w:right w:val="nil"/>
            </w:tcBorders>
            <w:noWrap/>
            <w:vAlign w:val="center"/>
            <w:hideMark/>
          </w:tcPr>
          <w:p w14:paraId="071549BC" w14:textId="77777777" w:rsidR="0075525C" w:rsidRPr="009A7572" w:rsidRDefault="0075525C" w:rsidP="009A7572">
            <w:pPr>
              <w:rPr>
                <w:rFonts w:ascii="Arial" w:hAnsi="Arial" w:cs="Arial"/>
                <w:sz w:val="18"/>
                <w:szCs w:val="18"/>
              </w:rPr>
            </w:pPr>
            <w:r w:rsidRPr="009A7572">
              <w:rPr>
                <w:rFonts w:ascii="Arial" w:hAnsi="Arial" w:cs="Arial"/>
                <w:sz w:val="18"/>
                <w:szCs w:val="18"/>
              </w:rPr>
              <w:t>GTAATACGACTCACTATAGGGAAAAAGTTGGTTATCGTGTTTTAGAGCTAGAAATAG</w:t>
            </w:r>
          </w:p>
        </w:tc>
      </w:tr>
      <w:tr w:rsidR="0075525C" w:rsidRPr="0075525C" w14:paraId="7905EAC8" w14:textId="77777777" w:rsidTr="009A7572">
        <w:trPr>
          <w:trHeight w:val="503"/>
        </w:trPr>
        <w:tc>
          <w:tcPr>
            <w:tcW w:w="1696" w:type="dxa"/>
            <w:tcBorders>
              <w:left w:val="nil"/>
              <w:bottom w:val="single" w:sz="12" w:space="0" w:color="auto"/>
              <w:right w:val="nil"/>
            </w:tcBorders>
            <w:noWrap/>
            <w:vAlign w:val="center"/>
            <w:hideMark/>
          </w:tcPr>
          <w:p w14:paraId="490362BB" w14:textId="77777777" w:rsidR="0075525C" w:rsidRPr="009A7572" w:rsidRDefault="0075525C" w:rsidP="009A7572">
            <w:pPr>
              <w:rPr>
                <w:rFonts w:ascii="Arial" w:hAnsi="Arial" w:cs="Arial"/>
                <w:sz w:val="18"/>
                <w:szCs w:val="18"/>
              </w:rPr>
            </w:pPr>
            <w:r w:rsidRPr="009A7572">
              <w:rPr>
                <w:rFonts w:ascii="Arial" w:hAnsi="Arial" w:cs="Arial"/>
                <w:sz w:val="18"/>
                <w:szCs w:val="18"/>
              </w:rPr>
              <w:t>YAP knockout</w:t>
            </w:r>
          </w:p>
        </w:tc>
        <w:tc>
          <w:tcPr>
            <w:tcW w:w="7320" w:type="dxa"/>
            <w:tcBorders>
              <w:left w:val="nil"/>
              <w:bottom w:val="single" w:sz="12" w:space="0" w:color="auto"/>
              <w:right w:val="nil"/>
            </w:tcBorders>
            <w:noWrap/>
            <w:vAlign w:val="center"/>
            <w:hideMark/>
          </w:tcPr>
          <w:p w14:paraId="21EF6BC3" w14:textId="77777777" w:rsidR="0075525C" w:rsidRPr="009A7572" w:rsidRDefault="0075525C" w:rsidP="009A7572">
            <w:pPr>
              <w:rPr>
                <w:rFonts w:ascii="Arial" w:hAnsi="Arial" w:cs="Arial"/>
                <w:sz w:val="18"/>
                <w:szCs w:val="18"/>
              </w:rPr>
            </w:pPr>
            <w:r w:rsidRPr="009A7572">
              <w:rPr>
                <w:rFonts w:ascii="Arial" w:hAnsi="Arial" w:cs="Arial"/>
                <w:sz w:val="18"/>
                <w:szCs w:val="18"/>
              </w:rPr>
              <w:t>GTAATACGACTCACTATAGGCGTAGCTTGGGTCCGCAGGTTTTAGAGCTAGAAATAG</w:t>
            </w:r>
          </w:p>
        </w:tc>
      </w:tr>
    </w:tbl>
    <w:p w14:paraId="42B55F46" w14:textId="73E8F257" w:rsidR="006D1297" w:rsidRDefault="006D1297" w:rsidP="006D1297">
      <w:pPr>
        <w:spacing w:line="360" w:lineRule="auto"/>
        <w:jc w:val="left"/>
        <w:rPr>
          <w:rFonts w:ascii="Times New Roman" w:hAnsi="Times New Roman"/>
        </w:rPr>
      </w:pPr>
    </w:p>
    <w:p w14:paraId="4AA5D8FC" w14:textId="77777777" w:rsidR="00364B6A" w:rsidRPr="0075525C" w:rsidRDefault="00364B6A" w:rsidP="006D1297">
      <w:pPr>
        <w:spacing w:line="360" w:lineRule="auto"/>
        <w:jc w:val="left"/>
        <w:rPr>
          <w:rFonts w:ascii="Times New Roman" w:hAnsi="Times New Roman"/>
        </w:rPr>
      </w:pPr>
    </w:p>
    <w:p w14:paraId="119BFF87" w14:textId="7946CC51" w:rsidR="006D1297" w:rsidRPr="00293C37" w:rsidRDefault="006D1297" w:rsidP="0075525C">
      <w:pPr>
        <w:spacing w:line="360" w:lineRule="auto"/>
        <w:jc w:val="left"/>
        <w:rPr>
          <w:rFonts w:ascii="Times New Roman" w:hAnsi="Times New Roman"/>
        </w:rPr>
      </w:pPr>
      <w:r w:rsidRPr="00293C37">
        <w:rPr>
          <w:rFonts w:ascii="Times New Roman" w:hAnsi="Times New Roman"/>
          <w:b/>
        </w:rPr>
        <w:t>Table S3. Primers used in HMA</w:t>
      </w:r>
      <w:r w:rsidRPr="00293C37">
        <w:rPr>
          <w:rFonts w:ascii="Times New Roman" w:hAnsi="Times New Roman"/>
        </w:rPr>
        <w:t xml:space="preserve"> </w:t>
      </w:r>
    </w:p>
    <w:tbl>
      <w:tblPr>
        <w:tblStyle w:val="ad"/>
        <w:tblW w:w="9209" w:type="dxa"/>
        <w:tblLook w:val="04A0" w:firstRow="1" w:lastRow="0" w:firstColumn="1" w:lastColumn="0" w:noHBand="0" w:noVBand="1"/>
      </w:tblPr>
      <w:tblGrid>
        <w:gridCol w:w="1413"/>
        <w:gridCol w:w="3969"/>
        <w:gridCol w:w="3827"/>
      </w:tblGrid>
      <w:tr w:rsidR="0075525C" w:rsidRPr="00FF0CEA" w14:paraId="2E996A9F" w14:textId="77777777" w:rsidTr="009A7572">
        <w:trPr>
          <w:trHeight w:val="527"/>
        </w:trPr>
        <w:tc>
          <w:tcPr>
            <w:tcW w:w="1413" w:type="dxa"/>
            <w:tcBorders>
              <w:top w:val="single" w:sz="12" w:space="0" w:color="auto"/>
              <w:left w:val="nil"/>
              <w:bottom w:val="single" w:sz="12" w:space="0" w:color="auto"/>
              <w:right w:val="nil"/>
            </w:tcBorders>
            <w:vAlign w:val="center"/>
            <w:hideMark/>
          </w:tcPr>
          <w:p w14:paraId="5B6ACF1C" w14:textId="77777777" w:rsidR="0075525C" w:rsidRPr="009A7572" w:rsidRDefault="0075525C" w:rsidP="006B6F74">
            <w:pPr>
              <w:rPr>
                <w:rFonts w:ascii="Arial" w:hAnsi="Arial" w:cs="Arial"/>
                <w:sz w:val="18"/>
                <w:szCs w:val="18"/>
              </w:rPr>
            </w:pPr>
            <w:r w:rsidRPr="009A7572">
              <w:rPr>
                <w:rFonts w:ascii="Arial" w:hAnsi="Arial" w:cs="Arial"/>
                <w:sz w:val="18"/>
                <w:szCs w:val="18"/>
              </w:rPr>
              <w:t>Name</w:t>
            </w:r>
          </w:p>
        </w:tc>
        <w:tc>
          <w:tcPr>
            <w:tcW w:w="3969" w:type="dxa"/>
            <w:tcBorders>
              <w:top w:val="single" w:sz="12" w:space="0" w:color="auto"/>
              <w:left w:val="nil"/>
              <w:bottom w:val="single" w:sz="12" w:space="0" w:color="auto"/>
              <w:right w:val="nil"/>
            </w:tcBorders>
            <w:noWrap/>
            <w:vAlign w:val="center"/>
            <w:hideMark/>
          </w:tcPr>
          <w:p w14:paraId="2B983CB1" w14:textId="77777777" w:rsidR="0075525C" w:rsidRPr="009A7572" w:rsidRDefault="0075525C" w:rsidP="006B6F74">
            <w:pPr>
              <w:rPr>
                <w:rFonts w:ascii="Arial" w:hAnsi="Arial" w:cs="Arial"/>
                <w:sz w:val="18"/>
                <w:szCs w:val="18"/>
              </w:rPr>
            </w:pPr>
            <w:r w:rsidRPr="009A7572">
              <w:rPr>
                <w:rFonts w:ascii="Arial" w:hAnsi="Arial" w:cs="Arial"/>
                <w:sz w:val="18"/>
                <w:szCs w:val="18"/>
              </w:rPr>
              <w:t>Forward primer sequence (5’ to 3’)</w:t>
            </w:r>
          </w:p>
        </w:tc>
        <w:tc>
          <w:tcPr>
            <w:tcW w:w="3827" w:type="dxa"/>
            <w:tcBorders>
              <w:top w:val="single" w:sz="12" w:space="0" w:color="auto"/>
              <w:left w:val="nil"/>
              <w:bottom w:val="single" w:sz="12" w:space="0" w:color="auto"/>
              <w:right w:val="nil"/>
            </w:tcBorders>
            <w:noWrap/>
            <w:vAlign w:val="center"/>
            <w:hideMark/>
          </w:tcPr>
          <w:p w14:paraId="0A5D0BC6" w14:textId="77777777" w:rsidR="0075525C" w:rsidRPr="009A7572" w:rsidRDefault="0075525C" w:rsidP="006B6F74">
            <w:pPr>
              <w:rPr>
                <w:rFonts w:ascii="Arial" w:hAnsi="Arial" w:cs="Arial"/>
                <w:sz w:val="18"/>
                <w:szCs w:val="18"/>
              </w:rPr>
            </w:pPr>
            <w:r w:rsidRPr="009A7572">
              <w:rPr>
                <w:rFonts w:ascii="Arial" w:hAnsi="Arial" w:cs="Arial"/>
                <w:sz w:val="18"/>
                <w:szCs w:val="18"/>
              </w:rPr>
              <w:t>Reverse primer sequence (5’ to 3’)</w:t>
            </w:r>
          </w:p>
        </w:tc>
      </w:tr>
      <w:tr w:rsidR="0075525C" w:rsidRPr="00FF0CEA" w14:paraId="59EF5AC0" w14:textId="77777777" w:rsidTr="009A7572">
        <w:trPr>
          <w:trHeight w:val="527"/>
        </w:trPr>
        <w:tc>
          <w:tcPr>
            <w:tcW w:w="1413" w:type="dxa"/>
            <w:tcBorders>
              <w:top w:val="single" w:sz="12" w:space="0" w:color="auto"/>
              <w:left w:val="nil"/>
              <w:right w:val="nil"/>
            </w:tcBorders>
            <w:vAlign w:val="center"/>
            <w:hideMark/>
          </w:tcPr>
          <w:p w14:paraId="4E9C185F" w14:textId="77777777" w:rsidR="0075525C" w:rsidRPr="009A7572" w:rsidRDefault="0075525C" w:rsidP="006B6F74">
            <w:pPr>
              <w:rPr>
                <w:rFonts w:ascii="Arial" w:hAnsi="Arial" w:cs="Arial"/>
                <w:sz w:val="18"/>
                <w:szCs w:val="18"/>
              </w:rPr>
            </w:pPr>
            <w:proofErr w:type="spellStart"/>
            <w:r w:rsidRPr="009A7572">
              <w:rPr>
                <w:rFonts w:ascii="Arial" w:hAnsi="Arial" w:cs="Arial"/>
                <w:sz w:val="18"/>
                <w:szCs w:val="18"/>
              </w:rPr>
              <w:t>RhoA_HMA</w:t>
            </w:r>
            <w:proofErr w:type="spellEnd"/>
          </w:p>
        </w:tc>
        <w:tc>
          <w:tcPr>
            <w:tcW w:w="3969" w:type="dxa"/>
            <w:tcBorders>
              <w:top w:val="single" w:sz="12" w:space="0" w:color="auto"/>
              <w:left w:val="nil"/>
              <w:right w:val="nil"/>
            </w:tcBorders>
            <w:noWrap/>
            <w:vAlign w:val="center"/>
            <w:hideMark/>
          </w:tcPr>
          <w:p w14:paraId="555FE0B5" w14:textId="41B7F9C9" w:rsidR="0075525C" w:rsidRPr="009A7572" w:rsidRDefault="0075525C" w:rsidP="006B6F74">
            <w:pPr>
              <w:rPr>
                <w:rFonts w:ascii="Arial" w:hAnsi="Arial" w:cs="Arial"/>
                <w:sz w:val="18"/>
                <w:szCs w:val="18"/>
              </w:rPr>
            </w:pPr>
            <w:r w:rsidRPr="009A7572">
              <w:rPr>
                <w:rFonts w:ascii="Arial" w:hAnsi="Arial" w:cs="Arial"/>
                <w:sz w:val="18"/>
                <w:szCs w:val="18"/>
              </w:rPr>
              <w:t>GGGCATGTGTATTTCCTACAAACGGC</w:t>
            </w:r>
          </w:p>
        </w:tc>
        <w:tc>
          <w:tcPr>
            <w:tcW w:w="3827" w:type="dxa"/>
            <w:tcBorders>
              <w:top w:val="single" w:sz="12" w:space="0" w:color="auto"/>
              <w:left w:val="nil"/>
              <w:right w:val="nil"/>
            </w:tcBorders>
            <w:noWrap/>
            <w:vAlign w:val="center"/>
            <w:hideMark/>
          </w:tcPr>
          <w:p w14:paraId="5A3C64AE" w14:textId="49F667A4" w:rsidR="0075525C" w:rsidRPr="009A7572" w:rsidRDefault="0075525C" w:rsidP="006B6F74">
            <w:pPr>
              <w:rPr>
                <w:rFonts w:ascii="Arial" w:hAnsi="Arial" w:cs="Arial"/>
                <w:sz w:val="18"/>
                <w:szCs w:val="18"/>
              </w:rPr>
            </w:pPr>
            <w:r w:rsidRPr="009A7572">
              <w:rPr>
                <w:rFonts w:ascii="Arial" w:hAnsi="Arial" w:cs="Arial"/>
                <w:sz w:val="18"/>
                <w:szCs w:val="18"/>
              </w:rPr>
              <w:t>CCTGTTTACCGTCTACTTCTATATCAGC</w:t>
            </w:r>
          </w:p>
        </w:tc>
      </w:tr>
      <w:tr w:rsidR="0075525C" w:rsidRPr="00FF0CEA" w14:paraId="117534E1" w14:textId="77777777" w:rsidTr="009A7572">
        <w:trPr>
          <w:trHeight w:val="527"/>
        </w:trPr>
        <w:tc>
          <w:tcPr>
            <w:tcW w:w="1413" w:type="dxa"/>
            <w:tcBorders>
              <w:left w:val="nil"/>
              <w:bottom w:val="single" w:sz="12" w:space="0" w:color="auto"/>
              <w:right w:val="nil"/>
            </w:tcBorders>
            <w:vAlign w:val="center"/>
            <w:hideMark/>
          </w:tcPr>
          <w:p w14:paraId="4E795509" w14:textId="77777777" w:rsidR="0075525C" w:rsidRPr="009A7572" w:rsidRDefault="0075525C" w:rsidP="006B6F74">
            <w:pPr>
              <w:rPr>
                <w:rFonts w:ascii="Arial" w:hAnsi="Arial" w:cs="Arial"/>
                <w:sz w:val="18"/>
                <w:szCs w:val="18"/>
              </w:rPr>
            </w:pPr>
            <w:r w:rsidRPr="009A7572">
              <w:rPr>
                <w:rFonts w:ascii="Arial" w:hAnsi="Arial" w:cs="Arial"/>
                <w:sz w:val="18"/>
                <w:szCs w:val="18"/>
              </w:rPr>
              <w:t>YAP_HMA</w:t>
            </w:r>
          </w:p>
        </w:tc>
        <w:tc>
          <w:tcPr>
            <w:tcW w:w="3969" w:type="dxa"/>
            <w:tcBorders>
              <w:left w:val="nil"/>
              <w:bottom w:val="single" w:sz="12" w:space="0" w:color="auto"/>
              <w:right w:val="nil"/>
            </w:tcBorders>
            <w:noWrap/>
            <w:vAlign w:val="center"/>
            <w:hideMark/>
          </w:tcPr>
          <w:p w14:paraId="1FC01995" w14:textId="0CF2CD55" w:rsidR="0075525C" w:rsidRPr="009A7572" w:rsidRDefault="0075525C" w:rsidP="006B6F74">
            <w:pPr>
              <w:rPr>
                <w:rFonts w:ascii="Arial" w:hAnsi="Arial" w:cs="Arial"/>
                <w:sz w:val="18"/>
                <w:szCs w:val="18"/>
              </w:rPr>
            </w:pPr>
            <w:r w:rsidRPr="009A7572">
              <w:rPr>
                <w:rFonts w:ascii="Arial" w:hAnsi="Arial" w:cs="Arial"/>
                <w:sz w:val="18"/>
                <w:szCs w:val="18"/>
              </w:rPr>
              <w:t>AATAAGCCATTCGAGGGAGTCGAGCGCAG</w:t>
            </w:r>
          </w:p>
        </w:tc>
        <w:tc>
          <w:tcPr>
            <w:tcW w:w="3827" w:type="dxa"/>
            <w:tcBorders>
              <w:left w:val="nil"/>
              <w:bottom w:val="single" w:sz="12" w:space="0" w:color="auto"/>
              <w:right w:val="nil"/>
            </w:tcBorders>
            <w:noWrap/>
            <w:vAlign w:val="center"/>
            <w:hideMark/>
          </w:tcPr>
          <w:p w14:paraId="27A21E68" w14:textId="59BBE5AF" w:rsidR="0075525C" w:rsidRPr="009A7572" w:rsidRDefault="0075525C" w:rsidP="006B6F74">
            <w:pPr>
              <w:rPr>
                <w:rFonts w:ascii="Arial" w:hAnsi="Arial" w:cs="Arial"/>
                <w:sz w:val="18"/>
                <w:szCs w:val="18"/>
              </w:rPr>
            </w:pPr>
            <w:r w:rsidRPr="009A7572">
              <w:rPr>
                <w:rFonts w:ascii="Arial" w:hAnsi="Arial" w:cs="Arial"/>
                <w:sz w:val="18"/>
                <w:szCs w:val="18"/>
              </w:rPr>
              <w:t>TCGTAGCTCTGTTGACGAAGATGCTGATT</w:t>
            </w:r>
          </w:p>
        </w:tc>
      </w:tr>
    </w:tbl>
    <w:p w14:paraId="7BDF8D5D" w14:textId="77777777" w:rsidR="005B62DA" w:rsidRPr="00FF0CEA" w:rsidRDefault="005B62DA">
      <w:pPr>
        <w:rPr>
          <w:rFonts w:ascii="Times New Roman" w:hAnsi="Times New Roman" w:cs="Times New Roman"/>
        </w:rPr>
      </w:pPr>
    </w:p>
    <w:sectPr w:rsidR="005B62DA" w:rsidRPr="00FF0CEA">
      <w:headerReference w:type="even" r:id="rId14"/>
      <w:headerReference w:type="default" r:id="rId15"/>
      <w:footerReference w:type="even" r:id="rId16"/>
      <w:footerReference w:type="default" r:id="rId17"/>
      <w:headerReference w:type="first" r:id="rId18"/>
      <w:footerReference w:type="firs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34A9E4" w14:textId="77777777" w:rsidR="00A64946" w:rsidRDefault="00A64946" w:rsidP="00293C37">
      <w:r>
        <w:separator/>
      </w:r>
    </w:p>
  </w:endnote>
  <w:endnote w:type="continuationSeparator" w:id="0">
    <w:p w14:paraId="0EA3FF59" w14:textId="77777777" w:rsidR="00A64946" w:rsidRDefault="00A64946" w:rsidP="00293C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100B25" w14:textId="77777777" w:rsidR="00293C37" w:rsidRDefault="00293C37">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F14812" w14:textId="77777777" w:rsidR="00293C37" w:rsidRPr="00293C37" w:rsidRDefault="00293C37">
    <w:pPr>
      <w:pStyle w:val="a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2B527F" w14:textId="77777777" w:rsidR="00293C37" w:rsidRPr="00293C37" w:rsidRDefault="00293C37">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4ED768" w14:textId="77777777" w:rsidR="00A64946" w:rsidRDefault="00A64946" w:rsidP="00293C37">
      <w:r>
        <w:separator/>
      </w:r>
    </w:p>
  </w:footnote>
  <w:footnote w:type="continuationSeparator" w:id="0">
    <w:p w14:paraId="7D891C70" w14:textId="77777777" w:rsidR="00A64946" w:rsidRDefault="00A64946" w:rsidP="00293C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FB480A" w14:textId="77777777" w:rsidR="00293C37" w:rsidRDefault="00293C37">
    <w:pPr>
      <w:pStyle w:val="a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952374" w14:textId="77777777" w:rsidR="00293C37" w:rsidRPr="00293C37" w:rsidRDefault="00293C37">
    <w:pPr>
      <w:pStyle w:val="a9"/>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A13938" w14:textId="77777777" w:rsidR="00293C37" w:rsidRPr="00293C37" w:rsidRDefault="00293C37">
    <w:pPr>
      <w:pStyle w:val="a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removeDateAndTime/>
  <w:bordersDoNotSurroundHeader/>
  <w:bordersDoNotSurroundFooter/>
  <w:hideSpellingErrors/>
  <w:hideGrammaticalErrors/>
  <w:activeWritingStyle w:appName="MSWord" w:lang="en-US" w:vendorID="64" w:dllVersion="0" w:nlCheck="1" w:checkStyle="0"/>
  <w:activeWritingStyle w:appName="MSWord" w:lang="en-GB" w:vendorID="64" w:dllVersion="0" w:nlCheck="1" w:checkStyle="0"/>
  <w:activeWritingStyle w:appName="MSWord" w:lang="ja-JP" w:vendorID="64" w:dllVersion="0" w:nlCheck="1" w:checkStyle="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2NTY1MDUzsLAwNjZU0lEKTi0uzszPAykwrAUAuFB3xSwAAAA="/>
  </w:docVars>
  <w:rsids>
    <w:rsidRoot w:val="006D1297"/>
    <w:rsid w:val="0001361E"/>
    <w:rsid w:val="0011260F"/>
    <w:rsid w:val="00223C47"/>
    <w:rsid w:val="00293C37"/>
    <w:rsid w:val="00364B6A"/>
    <w:rsid w:val="00373C58"/>
    <w:rsid w:val="00480EF8"/>
    <w:rsid w:val="004B672A"/>
    <w:rsid w:val="005462CF"/>
    <w:rsid w:val="005A6B2B"/>
    <w:rsid w:val="005B1412"/>
    <w:rsid w:val="005B62DA"/>
    <w:rsid w:val="006120F9"/>
    <w:rsid w:val="00656940"/>
    <w:rsid w:val="006B6F74"/>
    <w:rsid w:val="006D1297"/>
    <w:rsid w:val="006F05B8"/>
    <w:rsid w:val="00731C34"/>
    <w:rsid w:val="0075525C"/>
    <w:rsid w:val="00786171"/>
    <w:rsid w:val="007C49AF"/>
    <w:rsid w:val="007C4AAC"/>
    <w:rsid w:val="0084090B"/>
    <w:rsid w:val="008937DC"/>
    <w:rsid w:val="0095258C"/>
    <w:rsid w:val="009A7572"/>
    <w:rsid w:val="00A64946"/>
    <w:rsid w:val="00A900C8"/>
    <w:rsid w:val="00AC35CB"/>
    <w:rsid w:val="00B80590"/>
    <w:rsid w:val="00C115C9"/>
    <w:rsid w:val="00C24227"/>
    <w:rsid w:val="00C52F4B"/>
    <w:rsid w:val="00C77B5F"/>
    <w:rsid w:val="00CC2A4F"/>
    <w:rsid w:val="00D0656D"/>
    <w:rsid w:val="00D615FE"/>
    <w:rsid w:val="00DD5678"/>
    <w:rsid w:val="00DF36CE"/>
    <w:rsid w:val="00E20223"/>
    <w:rsid w:val="00E21B59"/>
    <w:rsid w:val="00E95CD7"/>
    <w:rsid w:val="00EE7706"/>
    <w:rsid w:val="00F377B4"/>
    <w:rsid w:val="00F479F5"/>
    <w:rsid w:val="00F84E40"/>
    <w:rsid w:val="00FF0CEA"/>
  </w:rsids>
  <m:mathPr>
    <m:mathFont m:val="Cambria Math"/>
    <m:brkBin m:val="before"/>
    <m:brkBinSub m:val="--"/>
    <m:smallFrac m:val="0"/>
    <m:dispDef/>
    <m:lMargin m:val="0"/>
    <m:rMargin m:val="0"/>
    <m:defJc m:val="centerGroup"/>
    <m:wrapIndent m:val="1440"/>
    <m:intLim m:val="subSup"/>
    <m:naryLim m:val="undOvr"/>
  </m:mathPr>
  <w:themeFontLang w:val="en-IN"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3B847CB"/>
  <w15:chartTrackingRefBased/>
  <w15:docId w15:val="{05FDD219-DE33-40DD-B9B3-C95ABD7E7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1297"/>
    <w:pPr>
      <w:widowControl w:val="0"/>
      <w:spacing w:after="0" w:line="240" w:lineRule="auto"/>
      <w:jc w:val="both"/>
    </w:pPr>
    <w:rPr>
      <w:kern w:val="2"/>
      <w:sz w:val="24"/>
      <w:szCs w:val="24"/>
      <w:lang w:val="en-US" w:eastAsia="ja-JP"/>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6D1297"/>
    <w:rPr>
      <w:sz w:val="18"/>
      <w:szCs w:val="18"/>
    </w:rPr>
  </w:style>
  <w:style w:type="paragraph" w:styleId="a4">
    <w:name w:val="annotation text"/>
    <w:basedOn w:val="a"/>
    <w:link w:val="a5"/>
    <w:uiPriority w:val="99"/>
    <w:unhideWhenUsed/>
    <w:rsid w:val="006D1297"/>
    <w:pPr>
      <w:jc w:val="left"/>
    </w:pPr>
    <w:rPr>
      <w:rFonts w:ascii="Times New Roman" w:hAnsi="Times New Roman"/>
    </w:rPr>
  </w:style>
  <w:style w:type="character" w:customStyle="1" w:styleId="a5">
    <w:name w:val="コメント文字列 (文字)"/>
    <w:basedOn w:val="a0"/>
    <w:link w:val="a4"/>
    <w:uiPriority w:val="99"/>
    <w:rsid w:val="006D1297"/>
    <w:rPr>
      <w:rFonts w:ascii="Times New Roman" w:hAnsi="Times New Roman"/>
      <w:kern w:val="2"/>
      <w:sz w:val="24"/>
      <w:szCs w:val="24"/>
      <w:lang w:val="en-US" w:eastAsia="ja-JP"/>
    </w:rPr>
  </w:style>
  <w:style w:type="paragraph" w:styleId="a6">
    <w:name w:val="Revision"/>
    <w:hidden/>
    <w:uiPriority w:val="99"/>
    <w:semiHidden/>
    <w:rsid w:val="00C115C9"/>
    <w:pPr>
      <w:spacing w:after="0" w:line="240" w:lineRule="auto"/>
    </w:pPr>
    <w:rPr>
      <w:kern w:val="2"/>
      <w:sz w:val="24"/>
      <w:szCs w:val="24"/>
      <w:lang w:val="en-US" w:eastAsia="ja-JP"/>
    </w:rPr>
  </w:style>
  <w:style w:type="paragraph" w:styleId="a7">
    <w:name w:val="annotation subject"/>
    <w:basedOn w:val="a4"/>
    <w:next w:val="a4"/>
    <w:link w:val="a8"/>
    <w:uiPriority w:val="99"/>
    <w:semiHidden/>
    <w:unhideWhenUsed/>
    <w:rsid w:val="0011260F"/>
    <w:pPr>
      <w:jc w:val="both"/>
    </w:pPr>
    <w:rPr>
      <w:rFonts w:asciiTheme="minorHAnsi" w:hAnsiTheme="minorHAnsi"/>
      <w:b/>
      <w:bCs/>
      <w:sz w:val="20"/>
      <w:szCs w:val="20"/>
    </w:rPr>
  </w:style>
  <w:style w:type="character" w:customStyle="1" w:styleId="a8">
    <w:name w:val="コメント内容 (文字)"/>
    <w:basedOn w:val="a5"/>
    <w:link w:val="a7"/>
    <w:uiPriority w:val="99"/>
    <w:semiHidden/>
    <w:rsid w:val="0011260F"/>
    <w:rPr>
      <w:rFonts w:ascii="Times New Roman" w:hAnsi="Times New Roman"/>
      <w:b/>
      <w:bCs/>
      <w:kern w:val="2"/>
      <w:sz w:val="20"/>
      <w:szCs w:val="20"/>
      <w:lang w:val="en-US" w:eastAsia="ja-JP"/>
    </w:rPr>
  </w:style>
  <w:style w:type="paragraph" w:styleId="a9">
    <w:name w:val="header"/>
    <w:basedOn w:val="a"/>
    <w:link w:val="aa"/>
    <w:uiPriority w:val="99"/>
    <w:unhideWhenUsed/>
    <w:rsid w:val="00293C37"/>
    <w:pPr>
      <w:tabs>
        <w:tab w:val="center" w:pos="4513"/>
        <w:tab w:val="right" w:pos="9026"/>
      </w:tabs>
    </w:pPr>
  </w:style>
  <w:style w:type="character" w:customStyle="1" w:styleId="aa">
    <w:name w:val="ヘッダー (文字)"/>
    <w:basedOn w:val="a0"/>
    <w:link w:val="a9"/>
    <w:uiPriority w:val="99"/>
    <w:rsid w:val="00293C37"/>
    <w:rPr>
      <w:kern w:val="2"/>
      <w:sz w:val="24"/>
      <w:szCs w:val="24"/>
      <w:lang w:val="en-US" w:eastAsia="ja-JP"/>
    </w:rPr>
  </w:style>
  <w:style w:type="paragraph" w:styleId="ab">
    <w:name w:val="footer"/>
    <w:basedOn w:val="a"/>
    <w:link w:val="ac"/>
    <w:uiPriority w:val="99"/>
    <w:unhideWhenUsed/>
    <w:rsid w:val="00293C37"/>
    <w:pPr>
      <w:tabs>
        <w:tab w:val="center" w:pos="4513"/>
        <w:tab w:val="right" w:pos="9026"/>
      </w:tabs>
    </w:pPr>
  </w:style>
  <w:style w:type="character" w:customStyle="1" w:styleId="ac">
    <w:name w:val="フッター (文字)"/>
    <w:basedOn w:val="a0"/>
    <w:link w:val="ab"/>
    <w:uiPriority w:val="99"/>
    <w:rsid w:val="00293C37"/>
    <w:rPr>
      <w:kern w:val="2"/>
      <w:sz w:val="24"/>
      <w:szCs w:val="24"/>
      <w:lang w:val="en-US" w:eastAsia="ja-JP"/>
    </w:rPr>
  </w:style>
  <w:style w:type="table" w:styleId="ad">
    <w:name w:val="Table Grid"/>
    <w:basedOn w:val="a1"/>
    <w:uiPriority w:val="39"/>
    <w:rsid w:val="007552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802368">
      <w:bodyDiv w:val="1"/>
      <w:marLeft w:val="0"/>
      <w:marRight w:val="0"/>
      <w:marTop w:val="0"/>
      <w:marBottom w:val="0"/>
      <w:divBdr>
        <w:top w:val="none" w:sz="0" w:space="0" w:color="auto"/>
        <w:left w:val="none" w:sz="0" w:space="0" w:color="auto"/>
        <w:bottom w:val="none" w:sz="0" w:space="0" w:color="auto"/>
        <w:right w:val="none" w:sz="0" w:space="0" w:color="auto"/>
      </w:divBdr>
    </w:div>
    <w:div w:id="579949555">
      <w:bodyDiv w:val="1"/>
      <w:marLeft w:val="0"/>
      <w:marRight w:val="0"/>
      <w:marTop w:val="0"/>
      <w:marBottom w:val="0"/>
      <w:divBdr>
        <w:top w:val="none" w:sz="0" w:space="0" w:color="auto"/>
        <w:left w:val="none" w:sz="0" w:space="0" w:color="auto"/>
        <w:bottom w:val="none" w:sz="0" w:space="0" w:color="auto"/>
        <w:right w:val="none" w:sz="0" w:space="0" w:color="auto"/>
      </w:divBdr>
    </w:div>
    <w:div w:id="909777075">
      <w:bodyDiv w:val="1"/>
      <w:marLeft w:val="0"/>
      <w:marRight w:val="0"/>
      <w:marTop w:val="0"/>
      <w:marBottom w:val="0"/>
      <w:divBdr>
        <w:top w:val="none" w:sz="0" w:space="0" w:color="auto"/>
        <w:left w:val="none" w:sz="0" w:space="0" w:color="auto"/>
        <w:bottom w:val="none" w:sz="0" w:space="0" w:color="auto"/>
        <w:right w:val="none" w:sz="0" w:space="0" w:color="auto"/>
      </w:divBdr>
    </w:div>
    <w:div w:id="1062867269">
      <w:bodyDiv w:val="1"/>
      <w:marLeft w:val="0"/>
      <w:marRight w:val="0"/>
      <w:marTop w:val="0"/>
      <w:marBottom w:val="0"/>
      <w:divBdr>
        <w:top w:val="none" w:sz="0" w:space="0" w:color="auto"/>
        <w:left w:val="none" w:sz="0" w:space="0" w:color="auto"/>
        <w:bottom w:val="none" w:sz="0" w:space="0" w:color="auto"/>
        <w:right w:val="none" w:sz="0" w:space="0" w:color="auto"/>
      </w:divBdr>
    </w:div>
    <w:div w:id="1120413916">
      <w:bodyDiv w:val="1"/>
      <w:marLeft w:val="0"/>
      <w:marRight w:val="0"/>
      <w:marTop w:val="0"/>
      <w:marBottom w:val="0"/>
      <w:divBdr>
        <w:top w:val="none" w:sz="0" w:space="0" w:color="auto"/>
        <w:left w:val="none" w:sz="0" w:space="0" w:color="auto"/>
        <w:bottom w:val="none" w:sz="0" w:space="0" w:color="auto"/>
        <w:right w:val="none" w:sz="0" w:space="0" w:color="auto"/>
      </w:divBdr>
    </w:div>
    <w:div w:id="1183940021">
      <w:bodyDiv w:val="1"/>
      <w:marLeft w:val="0"/>
      <w:marRight w:val="0"/>
      <w:marTop w:val="0"/>
      <w:marBottom w:val="0"/>
      <w:divBdr>
        <w:top w:val="none" w:sz="0" w:space="0" w:color="auto"/>
        <w:left w:val="none" w:sz="0" w:space="0" w:color="auto"/>
        <w:bottom w:val="none" w:sz="0" w:space="0" w:color="auto"/>
        <w:right w:val="none" w:sz="0" w:space="0" w:color="auto"/>
      </w:divBdr>
    </w:div>
    <w:div w:id="1219901790">
      <w:bodyDiv w:val="1"/>
      <w:marLeft w:val="0"/>
      <w:marRight w:val="0"/>
      <w:marTop w:val="0"/>
      <w:marBottom w:val="0"/>
      <w:divBdr>
        <w:top w:val="none" w:sz="0" w:space="0" w:color="auto"/>
        <w:left w:val="none" w:sz="0" w:space="0" w:color="auto"/>
        <w:bottom w:val="none" w:sz="0" w:space="0" w:color="auto"/>
        <w:right w:val="none" w:sz="0" w:space="0" w:color="auto"/>
      </w:divBdr>
    </w:div>
    <w:div w:id="1821075292">
      <w:bodyDiv w:val="1"/>
      <w:marLeft w:val="0"/>
      <w:marRight w:val="0"/>
      <w:marTop w:val="0"/>
      <w:marBottom w:val="0"/>
      <w:divBdr>
        <w:top w:val="none" w:sz="0" w:space="0" w:color="auto"/>
        <w:left w:val="none" w:sz="0" w:space="0" w:color="auto"/>
        <w:bottom w:val="none" w:sz="0" w:space="0" w:color="auto"/>
        <w:right w:val="none" w:sz="0" w:space="0" w:color="auto"/>
      </w:divBdr>
    </w:div>
    <w:div w:id="2017069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18" Type="http://schemas.openxmlformats.org/officeDocument/2006/relationships/header" Target="header3.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endnotes" Target="endnotes.xml"/><Relationship Id="rId15" Type="http://schemas.openxmlformats.org/officeDocument/2006/relationships/header" Target="header2.xml"/><Relationship Id="rId10" Type="http://schemas.openxmlformats.org/officeDocument/2006/relationships/image" Target="media/image5.emf"/><Relationship Id="rId19"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728</Words>
  <Characters>4150</Characters>
  <Application>Microsoft Office Word</Application>
  <DocSecurity>0</DocSecurity>
  <Lines>34</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粟津　暁紀</dc:creator>
  <cp:keywords/>
  <dc:description/>
  <cp:lastModifiedBy>粟津　暁紀</cp:lastModifiedBy>
  <cp:revision>4</cp:revision>
  <dcterms:created xsi:type="dcterms:W3CDTF">2021-09-21T01:42:00Z</dcterms:created>
  <dcterms:modified xsi:type="dcterms:W3CDTF">2021-09-21T08:04:00Z</dcterms:modified>
</cp:coreProperties>
</file>