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38E35" w14:textId="77777777" w:rsidR="009C05D2" w:rsidRDefault="009C05D2" w:rsidP="009C05D2">
      <w:pPr>
        <w:widowControl w:val="0"/>
        <w:spacing w:line="360" w:lineRule="auto"/>
        <w:ind w:firstLine="720"/>
        <w:jc w:val="both"/>
        <w:rPr>
          <w:color w:val="1B1C1D"/>
          <w:sz w:val="24"/>
          <w:szCs w:val="24"/>
        </w:rPr>
      </w:pPr>
    </w:p>
    <w:p w14:paraId="49BC15EB" w14:textId="258DE144" w:rsidR="00DD3282" w:rsidRPr="00FF650B" w:rsidRDefault="00DD3282" w:rsidP="00FF650B">
      <w:pPr>
        <w:pStyle w:val="Ttulo2"/>
        <w:keepNext w:val="0"/>
        <w:keepLines w:val="0"/>
        <w:widowControl w:val="0"/>
        <w:spacing w:before="240" w:after="240" w:line="240" w:lineRule="auto"/>
        <w:jc w:val="center"/>
        <w:rPr>
          <w:b/>
          <w:color w:val="000000" w:themeColor="text1"/>
          <w:sz w:val="28"/>
          <w:szCs w:val="28"/>
        </w:rPr>
      </w:pPr>
      <w:r w:rsidRPr="00FF650B">
        <w:rPr>
          <w:b/>
          <w:color w:val="000000" w:themeColor="text1"/>
          <w:sz w:val="28"/>
          <w:szCs w:val="28"/>
        </w:rPr>
        <w:t>Lactylation Dynamics in Myxozoan Proteins</w:t>
      </w:r>
    </w:p>
    <w:p w14:paraId="772EA04C" w14:textId="77777777" w:rsidR="00FF650B" w:rsidRPr="00FF650B" w:rsidRDefault="00FF650B" w:rsidP="00FF650B"/>
    <w:p w14:paraId="09D19BDD" w14:textId="77777777" w:rsidR="00D702A1" w:rsidRPr="00D416AE" w:rsidRDefault="00D702A1" w:rsidP="00D702A1">
      <w:pPr>
        <w:jc w:val="center"/>
        <w:rPr>
          <w:b/>
          <w:bCs/>
          <w:lang w:val="pt-BR"/>
        </w:rPr>
      </w:pPr>
      <w:proofErr w:type="spellStart"/>
      <w:r w:rsidRPr="00D416AE">
        <w:rPr>
          <w:lang w:val="pt-BR"/>
        </w:rPr>
        <w:t>Amr</w:t>
      </w:r>
      <w:proofErr w:type="spellEnd"/>
      <w:r w:rsidRPr="00D416AE">
        <w:rPr>
          <w:lang w:val="pt-BR"/>
        </w:rPr>
        <w:t xml:space="preserve"> A. G. Ibrahim, Juliana </w:t>
      </w:r>
      <w:proofErr w:type="spellStart"/>
      <w:r w:rsidRPr="00D416AE">
        <w:rPr>
          <w:lang w:val="pt-BR"/>
        </w:rPr>
        <w:t>Naldoni</w:t>
      </w:r>
      <w:proofErr w:type="spellEnd"/>
      <w:r w:rsidRPr="00D416AE">
        <w:rPr>
          <w:lang w:val="pt-BR"/>
        </w:rPr>
        <w:t xml:space="preserve">, Antônio A. M. Maia, Juliano R. </w:t>
      </w:r>
      <w:proofErr w:type="spellStart"/>
      <w:r w:rsidRPr="00D416AE">
        <w:rPr>
          <w:lang w:val="pt-BR"/>
        </w:rPr>
        <w:t>Sangalli</w:t>
      </w:r>
      <w:proofErr w:type="spellEnd"/>
      <w:r w:rsidRPr="00D416AE">
        <w:rPr>
          <w:lang w:val="pt-BR"/>
        </w:rPr>
        <w:t xml:space="preserve">, Caroline M. Meira, </w:t>
      </w:r>
      <w:proofErr w:type="spellStart"/>
      <w:r w:rsidRPr="00D416AE">
        <w:rPr>
          <w:lang w:val="pt-BR"/>
        </w:rPr>
        <w:t>Rayline</w:t>
      </w:r>
      <w:proofErr w:type="spellEnd"/>
      <w:r w:rsidRPr="00D416AE">
        <w:rPr>
          <w:lang w:val="pt-BR"/>
        </w:rPr>
        <w:t xml:space="preserve"> T. A. Figueredo, Beth Okamura, Paul F. </w:t>
      </w:r>
      <w:proofErr w:type="spellStart"/>
      <w:r w:rsidRPr="00D416AE">
        <w:rPr>
          <w:lang w:val="pt-BR"/>
        </w:rPr>
        <w:t>Long</w:t>
      </w:r>
      <w:proofErr w:type="spellEnd"/>
      <w:r w:rsidRPr="00D416AE">
        <w:rPr>
          <w:lang w:val="pt-BR"/>
        </w:rPr>
        <w:t>, Edson A. Adriano</w:t>
      </w:r>
    </w:p>
    <w:p w14:paraId="28AF4D36" w14:textId="77777777" w:rsidR="009C05D2" w:rsidRDefault="009C05D2" w:rsidP="009C05D2">
      <w:pPr>
        <w:widowControl w:val="0"/>
        <w:spacing w:line="360" w:lineRule="auto"/>
        <w:ind w:firstLine="720"/>
        <w:jc w:val="both"/>
        <w:rPr>
          <w:color w:val="1B1C1D"/>
          <w:sz w:val="24"/>
          <w:szCs w:val="24"/>
          <w:lang w:val="pt-BR"/>
        </w:rPr>
      </w:pPr>
    </w:p>
    <w:p w14:paraId="693DFFA7" w14:textId="77777777" w:rsidR="00DD3282" w:rsidRPr="00DD3282" w:rsidRDefault="00DD3282" w:rsidP="009C05D2">
      <w:pPr>
        <w:widowControl w:val="0"/>
        <w:spacing w:line="360" w:lineRule="auto"/>
        <w:ind w:firstLine="720"/>
        <w:jc w:val="both"/>
        <w:rPr>
          <w:color w:val="1B1C1D"/>
          <w:sz w:val="24"/>
          <w:szCs w:val="24"/>
          <w:lang w:val="pt-BR"/>
        </w:rPr>
      </w:pPr>
    </w:p>
    <w:p w14:paraId="74C09CEF" w14:textId="5971E26A" w:rsidR="0026688E" w:rsidRDefault="008465B7" w:rsidP="008465B7">
      <w:pPr>
        <w:widowControl w:val="0"/>
        <w:spacing w:after="200"/>
        <w:jc w:val="both"/>
        <w:rPr>
          <w:b/>
          <w:bCs/>
          <w:color w:val="1B1C1D"/>
          <w:sz w:val="24"/>
          <w:szCs w:val="24"/>
          <w:lang w:val="en-US"/>
        </w:rPr>
      </w:pPr>
      <w:r w:rsidRPr="008465B7">
        <w:rPr>
          <w:b/>
          <w:bCs/>
          <w:color w:val="1B1C1D"/>
          <w:sz w:val="24"/>
          <w:szCs w:val="24"/>
          <w:lang w:val="en-US"/>
        </w:rPr>
        <w:t xml:space="preserve">Supplementary </w:t>
      </w:r>
      <w:r>
        <w:rPr>
          <w:b/>
          <w:bCs/>
          <w:color w:val="1B1C1D"/>
          <w:sz w:val="24"/>
          <w:szCs w:val="24"/>
          <w:lang w:val="en-US"/>
        </w:rPr>
        <w:t>S</w:t>
      </w:r>
      <w:r w:rsidR="0083213D">
        <w:rPr>
          <w:b/>
          <w:bCs/>
          <w:color w:val="1B1C1D"/>
          <w:sz w:val="24"/>
          <w:szCs w:val="24"/>
          <w:lang w:val="en-US"/>
        </w:rPr>
        <w:t>4</w:t>
      </w:r>
      <w:r w:rsidRPr="008465B7">
        <w:rPr>
          <w:b/>
          <w:bCs/>
          <w:color w:val="1B1C1D"/>
          <w:sz w:val="24"/>
          <w:szCs w:val="24"/>
          <w:lang w:val="en-US"/>
        </w:rPr>
        <w:t xml:space="preserve">: </w:t>
      </w:r>
    </w:p>
    <w:p w14:paraId="04574D37" w14:textId="3052D4F6" w:rsidR="008465B7" w:rsidRPr="0026688E" w:rsidRDefault="008465B7" w:rsidP="008465B7">
      <w:pPr>
        <w:widowControl w:val="0"/>
        <w:spacing w:after="200"/>
        <w:jc w:val="both"/>
        <w:rPr>
          <w:b/>
          <w:bCs/>
          <w:color w:val="1B1C1D"/>
          <w:sz w:val="24"/>
          <w:szCs w:val="24"/>
          <w:lang w:val="en-US"/>
        </w:rPr>
      </w:pPr>
      <w:r w:rsidRPr="0026688E">
        <w:rPr>
          <w:b/>
          <w:bCs/>
          <w:color w:val="1B1C1D"/>
          <w:sz w:val="24"/>
          <w:szCs w:val="24"/>
          <w:lang w:val="en-US"/>
        </w:rPr>
        <w:t>Integrative Analysis of Lactylation, Methylation, and Transcriptional Activity</w:t>
      </w:r>
      <w:r w:rsidR="00F56DF7" w:rsidRPr="0026688E">
        <w:rPr>
          <w:b/>
          <w:bCs/>
          <w:color w:val="1B1C1D"/>
          <w:sz w:val="24"/>
          <w:szCs w:val="24"/>
          <w:lang w:val="en-US"/>
        </w:rPr>
        <w:t xml:space="preserve"> observed in a predicted lactylation site and </w:t>
      </w:r>
      <w:proofErr w:type="gramStart"/>
      <w:r w:rsidR="00F56DF7" w:rsidRPr="0026688E">
        <w:rPr>
          <w:b/>
          <w:bCs/>
          <w:color w:val="1B1C1D"/>
          <w:sz w:val="24"/>
          <w:szCs w:val="24"/>
          <w:lang w:val="en-US"/>
        </w:rPr>
        <w:t>it’s</w:t>
      </w:r>
      <w:proofErr w:type="gramEnd"/>
      <w:r w:rsidR="00F56DF7" w:rsidRPr="0026688E">
        <w:rPr>
          <w:b/>
          <w:bCs/>
          <w:color w:val="1B1C1D"/>
          <w:sz w:val="24"/>
          <w:szCs w:val="24"/>
          <w:lang w:val="en-US"/>
        </w:rPr>
        <w:t xml:space="preserve"> RNA-seq data</w:t>
      </w:r>
    </w:p>
    <w:p w14:paraId="79C98ECE" w14:textId="77777777" w:rsidR="0026688E" w:rsidRPr="008465B7" w:rsidRDefault="0026688E" w:rsidP="008465B7">
      <w:pPr>
        <w:widowControl w:val="0"/>
        <w:spacing w:after="200"/>
        <w:jc w:val="both"/>
        <w:rPr>
          <w:color w:val="1B1C1D"/>
          <w:sz w:val="24"/>
          <w:szCs w:val="24"/>
          <w:lang w:val="en-US"/>
        </w:rPr>
      </w:pPr>
    </w:p>
    <w:p w14:paraId="2439F792" w14:textId="77777777" w:rsidR="008465B7" w:rsidRPr="008465B7" w:rsidRDefault="008465B7" w:rsidP="00A72B6C">
      <w:pPr>
        <w:widowControl w:val="0"/>
        <w:spacing w:after="200"/>
        <w:ind w:firstLine="720"/>
        <w:jc w:val="both"/>
        <w:rPr>
          <w:color w:val="1B1C1D"/>
          <w:sz w:val="24"/>
          <w:szCs w:val="24"/>
          <w:lang w:val="en-US"/>
        </w:rPr>
      </w:pPr>
      <w:r w:rsidRPr="008465B7">
        <w:rPr>
          <w:color w:val="1B1C1D"/>
          <w:sz w:val="24"/>
          <w:szCs w:val="24"/>
          <w:lang w:val="en-US"/>
        </w:rPr>
        <w:t xml:space="preserve">Analysis of the Histone H2A gene derived from the </w:t>
      </w:r>
      <w:proofErr w:type="spellStart"/>
      <w:r w:rsidRPr="008465B7">
        <w:rPr>
          <w:i/>
          <w:iCs/>
          <w:color w:val="1B1C1D"/>
          <w:sz w:val="24"/>
          <w:szCs w:val="24"/>
          <w:lang w:val="en-US"/>
        </w:rPr>
        <w:t>Ceratonova</w:t>
      </w:r>
      <w:proofErr w:type="spellEnd"/>
      <w:r w:rsidRPr="008465B7">
        <w:rPr>
          <w:i/>
          <w:iCs/>
          <w:color w:val="1B1C1D"/>
          <w:sz w:val="24"/>
          <w:szCs w:val="24"/>
          <w:lang w:val="en-US"/>
        </w:rPr>
        <w:t xml:space="preserve"> </w:t>
      </w:r>
      <w:proofErr w:type="spellStart"/>
      <w:r w:rsidRPr="008465B7">
        <w:rPr>
          <w:i/>
          <w:iCs/>
          <w:color w:val="1B1C1D"/>
          <w:sz w:val="24"/>
          <w:szCs w:val="24"/>
          <w:lang w:val="en-US"/>
        </w:rPr>
        <w:t>shasta</w:t>
      </w:r>
      <w:proofErr w:type="spellEnd"/>
      <w:r w:rsidRPr="008465B7">
        <w:rPr>
          <w:color w:val="1B1C1D"/>
          <w:sz w:val="24"/>
          <w:szCs w:val="24"/>
          <w:lang w:val="en-US"/>
        </w:rPr>
        <w:t xml:space="preserve"> genome reveals a clear relationship between predicted post-translational modifications and transcriptional output. RNA-seq exon coverage tracks indicate transcriptionally active regions that partially overlap with lysine residues predicted to undergo histone lactylation. Notably, these lactylation-associated regions exhibit reduced RNA-seq signal relative to neighboring regions enriched for methylation marks, suggesting a repressive or dampening effect of lactylation on transcription at this locus.</w:t>
      </w:r>
    </w:p>
    <w:p w14:paraId="5EDB658B" w14:textId="77777777" w:rsidR="008465B7" w:rsidRPr="008465B7" w:rsidRDefault="008465B7" w:rsidP="00A72B6C">
      <w:pPr>
        <w:widowControl w:val="0"/>
        <w:spacing w:after="200"/>
        <w:ind w:firstLine="720"/>
        <w:jc w:val="both"/>
        <w:rPr>
          <w:color w:val="1B1C1D"/>
          <w:sz w:val="24"/>
          <w:szCs w:val="24"/>
          <w:lang w:val="en-US"/>
        </w:rPr>
      </w:pPr>
      <w:r w:rsidRPr="008465B7">
        <w:rPr>
          <w:color w:val="1B1C1D"/>
          <w:sz w:val="24"/>
          <w:szCs w:val="24"/>
          <w:lang w:val="en-US"/>
        </w:rPr>
        <w:t xml:space="preserve">This pattern supports a model in which histone lactylation modulates chromatin accessibility and fine-tunes gene expression in response to metabolic or stress-related cues. In contrast, methylation marks correlate with increased RNA-seq coverage, consistent with a transcriptionally permissive or activating role. The opposing trends observed for </w:t>
      </w:r>
      <w:proofErr w:type="gramStart"/>
      <w:r w:rsidRPr="008465B7">
        <w:rPr>
          <w:color w:val="1B1C1D"/>
          <w:sz w:val="24"/>
          <w:szCs w:val="24"/>
          <w:lang w:val="en-US"/>
        </w:rPr>
        <w:t>lactylation</w:t>
      </w:r>
      <w:proofErr w:type="gramEnd"/>
      <w:r w:rsidRPr="008465B7">
        <w:rPr>
          <w:color w:val="1B1C1D"/>
          <w:sz w:val="24"/>
          <w:szCs w:val="24"/>
          <w:lang w:val="en-US"/>
        </w:rPr>
        <w:t xml:space="preserve"> and methylation highlight their distinct regulatory contributions within the same genomic context.</w:t>
      </w:r>
    </w:p>
    <w:p w14:paraId="21D3669B" w14:textId="77777777" w:rsidR="008465B7" w:rsidRDefault="008465B7" w:rsidP="00A72B6C">
      <w:pPr>
        <w:widowControl w:val="0"/>
        <w:spacing w:after="200"/>
        <w:ind w:firstLine="720"/>
        <w:jc w:val="both"/>
        <w:rPr>
          <w:color w:val="1B1C1D"/>
          <w:sz w:val="24"/>
          <w:szCs w:val="24"/>
          <w:lang w:val="en-US"/>
        </w:rPr>
      </w:pPr>
      <w:r w:rsidRPr="008465B7">
        <w:rPr>
          <w:color w:val="1B1C1D"/>
          <w:sz w:val="24"/>
          <w:szCs w:val="24"/>
          <w:lang w:val="en-US"/>
        </w:rPr>
        <w:t xml:space="preserve">Comparable regulatory behavior has been reported in halophilic archaea, including </w:t>
      </w:r>
      <w:r w:rsidRPr="008465B7">
        <w:rPr>
          <w:i/>
          <w:iCs/>
          <w:color w:val="1B1C1D"/>
          <w:sz w:val="24"/>
          <w:szCs w:val="24"/>
          <w:lang w:val="en-US"/>
        </w:rPr>
        <w:t xml:space="preserve">Halobacterium </w:t>
      </w:r>
      <w:proofErr w:type="spellStart"/>
      <w:r w:rsidRPr="008465B7">
        <w:rPr>
          <w:i/>
          <w:iCs/>
          <w:color w:val="1B1C1D"/>
          <w:sz w:val="24"/>
          <w:szCs w:val="24"/>
          <w:lang w:val="en-US"/>
        </w:rPr>
        <w:t>salinarum</w:t>
      </w:r>
      <w:proofErr w:type="spellEnd"/>
      <w:r w:rsidRPr="008465B7">
        <w:rPr>
          <w:color w:val="1B1C1D"/>
          <w:sz w:val="24"/>
          <w:szCs w:val="24"/>
          <w:lang w:val="en-US"/>
        </w:rPr>
        <w:t xml:space="preserve"> and </w:t>
      </w:r>
      <w:proofErr w:type="spellStart"/>
      <w:r w:rsidRPr="008465B7">
        <w:rPr>
          <w:i/>
          <w:iCs/>
          <w:color w:val="1B1C1D"/>
          <w:sz w:val="24"/>
          <w:szCs w:val="24"/>
          <w:lang w:val="en-US"/>
        </w:rPr>
        <w:t>Haloferax</w:t>
      </w:r>
      <w:proofErr w:type="spellEnd"/>
      <w:r w:rsidRPr="008465B7">
        <w:rPr>
          <w:i/>
          <w:iCs/>
          <w:color w:val="1B1C1D"/>
          <w:sz w:val="24"/>
          <w:szCs w:val="24"/>
          <w:lang w:val="en-US"/>
        </w:rPr>
        <w:t xml:space="preserve"> </w:t>
      </w:r>
      <w:proofErr w:type="spellStart"/>
      <w:r w:rsidRPr="008465B7">
        <w:rPr>
          <w:i/>
          <w:iCs/>
          <w:color w:val="1B1C1D"/>
          <w:sz w:val="24"/>
          <w:szCs w:val="24"/>
          <w:lang w:val="en-US"/>
        </w:rPr>
        <w:t>volcanii</w:t>
      </w:r>
      <w:proofErr w:type="spellEnd"/>
      <w:r w:rsidRPr="008465B7">
        <w:rPr>
          <w:color w:val="1B1C1D"/>
          <w:sz w:val="24"/>
          <w:szCs w:val="24"/>
          <w:lang w:val="en-US"/>
        </w:rPr>
        <w:t>, where environmental and metabolic conditions influence modification patterns at conserved genomic positions. High-resolution analyses (20 bp windows) demonstrated that these modifications can affect alternative transcription start sites (</w:t>
      </w:r>
      <w:proofErr w:type="spellStart"/>
      <w:r w:rsidRPr="008465B7">
        <w:rPr>
          <w:color w:val="1B1C1D"/>
          <w:sz w:val="24"/>
          <w:szCs w:val="24"/>
          <w:lang w:val="en-US"/>
        </w:rPr>
        <w:t>alTSS</w:t>
      </w:r>
      <w:proofErr w:type="spellEnd"/>
      <w:r w:rsidRPr="008465B7">
        <w:rPr>
          <w:color w:val="1B1C1D"/>
          <w:sz w:val="24"/>
          <w:szCs w:val="24"/>
          <w:lang w:val="en-US"/>
        </w:rPr>
        <w:t>) and transcription processing sites (TPS), thereby reshaping transcriptional outputs under stress conditions (Ibrahim et al., 2021; Ibrahim, 2023).</w:t>
      </w:r>
    </w:p>
    <w:p w14:paraId="7D95ABF2" w14:textId="77777777" w:rsidR="008465B7" w:rsidRPr="008465B7" w:rsidRDefault="008465B7" w:rsidP="00A72B6C">
      <w:pPr>
        <w:widowControl w:val="0"/>
        <w:spacing w:after="200"/>
        <w:ind w:firstLine="720"/>
        <w:jc w:val="both"/>
        <w:rPr>
          <w:color w:val="1B1C1D"/>
          <w:sz w:val="24"/>
          <w:szCs w:val="24"/>
          <w:lang w:val="en-US"/>
        </w:rPr>
      </w:pPr>
      <w:r w:rsidRPr="008465B7">
        <w:rPr>
          <w:color w:val="1B1C1D"/>
          <w:sz w:val="24"/>
          <w:szCs w:val="24"/>
          <w:lang w:val="en-US"/>
        </w:rPr>
        <w:t>Together, these observations indicate that histone lactylation and methylation act as complementary and potentially antagonistic epigenetic signals, contributing to transcriptional plasticity in myxozoan parasites under variable physiological conditions.</w:t>
      </w:r>
    </w:p>
    <w:p w14:paraId="0D013EDC" w14:textId="77777777" w:rsidR="009C05D2" w:rsidRDefault="009C05D2" w:rsidP="009C05D2">
      <w:pPr>
        <w:widowControl w:val="0"/>
        <w:spacing w:after="200"/>
        <w:jc w:val="both"/>
        <w:rPr>
          <w:color w:val="1B1C1D"/>
          <w:sz w:val="24"/>
          <w:szCs w:val="24"/>
        </w:rPr>
      </w:pPr>
      <w:r>
        <w:rPr>
          <w:noProof/>
          <w:color w:val="1B1C1D"/>
          <w:sz w:val="24"/>
          <w:szCs w:val="24"/>
          <w:lang w:val="en-GB" w:eastAsia="en-GB"/>
        </w:rPr>
        <w:lastRenderedPageBreak/>
        <w:drawing>
          <wp:inline distT="114300" distB="114300" distL="114300" distR="114300" wp14:anchorId="56C45A86" wp14:editId="1828436B">
            <wp:extent cx="5733047" cy="3327400"/>
            <wp:effectExtent l="0" t="0" r="1270" b="6350"/>
            <wp:docPr id="8" name="image12.png"/>
            <wp:cNvGraphicFramePr/>
            <a:graphic xmlns:a="http://schemas.openxmlformats.org/drawingml/2006/main">
              <a:graphicData uri="http://schemas.openxmlformats.org/drawingml/2006/picture">
                <pic:pic xmlns:pic="http://schemas.openxmlformats.org/drawingml/2006/picture">
                  <pic:nvPicPr>
                    <pic:cNvPr id="8" name="image12.png"/>
                    <pic:cNvPicPr preferRelativeResize="0"/>
                  </pic:nvPicPr>
                  <pic:blipFill rotWithShape="1">
                    <a:blip r:embed="rId5"/>
                    <a:srcRect b="16026"/>
                    <a:stretch>
                      <a:fillRect/>
                    </a:stretch>
                  </pic:blipFill>
                  <pic:spPr bwMode="auto">
                    <a:xfrm>
                      <a:off x="0" y="0"/>
                      <a:ext cx="5744818" cy="3334232"/>
                    </a:xfrm>
                    <a:prstGeom prst="rect">
                      <a:avLst/>
                    </a:prstGeom>
                    <a:ln>
                      <a:noFill/>
                    </a:ln>
                    <a:extLst>
                      <a:ext uri="{53640926-AAD7-44D8-BBD7-CCE9431645EC}">
                        <a14:shadowObscured xmlns:a14="http://schemas.microsoft.com/office/drawing/2010/main"/>
                      </a:ext>
                    </a:extLst>
                  </pic:spPr>
                </pic:pic>
              </a:graphicData>
            </a:graphic>
          </wp:inline>
        </w:drawing>
      </w:r>
    </w:p>
    <w:p w14:paraId="6EC8CCBC" w14:textId="5597D2D1" w:rsidR="00A72B6C" w:rsidRPr="00D702A1" w:rsidRDefault="00A72B6C" w:rsidP="00A72B6C">
      <w:pPr>
        <w:widowControl w:val="0"/>
        <w:spacing w:after="200"/>
        <w:jc w:val="both"/>
        <w:rPr>
          <w:color w:val="1B1C1D"/>
          <w:sz w:val="24"/>
          <w:szCs w:val="24"/>
          <w:lang w:val="en-US"/>
        </w:rPr>
      </w:pPr>
      <w:r w:rsidRPr="00D702A1">
        <w:rPr>
          <w:color w:val="1B1C1D"/>
          <w:sz w:val="24"/>
          <w:szCs w:val="24"/>
          <w:lang w:val="en-US"/>
        </w:rPr>
        <w:t>Fig</w:t>
      </w:r>
      <w:r w:rsidR="00635BC2">
        <w:rPr>
          <w:color w:val="1B1C1D"/>
          <w:sz w:val="24"/>
          <w:szCs w:val="24"/>
          <w:lang w:val="en-US"/>
        </w:rPr>
        <w:t>.</w:t>
      </w:r>
      <w:r w:rsidRPr="00D702A1">
        <w:rPr>
          <w:color w:val="1B1C1D"/>
          <w:sz w:val="24"/>
          <w:szCs w:val="24"/>
          <w:lang w:val="en-US"/>
        </w:rPr>
        <w:t xml:space="preserve"> </w:t>
      </w:r>
      <w:r w:rsidR="0061555B">
        <w:rPr>
          <w:color w:val="1B1C1D"/>
          <w:sz w:val="24"/>
          <w:szCs w:val="24"/>
          <w:lang w:val="en-US"/>
        </w:rPr>
        <w:t>1</w:t>
      </w:r>
      <w:r w:rsidR="00D016BC" w:rsidRPr="00D702A1">
        <w:rPr>
          <w:color w:val="1B1C1D"/>
          <w:sz w:val="24"/>
          <w:szCs w:val="24"/>
          <w:lang w:val="en-US"/>
        </w:rPr>
        <w:t xml:space="preserve"> Illustration of </w:t>
      </w:r>
      <w:r w:rsidRPr="00D702A1">
        <w:rPr>
          <w:color w:val="1B1C1D"/>
          <w:sz w:val="24"/>
          <w:szCs w:val="24"/>
          <w:lang w:val="en-US"/>
        </w:rPr>
        <w:t xml:space="preserve">an integrative view of transcriptional activity and predicted epigenetic modifications in the Heat shock cognate 70 </w:t>
      </w:r>
      <w:proofErr w:type="spellStart"/>
      <w:r w:rsidRPr="00D702A1">
        <w:rPr>
          <w:color w:val="1B1C1D"/>
          <w:sz w:val="24"/>
          <w:szCs w:val="24"/>
          <w:lang w:val="en-US"/>
        </w:rPr>
        <w:t>kDa</w:t>
      </w:r>
      <w:proofErr w:type="spellEnd"/>
      <w:r w:rsidRPr="00D702A1">
        <w:rPr>
          <w:color w:val="1B1C1D"/>
          <w:sz w:val="24"/>
          <w:szCs w:val="24"/>
          <w:lang w:val="en-US"/>
        </w:rPr>
        <w:t xml:space="preserve"> protein (HSC70) locus. RNA-seq expression coverage is shown in the upper panel, predicted lactylation sites are indicated by red bars in the middle panel, and predicted methylation sites are shown as blue bars in the lower panel. Regions enriched for lactylation correspond to reduced RNA-seq signal, whereas methylation-rich regions coincide with increased expression, reinforcing the concept of functionally divergent regulatory roles.</w:t>
      </w:r>
    </w:p>
    <w:p w14:paraId="284D1FC4" w14:textId="77777777" w:rsidR="009C05D2" w:rsidRPr="00A72B6C" w:rsidRDefault="009C05D2" w:rsidP="009C05D2">
      <w:pPr>
        <w:widowControl w:val="0"/>
        <w:jc w:val="both"/>
        <w:rPr>
          <w:color w:val="1B1C1D"/>
          <w:sz w:val="20"/>
          <w:szCs w:val="20"/>
          <w:lang w:val="en-US"/>
        </w:rPr>
      </w:pPr>
    </w:p>
    <w:p w14:paraId="31C8742D" w14:textId="77777777" w:rsidR="009C05D2" w:rsidRDefault="009C05D2" w:rsidP="009C05D2">
      <w:pPr>
        <w:widowControl w:val="0"/>
        <w:jc w:val="both"/>
        <w:rPr>
          <w:color w:val="1B1C1D"/>
          <w:sz w:val="20"/>
          <w:szCs w:val="20"/>
        </w:rPr>
      </w:pPr>
    </w:p>
    <w:p w14:paraId="721DB13F" w14:textId="77777777" w:rsidR="009C05D2" w:rsidRDefault="009C05D2" w:rsidP="009C05D2">
      <w:pPr>
        <w:widowControl w:val="0"/>
        <w:jc w:val="both"/>
        <w:rPr>
          <w:color w:val="1B1C1D"/>
          <w:sz w:val="20"/>
          <w:szCs w:val="20"/>
        </w:rPr>
      </w:pPr>
      <w:r>
        <w:rPr>
          <w:noProof/>
          <w:color w:val="1B1C1D"/>
          <w:sz w:val="20"/>
          <w:szCs w:val="20"/>
          <w:lang w:val="en-GB" w:eastAsia="en-GB"/>
        </w:rPr>
        <w:drawing>
          <wp:inline distT="114300" distB="114300" distL="114300" distR="114300" wp14:anchorId="179A4DE3" wp14:editId="2061DFD4">
            <wp:extent cx="5702969" cy="3309620"/>
            <wp:effectExtent l="0" t="0" r="0" b="5080"/>
            <wp:docPr id="1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
                    <a:srcRect/>
                    <a:stretch>
                      <a:fillRect/>
                    </a:stretch>
                  </pic:blipFill>
                  <pic:spPr>
                    <a:xfrm>
                      <a:off x="0" y="0"/>
                      <a:ext cx="5708548" cy="3312858"/>
                    </a:xfrm>
                    <a:prstGeom prst="rect">
                      <a:avLst/>
                    </a:prstGeom>
                    <a:ln/>
                  </pic:spPr>
                </pic:pic>
              </a:graphicData>
            </a:graphic>
          </wp:inline>
        </w:drawing>
      </w:r>
    </w:p>
    <w:p w14:paraId="7AA5456B" w14:textId="595642E1" w:rsidR="00A72B6C" w:rsidRPr="0061555B" w:rsidRDefault="00A72B6C" w:rsidP="00A72B6C">
      <w:pPr>
        <w:widowControl w:val="0"/>
        <w:spacing w:after="200"/>
        <w:jc w:val="both"/>
        <w:rPr>
          <w:color w:val="1B1C1D"/>
          <w:sz w:val="24"/>
          <w:szCs w:val="24"/>
          <w:lang w:val="en-US"/>
        </w:rPr>
      </w:pPr>
      <w:r w:rsidRPr="0061555B">
        <w:rPr>
          <w:color w:val="1B1C1D"/>
          <w:sz w:val="24"/>
          <w:szCs w:val="24"/>
          <w:lang w:val="en-US"/>
        </w:rPr>
        <w:t>Fig</w:t>
      </w:r>
      <w:r w:rsidR="00635BC2" w:rsidRPr="0061555B">
        <w:rPr>
          <w:color w:val="1B1C1D"/>
          <w:sz w:val="24"/>
          <w:szCs w:val="24"/>
          <w:lang w:val="en-US"/>
        </w:rPr>
        <w:t>.</w:t>
      </w:r>
      <w:r w:rsidR="0061555B">
        <w:rPr>
          <w:color w:val="1B1C1D"/>
          <w:sz w:val="24"/>
          <w:szCs w:val="24"/>
          <w:lang w:val="en-US"/>
        </w:rPr>
        <w:t xml:space="preserve"> </w:t>
      </w:r>
      <w:r w:rsidR="00635BC2" w:rsidRPr="0061555B">
        <w:rPr>
          <w:color w:val="1B1C1D"/>
          <w:sz w:val="24"/>
          <w:szCs w:val="24"/>
          <w:lang w:val="en-US"/>
        </w:rPr>
        <w:t>2</w:t>
      </w:r>
      <w:r w:rsidRPr="0061555B">
        <w:rPr>
          <w:color w:val="1B1C1D"/>
          <w:sz w:val="24"/>
          <w:szCs w:val="24"/>
          <w:lang w:val="en-US"/>
        </w:rPr>
        <w:t xml:space="preserve"> </w:t>
      </w:r>
      <w:r w:rsidR="0061555B">
        <w:rPr>
          <w:color w:val="1B1C1D"/>
          <w:sz w:val="24"/>
          <w:szCs w:val="24"/>
          <w:lang w:val="en-US"/>
        </w:rPr>
        <w:t>P</w:t>
      </w:r>
      <w:r w:rsidRPr="0061555B">
        <w:rPr>
          <w:color w:val="1B1C1D"/>
          <w:sz w:val="24"/>
          <w:szCs w:val="24"/>
          <w:lang w:val="en-US"/>
        </w:rPr>
        <w:t xml:space="preserve">resents RNA-seq coverage aligned with the gene model of Histone </w:t>
      </w:r>
      <w:r w:rsidR="00D016BC" w:rsidRPr="0061555B">
        <w:rPr>
          <w:color w:val="1B1C1D"/>
          <w:sz w:val="24"/>
          <w:szCs w:val="24"/>
          <w:lang w:val="en-US"/>
        </w:rPr>
        <w:t>H3K</w:t>
      </w:r>
      <w:r w:rsidRPr="0061555B">
        <w:rPr>
          <w:color w:val="1B1C1D"/>
          <w:sz w:val="24"/>
          <w:szCs w:val="24"/>
          <w:lang w:val="en-US"/>
        </w:rPr>
        <w:t xml:space="preserve"> in the </w:t>
      </w:r>
      <w:proofErr w:type="spellStart"/>
      <w:r w:rsidRPr="0061555B">
        <w:rPr>
          <w:i/>
          <w:iCs/>
          <w:color w:val="1B1C1D"/>
          <w:sz w:val="24"/>
          <w:szCs w:val="24"/>
          <w:lang w:val="en-US"/>
        </w:rPr>
        <w:lastRenderedPageBreak/>
        <w:t>C</w:t>
      </w:r>
      <w:r w:rsidR="004C3804">
        <w:rPr>
          <w:i/>
          <w:iCs/>
          <w:color w:val="1B1C1D"/>
          <w:sz w:val="24"/>
          <w:szCs w:val="24"/>
          <w:lang w:val="en-US"/>
        </w:rPr>
        <w:t>eratonova</w:t>
      </w:r>
      <w:proofErr w:type="spellEnd"/>
      <w:r w:rsidRPr="0061555B">
        <w:rPr>
          <w:i/>
          <w:iCs/>
          <w:color w:val="1B1C1D"/>
          <w:sz w:val="24"/>
          <w:szCs w:val="24"/>
          <w:lang w:val="en-US"/>
        </w:rPr>
        <w:t xml:space="preserve"> </w:t>
      </w:r>
      <w:proofErr w:type="spellStart"/>
      <w:r w:rsidRPr="0061555B">
        <w:rPr>
          <w:i/>
          <w:iCs/>
          <w:color w:val="1B1C1D"/>
          <w:sz w:val="24"/>
          <w:szCs w:val="24"/>
          <w:lang w:val="en-US"/>
        </w:rPr>
        <w:t>shasta</w:t>
      </w:r>
      <w:proofErr w:type="spellEnd"/>
      <w:r w:rsidRPr="0061555B">
        <w:rPr>
          <w:color w:val="1B1C1D"/>
          <w:sz w:val="24"/>
          <w:szCs w:val="24"/>
          <w:lang w:val="en-US"/>
        </w:rPr>
        <w:t xml:space="preserve"> genome. The exon–intron structure is shown in green, while blue coverage tracks depict read density across </w:t>
      </w:r>
      <w:r w:rsidR="00BA2F83" w:rsidRPr="0061555B">
        <w:rPr>
          <w:color w:val="1B1C1D"/>
          <w:sz w:val="24"/>
          <w:szCs w:val="24"/>
          <w:lang w:val="en-US"/>
        </w:rPr>
        <w:t>exon</w:t>
      </w:r>
      <w:r w:rsidRPr="0061555B">
        <w:rPr>
          <w:color w:val="1B1C1D"/>
          <w:sz w:val="24"/>
          <w:szCs w:val="24"/>
          <w:lang w:val="en-US"/>
        </w:rPr>
        <w:t xml:space="preserve"> and intron-spanning regions. Areas of diminished RNA-seq coverage align with predicted lactylation sites, whereas regions of higher transcriptional activity overlap with methylation marks, further supporting a modification-dependent regulatory mechanism at the chromatin level.</w:t>
      </w:r>
    </w:p>
    <w:p w14:paraId="68B17D92" w14:textId="77777777" w:rsidR="001C39D4" w:rsidRDefault="001C39D4">
      <w:pPr>
        <w:rPr>
          <w:lang w:val="en-US"/>
        </w:rPr>
      </w:pPr>
    </w:p>
    <w:p w14:paraId="6B8ECACC" w14:textId="4FC891B9" w:rsidR="00FD189C" w:rsidRPr="00FD189C" w:rsidRDefault="00FD189C" w:rsidP="00FD189C">
      <w:pPr>
        <w:rPr>
          <w:lang w:val="en-US"/>
        </w:rPr>
      </w:pPr>
      <w:r w:rsidRPr="00FD189C">
        <w:rPr>
          <w:noProof/>
          <w:lang w:val="en-US"/>
        </w:rPr>
        <w:drawing>
          <wp:inline distT="0" distB="0" distL="0" distR="0" wp14:anchorId="47D5AE5C" wp14:editId="7E192246">
            <wp:extent cx="5720715" cy="3507206"/>
            <wp:effectExtent l="0" t="0" r="0" b="0"/>
            <wp:docPr id="1996677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8039"/>
                    <a:stretch>
                      <a:fillRect/>
                    </a:stretch>
                  </pic:blipFill>
                  <pic:spPr bwMode="auto">
                    <a:xfrm>
                      <a:off x="0" y="0"/>
                      <a:ext cx="5720715" cy="3507206"/>
                    </a:xfrm>
                    <a:prstGeom prst="rect">
                      <a:avLst/>
                    </a:prstGeom>
                    <a:noFill/>
                    <a:ln>
                      <a:noFill/>
                    </a:ln>
                    <a:extLst>
                      <a:ext uri="{53640926-AAD7-44D8-BBD7-CCE9431645EC}">
                        <a14:shadowObscured xmlns:a14="http://schemas.microsoft.com/office/drawing/2010/main"/>
                      </a:ext>
                    </a:extLst>
                  </pic:spPr>
                </pic:pic>
              </a:graphicData>
            </a:graphic>
          </wp:inline>
        </w:drawing>
      </w:r>
    </w:p>
    <w:p w14:paraId="0580148D" w14:textId="5D508D39" w:rsidR="00BA2F83" w:rsidRPr="004C3804" w:rsidRDefault="00E346F1" w:rsidP="00B80EEB">
      <w:pPr>
        <w:jc w:val="both"/>
      </w:pPr>
      <w:r w:rsidRPr="004C3804">
        <w:rPr>
          <w:lang w:val="en-US"/>
        </w:rPr>
        <w:t>Fig</w:t>
      </w:r>
      <w:r w:rsidR="004C3804" w:rsidRPr="004C3804">
        <w:rPr>
          <w:lang w:val="en-US"/>
        </w:rPr>
        <w:t>.</w:t>
      </w:r>
      <w:r w:rsidRPr="004C3804">
        <w:rPr>
          <w:lang w:val="en-US"/>
        </w:rPr>
        <w:t xml:space="preserve"> </w:t>
      </w:r>
      <w:r w:rsidR="004C3804" w:rsidRPr="004C3804">
        <w:rPr>
          <w:lang w:val="en-US"/>
        </w:rPr>
        <w:t>3</w:t>
      </w:r>
      <w:r w:rsidRPr="004C3804">
        <w:rPr>
          <w:lang w:val="en-US"/>
        </w:rPr>
        <w:t xml:space="preserve"> </w:t>
      </w:r>
      <w:r w:rsidR="00B80EEB" w:rsidRPr="004C3804">
        <w:t xml:space="preserve">Integrated genomic and transcriptomic view of Histone H3 (H3K) lactylation–associated transcriptional modulation in </w:t>
      </w:r>
      <w:proofErr w:type="spellStart"/>
      <w:r w:rsidR="00B80EEB" w:rsidRPr="004C3804">
        <w:rPr>
          <w:i/>
          <w:iCs/>
        </w:rPr>
        <w:t>Ceratonova</w:t>
      </w:r>
      <w:proofErr w:type="spellEnd"/>
      <w:r w:rsidR="00B80EEB" w:rsidRPr="004C3804">
        <w:rPr>
          <w:i/>
          <w:iCs/>
        </w:rPr>
        <w:t xml:space="preserve"> </w:t>
      </w:r>
      <w:proofErr w:type="spellStart"/>
      <w:r w:rsidR="00B80EEB" w:rsidRPr="004C3804">
        <w:rPr>
          <w:i/>
          <w:iCs/>
        </w:rPr>
        <w:t>shasta</w:t>
      </w:r>
      <w:proofErr w:type="spellEnd"/>
      <w:r w:rsidR="00B80EEB" w:rsidRPr="004C3804">
        <w:t>. The top track shows the annotated Histone H3 gene model, followed by RNA-seq exon and intron coverage profiles. Vertical dashed lines indicate lysine residues K9 and K18 identified as predicted and/or experimentally supported lactylation sites. These positions coincide with localized reductions in RNA-seq signal relative to surrounding regions, suggesting that H3K lactylation is associated with attenuation of transcriptional output at this locus, consistent with a repressive or fine-tuning role of lactylation in chromatin-mediated gene regulation.</w:t>
      </w:r>
    </w:p>
    <w:p w14:paraId="1D431962" w14:textId="77777777" w:rsidR="00BB0902" w:rsidRPr="004C3804" w:rsidRDefault="00BB0902" w:rsidP="00B80EEB">
      <w:pPr>
        <w:jc w:val="both"/>
      </w:pPr>
    </w:p>
    <w:p w14:paraId="31E08605" w14:textId="77777777" w:rsidR="00BB0902" w:rsidRDefault="00BB0902" w:rsidP="00B80EEB">
      <w:pPr>
        <w:jc w:val="both"/>
        <w:rPr>
          <w:i/>
          <w:iCs/>
        </w:rPr>
      </w:pPr>
    </w:p>
    <w:p w14:paraId="59ECCABD" w14:textId="56099C18" w:rsidR="00BB0902" w:rsidRPr="0066262E" w:rsidRDefault="00BB0902" w:rsidP="00B80EEB">
      <w:pPr>
        <w:jc w:val="both"/>
        <w:rPr>
          <w:lang w:val="pt-BR"/>
        </w:rPr>
      </w:pPr>
      <w:proofErr w:type="spellStart"/>
      <w:r w:rsidRPr="0066262E">
        <w:rPr>
          <w:lang w:val="pt-BR"/>
        </w:rPr>
        <w:t>References</w:t>
      </w:r>
      <w:proofErr w:type="spellEnd"/>
    </w:p>
    <w:p w14:paraId="125BDDE7" w14:textId="77777777" w:rsidR="00BB0902" w:rsidRPr="0066262E" w:rsidRDefault="00BB0902" w:rsidP="00B80EEB">
      <w:pPr>
        <w:jc w:val="both"/>
        <w:rPr>
          <w:lang w:val="pt-BR"/>
        </w:rPr>
      </w:pPr>
    </w:p>
    <w:p w14:paraId="1E9D873D" w14:textId="77777777" w:rsidR="0097664C" w:rsidRPr="0097664C" w:rsidRDefault="0097664C" w:rsidP="0097664C">
      <w:pPr>
        <w:numPr>
          <w:ilvl w:val="0"/>
          <w:numId w:val="1"/>
        </w:numPr>
        <w:jc w:val="both"/>
        <w:rPr>
          <w:sz w:val="24"/>
          <w:szCs w:val="24"/>
          <w:lang w:val="pt-BR"/>
        </w:rPr>
      </w:pPr>
      <w:r w:rsidRPr="0097664C">
        <w:rPr>
          <w:sz w:val="24"/>
          <w:szCs w:val="24"/>
          <w:lang w:val="pt-BR"/>
        </w:rPr>
        <w:t xml:space="preserve">Ibrahim AGAE-R, </w:t>
      </w:r>
      <w:proofErr w:type="spellStart"/>
      <w:r w:rsidRPr="0097664C">
        <w:rPr>
          <w:sz w:val="24"/>
          <w:szCs w:val="24"/>
          <w:lang w:val="pt-BR"/>
        </w:rPr>
        <w:t>Vêncio</w:t>
      </w:r>
      <w:proofErr w:type="spellEnd"/>
      <w:r w:rsidRPr="0097664C">
        <w:rPr>
          <w:sz w:val="24"/>
          <w:szCs w:val="24"/>
          <w:lang w:val="pt-BR"/>
        </w:rPr>
        <w:t xml:space="preserve"> RZN, Lorenzetti APR, Koide T. </w:t>
      </w:r>
      <w:proofErr w:type="spellStart"/>
      <w:r w:rsidRPr="0097664C">
        <w:rPr>
          <w:sz w:val="24"/>
          <w:szCs w:val="24"/>
          <w:lang w:val="pt-BR"/>
        </w:rPr>
        <w:t>Halobacterium</w:t>
      </w:r>
      <w:proofErr w:type="spellEnd"/>
      <w:r w:rsidRPr="0097664C">
        <w:rPr>
          <w:sz w:val="24"/>
          <w:szCs w:val="24"/>
          <w:lang w:val="pt-BR"/>
        </w:rPr>
        <w:t xml:space="preserve"> </w:t>
      </w:r>
      <w:proofErr w:type="spellStart"/>
      <w:r w:rsidRPr="0097664C">
        <w:rPr>
          <w:sz w:val="24"/>
          <w:szCs w:val="24"/>
          <w:lang w:val="pt-BR"/>
        </w:rPr>
        <w:t>salinarum</w:t>
      </w:r>
      <w:proofErr w:type="spellEnd"/>
      <w:r w:rsidRPr="0097664C">
        <w:rPr>
          <w:sz w:val="24"/>
          <w:szCs w:val="24"/>
          <w:lang w:val="pt-BR"/>
        </w:rPr>
        <w:t xml:space="preserve"> </w:t>
      </w:r>
      <w:proofErr w:type="spellStart"/>
      <w:r w:rsidRPr="0097664C">
        <w:rPr>
          <w:sz w:val="24"/>
          <w:szCs w:val="24"/>
          <w:lang w:val="pt-BR"/>
        </w:rPr>
        <w:t>and</w:t>
      </w:r>
      <w:proofErr w:type="spellEnd"/>
      <w:r w:rsidRPr="0097664C">
        <w:rPr>
          <w:sz w:val="24"/>
          <w:szCs w:val="24"/>
          <w:lang w:val="pt-BR"/>
        </w:rPr>
        <w:t xml:space="preserve"> </w:t>
      </w:r>
      <w:proofErr w:type="spellStart"/>
      <w:r w:rsidRPr="0097664C">
        <w:rPr>
          <w:sz w:val="24"/>
          <w:szCs w:val="24"/>
          <w:lang w:val="pt-BR"/>
        </w:rPr>
        <w:t>Haloferax</w:t>
      </w:r>
      <w:proofErr w:type="spellEnd"/>
      <w:r w:rsidRPr="0097664C">
        <w:rPr>
          <w:sz w:val="24"/>
          <w:szCs w:val="24"/>
          <w:lang w:val="pt-BR"/>
        </w:rPr>
        <w:t xml:space="preserve"> </w:t>
      </w:r>
      <w:proofErr w:type="spellStart"/>
      <w:r w:rsidRPr="0097664C">
        <w:rPr>
          <w:sz w:val="24"/>
          <w:szCs w:val="24"/>
          <w:lang w:val="pt-BR"/>
        </w:rPr>
        <w:t>volcanii</w:t>
      </w:r>
      <w:proofErr w:type="spellEnd"/>
      <w:r w:rsidRPr="0097664C">
        <w:rPr>
          <w:sz w:val="24"/>
          <w:szCs w:val="24"/>
          <w:lang w:val="pt-BR"/>
        </w:rPr>
        <w:t xml:space="preserve"> </w:t>
      </w:r>
      <w:proofErr w:type="spellStart"/>
      <w:r w:rsidRPr="0097664C">
        <w:rPr>
          <w:sz w:val="24"/>
          <w:szCs w:val="24"/>
          <w:lang w:val="pt-BR"/>
        </w:rPr>
        <w:t>comparative</w:t>
      </w:r>
      <w:proofErr w:type="spellEnd"/>
      <w:r w:rsidRPr="0097664C">
        <w:rPr>
          <w:sz w:val="24"/>
          <w:szCs w:val="24"/>
          <w:lang w:val="pt-BR"/>
        </w:rPr>
        <w:t xml:space="preserve"> </w:t>
      </w:r>
      <w:proofErr w:type="spellStart"/>
      <w:r w:rsidRPr="0097664C">
        <w:rPr>
          <w:sz w:val="24"/>
          <w:szCs w:val="24"/>
          <w:lang w:val="pt-BR"/>
        </w:rPr>
        <w:t>transcriptomics</w:t>
      </w:r>
      <w:proofErr w:type="spellEnd"/>
      <w:r w:rsidRPr="0097664C">
        <w:rPr>
          <w:sz w:val="24"/>
          <w:szCs w:val="24"/>
          <w:lang w:val="pt-BR"/>
        </w:rPr>
        <w:t xml:space="preserve"> </w:t>
      </w:r>
      <w:proofErr w:type="spellStart"/>
      <w:r w:rsidRPr="0097664C">
        <w:rPr>
          <w:sz w:val="24"/>
          <w:szCs w:val="24"/>
          <w:lang w:val="pt-BR"/>
        </w:rPr>
        <w:t>reveals</w:t>
      </w:r>
      <w:proofErr w:type="spellEnd"/>
      <w:r w:rsidRPr="0097664C">
        <w:rPr>
          <w:sz w:val="24"/>
          <w:szCs w:val="24"/>
          <w:lang w:val="pt-BR"/>
        </w:rPr>
        <w:t xml:space="preserve"> </w:t>
      </w:r>
      <w:proofErr w:type="spellStart"/>
      <w:r w:rsidRPr="0097664C">
        <w:rPr>
          <w:sz w:val="24"/>
          <w:szCs w:val="24"/>
          <w:lang w:val="pt-BR"/>
        </w:rPr>
        <w:t>conserved</w:t>
      </w:r>
      <w:proofErr w:type="spellEnd"/>
      <w:r w:rsidRPr="0097664C">
        <w:rPr>
          <w:sz w:val="24"/>
          <w:szCs w:val="24"/>
          <w:lang w:val="pt-BR"/>
        </w:rPr>
        <w:t xml:space="preserve"> </w:t>
      </w:r>
      <w:proofErr w:type="spellStart"/>
      <w:r w:rsidRPr="0097664C">
        <w:rPr>
          <w:sz w:val="24"/>
          <w:szCs w:val="24"/>
          <w:lang w:val="pt-BR"/>
        </w:rPr>
        <w:t>transcriptional</w:t>
      </w:r>
      <w:proofErr w:type="spellEnd"/>
      <w:r w:rsidRPr="0097664C">
        <w:rPr>
          <w:sz w:val="24"/>
          <w:szCs w:val="24"/>
          <w:lang w:val="pt-BR"/>
        </w:rPr>
        <w:t xml:space="preserve"> </w:t>
      </w:r>
      <w:proofErr w:type="spellStart"/>
      <w:r w:rsidRPr="0097664C">
        <w:rPr>
          <w:sz w:val="24"/>
          <w:szCs w:val="24"/>
          <w:lang w:val="pt-BR"/>
        </w:rPr>
        <w:t>processing</w:t>
      </w:r>
      <w:proofErr w:type="spellEnd"/>
      <w:r w:rsidRPr="0097664C">
        <w:rPr>
          <w:sz w:val="24"/>
          <w:szCs w:val="24"/>
          <w:lang w:val="pt-BR"/>
        </w:rPr>
        <w:t xml:space="preserve"> sites. </w:t>
      </w:r>
      <w:r w:rsidRPr="0097664C">
        <w:rPr>
          <w:i/>
          <w:iCs/>
          <w:sz w:val="24"/>
          <w:szCs w:val="24"/>
          <w:lang w:val="pt-BR"/>
        </w:rPr>
        <w:t>Genes</w:t>
      </w:r>
      <w:r w:rsidRPr="0097664C">
        <w:rPr>
          <w:sz w:val="24"/>
          <w:szCs w:val="24"/>
          <w:lang w:val="pt-BR"/>
        </w:rPr>
        <w:t xml:space="preserve">. 2021;12(7):1018. </w:t>
      </w:r>
      <w:hyperlink r:id="rId8" w:tgtFrame="_new" w:history="1">
        <w:r w:rsidRPr="0097664C">
          <w:rPr>
            <w:rStyle w:val="Hyperlink"/>
            <w:sz w:val="24"/>
            <w:szCs w:val="24"/>
            <w:lang w:val="pt-BR"/>
          </w:rPr>
          <w:t>https://doi.org/10.3390/genes12071018</w:t>
        </w:r>
      </w:hyperlink>
      <w:r w:rsidRPr="0097664C">
        <w:rPr>
          <w:sz w:val="24"/>
          <w:szCs w:val="24"/>
          <w:lang w:val="pt-BR"/>
        </w:rPr>
        <w:t xml:space="preserve"> </w:t>
      </w:r>
    </w:p>
    <w:p w14:paraId="1C59E530" w14:textId="77777777" w:rsidR="0097664C" w:rsidRPr="0097664C" w:rsidRDefault="0097664C" w:rsidP="0097664C">
      <w:pPr>
        <w:numPr>
          <w:ilvl w:val="0"/>
          <w:numId w:val="1"/>
        </w:numPr>
        <w:jc w:val="both"/>
        <w:rPr>
          <w:sz w:val="24"/>
          <w:szCs w:val="24"/>
          <w:lang w:val="pt-BR"/>
        </w:rPr>
      </w:pPr>
      <w:r w:rsidRPr="0097664C">
        <w:rPr>
          <w:sz w:val="24"/>
          <w:szCs w:val="24"/>
          <w:lang w:val="en-US"/>
        </w:rPr>
        <w:t xml:space="preserve">Ibrahim AGAE-R. Discovery of transcription start, process, and termination sites in </w:t>
      </w:r>
      <w:r w:rsidRPr="0097664C">
        <w:rPr>
          <w:i/>
          <w:iCs/>
          <w:sz w:val="24"/>
          <w:szCs w:val="24"/>
          <w:lang w:val="en-US"/>
        </w:rPr>
        <w:t xml:space="preserve">Halobacterium </w:t>
      </w:r>
      <w:proofErr w:type="spellStart"/>
      <w:r w:rsidRPr="0097664C">
        <w:rPr>
          <w:i/>
          <w:iCs/>
          <w:sz w:val="24"/>
          <w:szCs w:val="24"/>
          <w:lang w:val="en-US"/>
        </w:rPr>
        <w:t>salinarum</w:t>
      </w:r>
      <w:proofErr w:type="spellEnd"/>
      <w:r w:rsidRPr="0097664C">
        <w:rPr>
          <w:sz w:val="24"/>
          <w:szCs w:val="24"/>
          <w:lang w:val="en-US"/>
        </w:rPr>
        <w:t xml:space="preserve"> NRC-1 using </w:t>
      </w:r>
      <w:proofErr w:type="spellStart"/>
      <w:r w:rsidRPr="0097664C">
        <w:rPr>
          <w:sz w:val="24"/>
          <w:szCs w:val="24"/>
          <w:lang w:val="en-US"/>
        </w:rPr>
        <w:t>dRNA</w:t>
      </w:r>
      <w:proofErr w:type="spellEnd"/>
      <w:r w:rsidRPr="0097664C">
        <w:rPr>
          <w:sz w:val="24"/>
          <w:szCs w:val="24"/>
          <w:lang w:val="en-US"/>
        </w:rPr>
        <w:t xml:space="preserve">-seq. </w:t>
      </w:r>
      <w:proofErr w:type="spellStart"/>
      <w:r w:rsidRPr="0097664C">
        <w:rPr>
          <w:sz w:val="24"/>
          <w:szCs w:val="24"/>
          <w:lang w:val="pt-BR"/>
        </w:rPr>
        <w:t>Doctoral</w:t>
      </w:r>
      <w:proofErr w:type="spellEnd"/>
      <w:r w:rsidRPr="0097664C">
        <w:rPr>
          <w:sz w:val="24"/>
          <w:szCs w:val="24"/>
          <w:lang w:val="pt-BR"/>
        </w:rPr>
        <w:t xml:space="preserve"> </w:t>
      </w:r>
      <w:proofErr w:type="spellStart"/>
      <w:r w:rsidRPr="0097664C">
        <w:rPr>
          <w:sz w:val="24"/>
          <w:szCs w:val="24"/>
          <w:lang w:val="pt-BR"/>
        </w:rPr>
        <w:t>thesis</w:t>
      </w:r>
      <w:proofErr w:type="spellEnd"/>
      <w:r w:rsidRPr="0097664C">
        <w:rPr>
          <w:sz w:val="24"/>
          <w:szCs w:val="24"/>
          <w:lang w:val="pt-BR"/>
        </w:rPr>
        <w:t xml:space="preserve">. São Paulo: Universidade de São Paulo; 2023. </w:t>
      </w:r>
      <w:hyperlink r:id="rId9" w:tgtFrame="_new" w:history="1">
        <w:r w:rsidRPr="0097664C">
          <w:rPr>
            <w:rStyle w:val="Hyperlink"/>
            <w:sz w:val="24"/>
            <w:szCs w:val="24"/>
            <w:lang w:val="pt-BR"/>
          </w:rPr>
          <w:t>https://doi.org/10.11606/T.95.2023.tde-17082023-215744</w:t>
        </w:r>
      </w:hyperlink>
      <w:r w:rsidRPr="0097664C">
        <w:rPr>
          <w:sz w:val="24"/>
          <w:szCs w:val="24"/>
          <w:lang w:val="pt-BR"/>
        </w:rPr>
        <w:t xml:space="preserve"> </w:t>
      </w:r>
    </w:p>
    <w:sectPr w:rsidR="0097664C" w:rsidRPr="0097664C" w:rsidSect="009C05D2">
      <w:pgSz w:w="11906" w:h="16838"/>
      <w:pgMar w:top="1417" w:right="1196"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652E5E"/>
    <w:multiLevelType w:val="multilevel"/>
    <w:tmpl w:val="2E18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83034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5D2"/>
    <w:rsid w:val="001C39D4"/>
    <w:rsid w:val="0026688E"/>
    <w:rsid w:val="002D7EE1"/>
    <w:rsid w:val="004248A5"/>
    <w:rsid w:val="00450045"/>
    <w:rsid w:val="004C3804"/>
    <w:rsid w:val="0061555B"/>
    <w:rsid w:val="00615FBD"/>
    <w:rsid w:val="00635BC2"/>
    <w:rsid w:val="0066262E"/>
    <w:rsid w:val="007A769A"/>
    <w:rsid w:val="0083213D"/>
    <w:rsid w:val="00843576"/>
    <w:rsid w:val="008465B7"/>
    <w:rsid w:val="00896D1F"/>
    <w:rsid w:val="0097664C"/>
    <w:rsid w:val="009955BC"/>
    <w:rsid w:val="009C05D2"/>
    <w:rsid w:val="009D028C"/>
    <w:rsid w:val="009D2380"/>
    <w:rsid w:val="00A72B6C"/>
    <w:rsid w:val="00AE39B0"/>
    <w:rsid w:val="00B04E0E"/>
    <w:rsid w:val="00B80EEB"/>
    <w:rsid w:val="00B9312C"/>
    <w:rsid w:val="00BA2F83"/>
    <w:rsid w:val="00BB0902"/>
    <w:rsid w:val="00C43B5E"/>
    <w:rsid w:val="00CE3212"/>
    <w:rsid w:val="00D016BC"/>
    <w:rsid w:val="00D47714"/>
    <w:rsid w:val="00D54876"/>
    <w:rsid w:val="00D702A1"/>
    <w:rsid w:val="00DD3282"/>
    <w:rsid w:val="00DE2C3E"/>
    <w:rsid w:val="00E346F1"/>
    <w:rsid w:val="00EB63D0"/>
    <w:rsid w:val="00F56DF7"/>
    <w:rsid w:val="00FC6571"/>
    <w:rsid w:val="00FD189C"/>
    <w:rsid w:val="00FF650B"/>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C382D"/>
  <w15:chartTrackingRefBased/>
  <w15:docId w15:val="{E1AFC0E4-AB50-439B-9C3E-6AFBACCA4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5D2"/>
    <w:pPr>
      <w:spacing w:after="0" w:line="276" w:lineRule="auto"/>
    </w:pPr>
    <w:rPr>
      <w:rFonts w:ascii="Arial" w:eastAsia="Arial" w:hAnsi="Arial" w:cs="Arial"/>
      <w:lang w:val="en"/>
      <w14:ligatures w14:val="none"/>
    </w:rPr>
  </w:style>
  <w:style w:type="paragraph" w:styleId="Ttulo1">
    <w:name w:val="heading 1"/>
    <w:basedOn w:val="Normal"/>
    <w:next w:val="Normal"/>
    <w:link w:val="Ttulo1Char"/>
    <w:uiPriority w:val="9"/>
    <w:qFormat/>
    <w:rsid w:val="009C05D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9C05D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9C05D2"/>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9C05D2"/>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9C05D2"/>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9C05D2"/>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C05D2"/>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C05D2"/>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C05D2"/>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C05D2"/>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rsid w:val="009C05D2"/>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9C05D2"/>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9C05D2"/>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9C05D2"/>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9C05D2"/>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C05D2"/>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C05D2"/>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C05D2"/>
    <w:rPr>
      <w:rFonts w:eastAsiaTheme="majorEastAsia" w:cstheme="majorBidi"/>
      <w:color w:val="272727" w:themeColor="text1" w:themeTint="D8"/>
    </w:rPr>
  </w:style>
  <w:style w:type="paragraph" w:styleId="Ttulo">
    <w:name w:val="Title"/>
    <w:basedOn w:val="Normal"/>
    <w:next w:val="Normal"/>
    <w:link w:val="TtuloChar"/>
    <w:uiPriority w:val="10"/>
    <w:qFormat/>
    <w:rsid w:val="009C05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9C05D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9C05D2"/>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9C05D2"/>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C05D2"/>
    <w:pPr>
      <w:spacing w:before="160"/>
      <w:jc w:val="center"/>
    </w:pPr>
    <w:rPr>
      <w:i/>
      <w:iCs/>
      <w:color w:val="404040" w:themeColor="text1" w:themeTint="BF"/>
    </w:rPr>
  </w:style>
  <w:style w:type="character" w:customStyle="1" w:styleId="CitaoChar">
    <w:name w:val="Citação Char"/>
    <w:basedOn w:val="Fontepargpadro"/>
    <w:link w:val="Citao"/>
    <w:uiPriority w:val="29"/>
    <w:rsid w:val="009C05D2"/>
    <w:rPr>
      <w:i/>
      <w:iCs/>
      <w:color w:val="404040" w:themeColor="text1" w:themeTint="BF"/>
    </w:rPr>
  </w:style>
  <w:style w:type="paragraph" w:styleId="PargrafodaLista">
    <w:name w:val="List Paragraph"/>
    <w:basedOn w:val="Normal"/>
    <w:uiPriority w:val="34"/>
    <w:qFormat/>
    <w:rsid w:val="009C05D2"/>
    <w:pPr>
      <w:ind w:left="720"/>
      <w:contextualSpacing/>
    </w:pPr>
  </w:style>
  <w:style w:type="character" w:styleId="nfaseIntensa">
    <w:name w:val="Intense Emphasis"/>
    <w:basedOn w:val="Fontepargpadro"/>
    <w:uiPriority w:val="21"/>
    <w:qFormat/>
    <w:rsid w:val="009C05D2"/>
    <w:rPr>
      <w:i/>
      <w:iCs/>
      <w:color w:val="2F5496" w:themeColor="accent1" w:themeShade="BF"/>
    </w:rPr>
  </w:style>
  <w:style w:type="paragraph" w:styleId="CitaoIntensa">
    <w:name w:val="Intense Quote"/>
    <w:basedOn w:val="Normal"/>
    <w:next w:val="Normal"/>
    <w:link w:val="CitaoIntensaChar"/>
    <w:uiPriority w:val="30"/>
    <w:qFormat/>
    <w:rsid w:val="009C05D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9C05D2"/>
    <w:rPr>
      <w:i/>
      <w:iCs/>
      <w:color w:val="2F5496" w:themeColor="accent1" w:themeShade="BF"/>
    </w:rPr>
  </w:style>
  <w:style w:type="character" w:styleId="RefernciaIntensa">
    <w:name w:val="Intense Reference"/>
    <w:basedOn w:val="Fontepargpadro"/>
    <w:uiPriority w:val="32"/>
    <w:qFormat/>
    <w:rsid w:val="009C05D2"/>
    <w:rPr>
      <w:b/>
      <w:bCs/>
      <w:smallCaps/>
      <w:color w:val="2F5496" w:themeColor="accent1" w:themeShade="BF"/>
      <w:spacing w:val="5"/>
    </w:rPr>
  </w:style>
  <w:style w:type="paragraph" w:styleId="Textodecomentrio">
    <w:name w:val="annotation text"/>
    <w:basedOn w:val="Normal"/>
    <w:link w:val="TextodecomentrioChar"/>
    <w:uiPriority w:val="99"/>
    <w:unhideWhenUsed/>
    <w:rsid w:val="009C05D2"/>
    <w:pPr>
      <w:spacing w:line="240" w:lineRule="auto"/>
    </w:pPr>
    <w:rPr>
      <w:sz w:val="20"/>
      <w:szCs w:val="20"/>
    </w:rPr>
  </w:style>
  <w:style w:type="character" w:customStyle="1" w:styleId="TextodecomentrioChar">
    <w:name w:val="Texto de comentário Char"/>
    <w:basedOn w:val="Fontepargpadro"/>
    <w:link w:val="Textodecomentrio"/>
    <w:uiPriority w:val="99"/>
    <w:rsid w:val="009C05D2"/>
    <w:rPr>
      <w:rFonts w:ascii="Arial" w:eastAsia="Arial" w:hAnsi="Arial" w:cs="Arial"/>
      <w:sz w:val="20"/>
      <w:szCs w:val="20"/>
      <w:lang w:val="en"/>
      <w14:ligatures w14:val="none"/>
    </w:rPr>
  </w:style>
  <w:style w:type="character" w:styleId="Refdecomentrio">
    <w:name w:val="annotation reference"/>
    <w:basedOn w:val="Fontepargpadro"/>
    <w:uiPriority w:val="99"/>
    <w:semiHidden/>
    <w:unhideWhenUsed/>
    <w:rsid w:val="009C05D2"/>
    <w:rPr>
      <w:sz w:val="16"/>
      <w:szCs w:val="16"/>
    </w:rPr>
  </w:style>
  <w:style w:type="character" w:styleId="Hyperlink">
    <w:name w:val="Hyperlink"/>
    <w:basedOn w:val="Fontepargpadro"/>
    <w:uiPriority w:val="99"/>
    <w:unhideWhenUsed/>
    <w:rsid w:val="00BB0902"/>
    <w:rPr>
      <w:color w:val="0563C1" w:themeColor="hyperlink"/>
      <w:u w:val="single"/>
    </w:rPr>
  </w:style>
  <w:style w:type="paragraph" w:styleId="Reviso">
    <w:name w:val="Revision"/>
    <w:hidden/>
    <w:uiPriority w:val="99"/>
    <w:semiHidden/>
    <w:rsid w:val="00BB0902"/>
    <w:pPr>
      <w:spacing w:after="0" w:line="240" w:lineRule="auto"/>
    </w:pPr>
    <w:rPr>
      <w:rFonts w:ascii="Arial" w:eastAsia="Arial" w:hAnsi="Arial" w:cs="Arial"/>
      <w:lang w:val="en"/>
      <w14:ligatures w14:val="none"/>
    </w:rPr>
  </w:style>
  <w:style w:type="character" w:styleId="MenoPendente">
    <w:name w:val="Unresolved Mention"/>
    <w:basedOn w:val="Fontepargpadro"/>
    <w:uiPriority w:val="99"/>
    <w:semiHidden/>
    <w:unhideWhenUsed/>
    <w:rsid w:val="00976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390/genes12071018"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1606/T.95.2023.tde-17082023-215744"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3</Pages>
  <Words>600</Words>
  <Characters>4005</Characters>
  <Application>Microsoft Office Word</Application>
  <DocSecurity>0</DocSecurity>
  <Lines>75</Lines>
  <Paragraphs>21</Paragraphs>
  <ScaleCrop>false</ScaleCrop>
  <Company/>
  <LinksUpToDate>false</LinksUpToDate>
  <CharactersWithSpaces>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galal</dc:creator>
  <cp:keywords/>
  <dc:description/>
  <cp:lastModifiedBy>Edson Adriano</cp:lastModifiedBy>
  <cp:revision>27</cp:revision>
  <dcterms:created xsi:type="dcterms:W3CDTF">2025-12-22T03:26:00Z</dcterms:created>
  <dcterms:modified xsi:type="dcterms:W3CDTF">2026-04-08T13:50:00Z</dcterms:modified>
</cp:coreProperties>
</file>