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single" w:color="auto" w:sz="12" w:space="0"/>
          <w:left w:val="none" w:color="auto" w:sz="4" w:space="0"/>
          <w:bottom w:val="single" w:color="auto" w:sz="12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849"/>
        <w:gridCol w:w="1419"/>
        <w:gridCol w:w="514"/>
        <w:gridCol w:w="1912"/>
        <w:gridCol w:w="1745"/>
      </w:tblGrid>
      <w:tr w14:paraId="48A20D76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E7E6E6"/>
            <w:vAlign w:val="center"/>
          </w:tcPr>
          <w:p w14:paraId="4A856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en-US"/>
              </w:rPr>
            </w:pPr>
            <w:bookmarkStart w:id="0" w:name="OLE_LINK3"/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1091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E7E6E6"/>
            <w:vAlign w:val="center"/>
          </w:tcPr>
          <w:p w14:paraId="43132E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Total</w:t>
            </w:r>
          </w:p>
          <w:p w14:paraId="68A07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(n = 27)</w:t>
            </w:r>
          </w:p>
        </w:tc>
        <w:tc>
          <w:tcPr>
            <w:tcW w:w="107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E7E6E6"/>
            <w:vAlign w:val="center"/>
          </w:tcPr>
          <w:p w14:paraId="55F3C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MRD persistence</w:t>
            </w:r>
          </w:p>
          <w:p w14:paraId="34EE1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(n = 20)</w:t>
            </w:r>
          </w:p>
        </w:tc>
        <w:tc>
          <w:tcPr>
            <w:tcW w:w="98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E7E6E6"/>
            <w:vAlign w:val="center"/>
          </w:tcPr>
          <w:p w14:paraId="54655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MRD Relapse</w:t>
            </w:r>
          </w:p>
          <w:p w14:paraId="5ACDC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(n = 7)</w:t>
            </w:r>
          </w:p>
        </w:tc>
      </w:tr>
      <w:tr w14:paraId="76488BA8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pct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vAlign w:val="center"/>
          </w:tcPr>
          <w:p w14:paraId="4F634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bookmarkStart w:id="1" w:name="OLE_LINK4"/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Age, years, mean (range)</w:t>
            </w:r>
          </w:p>
        </w:tc>
        <w:tc>
          <w:tcPr>
            <w:tcW w:w="1091" w:type="pct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vAlign w:val="center"/>
          </w:tcPr>
          <w:p w14:paraId="27E7E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39 (15-61)</w:t>
            </w:r>
          </w:p>
        </w:tc>
        <w:tc>
          <w:tcPr>
            <w:tcW w:w="107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vAlign w:val="center"/>
          </w:tcPr>
          <w:p w14:paraId="6D3E3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36 (15-61)</w:t>
            </w:r>
          </w:p>
        </w:tc>
        <w:tc>
          <w:tcPr>
            <w:tcW w:w="985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vAlign w:val="center"/>
          </w:tcPr>
          <w:p w14:paraId="23154D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55 (26-60)</w:t>
            </w:r>
          </w:p>
        </w:tc>
      </w:tr>
      <w:tr w14:paraId="60E7EF84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3B697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Male, %</w:t>
            </w: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17DAD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10, 37.0%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4718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7, 35.0%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17A7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3, 42.9%</w:t>
            </w:r>
          </w:p>
        </w:tc>
      </w:tr>
      <w:tr w14:paraId="3F6F3946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223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Female, %</w:t>
            </w: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9C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17, 63.0%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FA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13, 65.0%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85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4, 57.1%</w:t>
            </w:r>
          </w:p>
        </w:tc>
      </w:tr>
      <w:tr w14:paraId="0AD1DFEF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12F5D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BM blast, %, median (range)</w:t>
            </w: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64F9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61.0 (27.0-92.0)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2EAC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63.8 (50.0-90.0)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CFAB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61.0 (27.0-92.0)</w:t>
            </w:r>
          </w:p>
        </w:tc>
      </w:tr>
      <w:tr w14:paraId="2B046932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79D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CBFB-MYH11</w:t>
            </w: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level at diagnosis, %, median (range)</w:t>
            </w: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C775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147.40</w:t>
            </w:r>
          </w:p>
          <w:p w14:paraId="07345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(8.10-675.20)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2E8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146.72</w:t>
            </w:r>
          </w:p>
          <w:p w14:paraId="2B027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(8.10-258.49)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BB0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268.30</w:t>
            </w:r>
          </w:p>
          <w:p w14:paraId="3563C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(46.37-675.20)</w:t>
            </w:r>
          </w:p>
        </w:tc>
      </w:tr>
      <w:tr w14:paraId="61441D26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2870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Additional cytogenetic abnormalities, No.(%)</w:t>
            </w:r>
          </w:p>
        </w:tc>
        <w:tc>
          <w:tcPr>
            <w:tcW w:w="1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4F556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009FC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 w14:paraId="108FCC4A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69C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NRAS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230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54C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13 (48.1%)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6C6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 (40.0%)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F2F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 (71.4%)</w:t>
            </w:r>
          </w:p>
        </w:tc>
      </w:tr>
      <w:tr w14:paraId="73DEE37C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FBE1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KIT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42E1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357FE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12 (44.4%)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B8C0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12 (60.0%)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22A1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0 (0.0%)</w:t>
            </w:r>
          </w:p>
        </w:tc>
      </w:tr>
      <w:tr w14:paraId="72B3D93F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F51A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KRAS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55A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BB5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 (25.9%)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F27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 (20.0%)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CC4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 (42.9%)</w:t>
            </w:r>
          </w:p>
        </w:tc>
      </w:tr>
      <w:tr w14:paraId="2CD64974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A82A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FLT3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1871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ABA5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 (25.9%)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6ECE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 (20.0%)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61128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 (42.9%)</w:t>
            </w:r>
          </w:p>
        </w:tc>
      </w:tr>
      <w:tr w14:paraId="07BF520E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76C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PTPN11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6D8A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FB2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 (14.8%)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E44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 (5.0%)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523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 (42.9%)</w:t>
            </w:r>
          </w:p>
        </w:tc>
      </w:tr>
      <w:tr w14:paraId="29623C48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30D4B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NF1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301B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35AC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 (11.1%)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1EBE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 (15.0%)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FE33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0 (0.0%)</w:t>
            </w:r>
          </w:p>
        </w:tc>
      </w:tr>
      <w:tr w14:paraId="048B60F2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CFD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WT1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166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FE4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 (7.4%)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3C2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 (5.0%)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843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 (14.3%)</w:t>
            </w:r>
          </w:p>
        </w:tc>
      </w:tr>
      <w:tr w14:paraId="6FDF2D8D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1504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No. of previous HDAC Cycles, median (range)</w:t>
            </w:r>
          </w:p>
        </w:tc>
        <w:tc>
          <w:tcPr>
            <w:tcW w:w="10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0B39B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 (0-4)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2BB9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 (0-4)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145C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 (1-4)</w:t>
            </w:r>
          </w:p>
        </w:tc>
      </w:tr>
      <w:tr w14:paraId="573668A8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pct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/>
            <w:vAlign w:val="center"/>
          </w:tcPr>
          <w:p w14:paraId="63B1B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No. of previous cycles, median (range)</w:t>
            </w:r>
          </w:p>
        </w:tc>
        <w:tc>
          <w:tcPr>
            <w:tcW w:w="1091" w:type="pct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/>
            <w:vAlign w:val="center"/>
          </w:tcPr>
          <w:p w14:paraId="7E7E0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 (2-9)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18" w:space="0"/>
              <w:right w:val="nil"/>
            </w:tcBorders>
            <w:shd w:val="clear"/>
            <w:vAlign w:val="center"/>
          </w:tcPr>
          <w:p w14:paraId="67440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 (2-9)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18" w:space="0"/>
              <w:right w:val="nil"/>
            </w:tcBorders>
            <w:shd w:val="clear"/>
            <w:vAlign w:val="center"/>
          </w:tcPr>
          <w:p w14:paraId="027E1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 (4-9)</w:t>
            </w:r>
            <w:bookmarkEnd w:id="1"/>
          </w:p>
        </w:tc>
      </w:tr>
      <w:bookmarkEnd w:id="0"/>
    </w:tbl>
    <w:p w14:paraId="066093A0">
      <w:pPr>
        <w:pStyle w:val="2"/>
        <w:widowControl/>
        <w:spacing w:line="360" w:lineRule="auto"/>
        <w:jc w:val="both"/>
        <w:rPr>
          <w:rFonts w:hint="default" w:ascii="Times New Roman" w:hAnsi="Times New Roman" w:eastAsia="等线" w:cs="Times New Roman"/>
          <w:b/>
          <w:bCs/>
          <w:sz w:val="22"/>
          <w:szCs w:val="22"/>
          <w:lang w:val="en-US" w:bidi="a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instrText xml:space="preserve"> SEQ Table \* ARABIC </w:instrTex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. Baseline Characteristics of 27 Patients in the Study Cohort.</w:t>
      </w:r>
    </w:p>
    <w:p w14:paraId="416EF81D">
      <w:pPr>
        <w:keepNext w:val="0"/>
        <w:keepLines w:val="0"/>
        <w:widowControl w:val="0"/>
        <w:suppressLineNumbers w:val="0"/>
        <w:spacing w:before="0" w:beforeAutospacing="0" w:after="16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0"/>
          <w:szCs w:val="20"/>
          <w:lang w:val="en-US" w:eastAsia="zh-CN" w:bidi="ar"/>
        </w:rPr>
        <w:t>Abbreviations: MRD, measurable residual disease; BM blast, bone marrow blast; HDAC, high dose cytarabine</w:t>
      </w:r>
      <w:bookmarkStart w:id="2" w:name="_GoBack"/>
      <w:bookmarkEnd w:id="2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60" w:afterAutospacing="0" w:line="276" w:lineRule="auto"/>
      <w:ind w:left="0" w:right="0"/>
      <w:jc w:val="left"/>
    </w:pPr>
    <w:rPr>
      <w:rFonts w:hint="default" w:ascii="等线 Light" w:hAnsi="等线 Light" w:eastAsia="黑体" w:cs="Times New Roman"/>
      <w:kern w:val="2"/>
      <w:sz w:val="20"/>
      <w:szCs w:val="20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2026-03-30T06:31:04Z</dcterms:created>
  <dc:creator>A1603</dc:creator>
  <cp:lastModifiedBy>XRC</cp:lastModifiedBy>
  <dcterms:modified xsi:type="dcterms:W3CDTF">2026-03-30T06:32:08Z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eyJoZGlkIjoiNWIyZmNlNGVmZjNjYzdlNzk2NmE4NzMzNDhlNTE2YzUiLCJ1c2VySWQiOiIxMzE5OTgzMzA5In0=</vt:lpwstr>
  </property>
  <property fmtid="{D5CDD505-2E9C-101B-9397-08002B2CF9AE}" pid="4" name="ICV">
    <vt:lpwstr>46D1C89E90594DA0898F404315FDB3CF_12</vt:lpwstr>
  </property>
</Properties>
</file>