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A652F" w14:textId="77777777" w:rsidR="005F08F3" w:rsidRDefault="005F08F3"/>
    <w:p w14:paraId="68D88BB9" w14:textId="77777777" w:rsidR="005F08F3" w:rsidRDefault="005F08F3"/>
    <w:p w14:paraId="56751544" w14:textId="77777777" w:rsidR="005F08F3" w:rsidRDefault="005F08F3"/>
    <w:p w14:paraId="64BDC278" w14:textId="77777777" w:rsidR="005F08F3" w:rsidRDefault="005F08F3"/>
    <w:p w14:paraId="5EDA5D98" w14:textId="77777777" w:rsidR="005F08F3" w:rsidRDefault="00000000">
      <w:pPr>
        <w:jc w:val="center"/>
      </w:pPr>
      <w:r>
        <w:rPr>
          <w:b/>
          <w:sz w:val="28"/>
        </w:rPr>
        <w:t>SUPPLEMENTARY FILE 3</w:t>
      </w:r>
    </w:p>
    <w:p w14:paraId="7A456E8D" w14:textId="77777777" w:rsidR="005F08F3" w:rsidRDefault="00000000">
      <w:pPr>
        <w:jc w:val="center"/>
      </w:pPr>
      <w:r>
        <w:rPr>
          <w:b/>
          <w:sz w:val="32"/>
        </w:rPr>
        <w:t>Data Collection Protocol</w:t>
      </w:r>
    </w:p>
    <w:p w14:paraId="54AF0B5C" w14:textId="77777777" w:rsidR="005F08F3" w:rsidRDefault="005F08F3"/>
    <w:p w14:paraId="5A53B73D" w14:textId="77777777" w:rsidR="005F08F3" w:rsidRPr="002B2957" w:rsidRDefault="00000000">
      <w:pPr>
        <w:jc w:val="center"/>
        <w:rPr>
          <w:iCs/>
          <w:sz w:val="24"/>
          <w:szCs w:val="24"/>
        </w:rPr>
      </w:pPr>
      <w:r w:rsidRPr="002B2957">
        <w:rPr>
          <w:iCs/>
          <w:sz w:val="24"/>
          <w:szCs w:val="24"/>
        </w:rPr>
        <w:t>Associated manuscript:</w:t>
      </w:r>
    </w:p>
    <w:p w14:paraId="58A991CD" w14:textId="77777777" w:rsidR="005F08F3" w:rsidRPr="002B2957" w:rsidRDefault="00000000">
      <w:pPr>
        <w:jc w:val="center"/>
        <w:rPr>
          <w:iCs/>
        </w:rPr>
      </w:pPr>
      <w:r w:rsidRPr="002B2957">
        <w:rPr>
          <w:iCs/>
          <w:sz w:val="24"/>
        </w:rPr>
        <w:t>"Strategic marginalisation of local purchasing in multinational subsidiaries:</w:t>
      </w:r>
      <w:r w:rsidRPr="002B2957">
        <w:rPr>
          <w:iCs/>
          <w:sz w:val="24"/>
        </w:rPr>
        <w:br/>
        <w:t>the case of Morocco's automotive industry"</w:t>
      </w:r>
    </w:p>
    <w:p w14:paraId="7C4B3BDD" w14:textId="77777777" w:rsidR="005F08F3" w:rsidRDefault="005F08F3"/>
    <w:p w14:paraId="6D4477AE" w14:textId="77777777" w:rsidR="005F08F3" w:rsidRPr="002B2957" w:rsidRDefault="00000000">
      <w:pPr>
        <w:jc w:val="center"/>
        <w:rPr>
          <w:sz w:val="24"/>
          <w:szCs w:val="24"/>
        </w:rPr>
      </w:pPr>
      <w:r w:rsidRPr="002B2957">
        <w:rPr>
          <w:sz w:val="24"/>
          <w:szCs w:val="24"/>
        </w:rPr>
        <w:t>Submitted to Humanities and Social Sciences Communications</w:t>
      </w:r>
    </w:p>
    <w:p w14:paraId="76B04BB6" w14:textId="77777777" w:rsidR="005F08F3" w:rsidRDefault="00000000">
      <w:r>
        <w:br w:type="page"/>
      </w:r>
    </w:p>
    <w:p w14:paraId="64558EE9" w14:textId="77777777" w:rsidR="005F08F3" w:rsidRPr="00CD133A" w:rsidRDefault="00000000">
      <w:pPr>
        <w:pStyle w:val="Titre1"/>
        <w:rPr>
          <w:sz w:val="24"/>
          <w:szCs w:val="24"/>
        </w:rPr>
      </w:pPr>
      <w:r w:rsidRPr="00CD133A">
        <w:rPr>
          <w:rFonts w:ascii="Times New Roman" w:hAnsi="Times New Roman"/>
          <w:color w:val="000000"/>
          <w:sz w:val="24"/>
          <w:szCs w:val="24"/>
        </w:rPr>
        <w:lastRenderedPageBreak/>
        <w:t>1. Study Overview</w:t>
      </w:r>
    </w:p>
    <w:p w14:paraId="41585BFB" w14:textId="77777777" w:rsidR="005F08F3" w:rsidRPr="002B2957" w:rsidRDefault="00000000" w:rsidP="002B2957">
      <w:pPr>
        <w:jc w:val="both"/>
        <w:rPr>
          <w:sz w:val="24"/>
          <w:szCs w:val="24"/>
        </w:rPr>
      </w:pPr>
      <w:r w:rsidRPr="002B2957">
        <w:rPr>
          <w:sz w:val="24"/>
          <w:szCs w:val="24"/>
        </w:rPr>
        <w:t>This document describes the data collection procedures used in the study. The research employed an abductive qualitative design (Dubois and Gadde, 2002) combining a multiple-case approach (Eisenhardt, 1989; Eisenhardt and Graebner, 2007) with the systematic coding procedures of the Gioia methodology (Gioia et al., 2013). Data were collected through 64 semi-structured interviews conducted across 35 multinational automotive subsidiaries operating in Morocco.</w:t>
      </w:r>
    </w:p>
    <w:tbl>
      <w:tblPr>
        <w:tblStyle w:val="Grilleclaire-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5F08F3" w14:paraId="49C22427" w14:textId="77777777" w:rsidTr="002B295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Borders>
              <w:top w:val="none" w:sz="0" w:space="0" w:color="auto"/>
              <w:left w:val="none" w:sz="0" w:space="0" w:color="auto"/>
              <w:bottom w:val="none" w:sz="0" w:space="0" w:color="auto"/>
              <w:right w:val="none" w:sz="0" w:space="0" w:color="auto"/>
            </w:tcBorders>
          </w:tcPr>
          <w:p w14:paraId="75CD9621" w14:textId="77777777" w:rsidR="005F08F3" w:rsidRDefault="00000000" w:rsidP="002B2957">
            <w:pPr>
              <w:jc w:val="center"/>
            </w:pPr>
            <w:r>
              <w:rPr>
                <w:sz w:val="20"/>
              </w:rPr>
              <w:t>Research design</w:t>
            </w:r>
          </w:p>
        </w:tc>
        <w:tc>
          <w:tcPr>
            <w:tcW w:w="4320" w:type="dxa"/>
            <w:tcBorders>
              <w:top w:val="none" w:sz="0" w:space="0" w:color="auto"/>
              <w:left w:val="none" w:sz="0" w:space="0" w:color="auto"/>
              <w:bottom w:val="none" w:sz="0" w:space="0" w:color="auto"/>
              <w:right w:val="none" w:sz="0" w:space="0" w:color="auto"/>
            </w:tcBorders>
          </w:tcPr>
          <w:p w14:paraId="6B056A0B" w14:textId="77777777" w:rsidR="005F08F3" w:rsidRDefault="00000000" w:rsidP="002B2957">
            <w:pPr>
              <w:jc w:val="center"/>
              <w:cnfStyle w:val="100000000000" w:firstRow="1" w:lastRow="0" w:firstColumn="0" w:lastColumn="0" w:oddVBand="0" w:evenVBand="0" w:oddHBand="0" w:evenHBand="0" w:firstRowFirstColumn="0" w:firstRowLastColumn="0" w:lastRowFirstColumn="0" w:lastRowLastColumn="0"/>
            </w:pPr>
            <w:r>
              <w:rPr>
                <w:sz w:val="20"/>
              </w:rPr>
              <w:t>Abductive qualitative, multiple-case study</w:t>
            </w:r>
          </w:p>
        </w:tc>
      </w:tr>
      <w:tr w:rsidR="005F08F3" w14:paraId="38965B8A" w14:textId="77777777" w:rsidTr="002B29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Borders>
              <w:top w:val="none" w:sz="0" w:space="0" w:color="auto"/>
              <w:left w:val="none" w:sz="0" w:space="0" w:color="auto"/>
              <w:bottom w:val="none" w:sz="0" w:space="0" w:color="auto"/>
              <w:right w:val="none" w:sz="0" w:space="0" w:color="auto"/>
            </w:tcBorders>
            <w:shd w:val="clear" w:color="auto" w:fill="auto"/>
          </w:tcPr>
          <w:p w14:paraId="37F1C542" w14:textId="77777777" w:rsidR="005F08F3" w:rsidRDefault="00000000" w:rsidP="002B2957">
            <w:pPr>
              <w:jc w:val="center"/>
            </w:pPr>
            <w:r>
              <w:rPr>
                <w:sz w:val="20"/>
              </w:rPr>
              <w:t>Data collection method</w:t>
            </w:r>
          </w:p>
        </w:tc>
        <w:tc>
          <w:tcPr>
            <w:tcW w:w="4320" w:type="dxa"/>
            <w:tcBorders>
              <w:top w:val="none" w:sz="0" w:space="0" w:color="auto"/>
              <w:left w:val="none" w:sz="0" w:space="0" w:color="auto"/>
              <w:bottom w:val="none" w:sz="0" w:space="0" w:color="auto"/>
              <w:right w:val="none" w:sz="0" w:space="0" w:color="auto"/>
            </w:tcBorders>
            <w:shd w:val="clear" w:color="auto" w:fill="auto"/>
          </w:tcPr>
          <w:p w14:paraId="51294DB1" w14:textId="77777777" w:rsidR="005F08F3" w:rsidRDefault="00000000" w:rsidP="002B2957">
            <w:pPr>
              <w:jc w:val="center"/>
              <w:cnfStyle w:val="000000100000" w:firstRow="0" w:lastRow="0" w:firstColumn="0" w:lastColumn="0" w:oddVBand="0" w:evenVBand="0" w:oddHBand="1" w:evenHBand="0" w:firstRowFirstColumn="0" w:firstRowLastColumn="0" w:lastRowFirstColumn="0" w:lastRowLastColumn="0"/>
            </w:pPr>
            <w:r>
              <w:rPr>
                <w:sz w:val="20"/>
              </w:rPr>
              <w:t>Semi-structured interviews</w:t>
            </w:r>
          </w:p>
        </w:tc>
      </w:tr>
      <w:tr w:rsidR="005F08F3" w14:paraId="78F71FDD" w14:textId="77777777" w:rsidTr="002B295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Borders>
              <w:top w:val="none" w:sz="0" w:space="0" w:color="auto"/>
              <w:left w:val="none" w:sz="0" w:space="0" w:color="auto"/>
              <w:bottom w:val="none" w:sz="0" w:space="0" w:color="auto"/>
              <w:right w:val="none" w:sz="0" w:space="0" w:color="auto"/>
            </w:tcBorders>
          </w:tcPr>
          <w:p w14:paraId="7B42879C" w14:textId="77777777" w:rsidR="005F08F3" w:rsidRDefault="00000000" w:rsidP="002B2957">
            <w:pPr>
              <w:jc w:val="center"/>
            </w:pPr>
            <w:r>
              <w:rPr>
                <w:sz w:val="20"/>
              </w:rPr>
              <w:t>Total interviews</w:t>
            </w:r>
          </w:p>
        </w:tc>
        <w:tc>
          <w:tcPr>
            <w:tcW w:w="4320" w:type="dxa"/>
            <w:tcBorders>
              <w:top w:val="none" w:sz="0" w:space="0" w:color="auto"/>
              <w:left w:val="none" w:sz="0" w:space="0" w:color="auto"/>
              <w:bottom w:val="none" w:sz="0" w:space="0" w:color="auto"/>
              <w:right w:val="none" w:sz="0" w:space="0" w:color="auto"/>
            </w:tcBorders>
          </w:tcPr>
          <w:p w14:paraId="42595AA4" w14:textId="77777777" w:rsidR="005F08F3" w:rsidRDefault="00000000" w:rsidP="002B2957">
            <w:pPr>
              <w:jc w:val="center"/>
              <w:cnfStyle w:val="000000010000" w:firstRow="0" w:lastRow="0" w:firstColumn="0" w:lastColumn="0" w:oddVBand="0" w:evenVBand="0" w:oddHBand="0" w:evenHBand="1" w:firstRowFirstColumn="0" w:firstRowLastColumn="0" w:lastRowFirstColumn="0" w:lastRowLastColumn="0"/>
            </w:pPr>
            <w:r>
              <w:rPr>
                <w:sz w:val="20"/>
              </w:rPr>
              <w:t>64</w:t>
            </w:r>
          </w:p>
        </w:tc>
      </w:tr>
      <w:tr w:rsidR="005F08F3" w14:paraId="408751E8" w14:textId="77777777" w:rsidTr="002B29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Borders>
              <w:top w:val="none" w:sz="0" w:space="0" w:color="auto"/>
              <w:left w:val="none" w:sz="0" w:space="0" w:color="auto"/>
              <w:bottom w:val="none" w:sz="0" w:space="0" w:color="auto"/>
              <w:right w:val="none" w:sz="0" w:space="0" w:color="auto"/>
            </w:tcBorders>
            <w:shd w:val="clear" w:color="auto" w:fill="auto"/>
          </w:tcPr>
          <w:p w14:paraId="3B8E5CC4" w14:textId="77777777" w:rsidR="005F08F3" w:rsidRDefault="00000000" w:rsidP="002B2957">
            <w:pPr>
              <w:jc w:val="center"/>
            </w:pPr>
            <w:r>
              <w:rPr>
                <w:sz w:val="20"/>
              </w:rPr>
              <w:t>Total cases (firms)</w:t>
            </w:r>
          </w:p>
        </w:tc>
        <w:tc>
          <w:tcPr>
            <w:tcW w:w="4320" w:type="dxa"/>
            <w:tcBorders>
              <w:top w:val="none" w:sz="0" w:space="0" w:color="auto"/>
              <w:left w:val="none" w:sz="0" w:space="0" w:color="auto"/>
              <w:bottom w:val="none" w:sz="0" w:space="0" w:color="auto"/>
              <w:right w:val="none" w:sz="0" w:space="0" w:color="auto"/>
            </w:tcBorders>
            <w:shd w:val="clear" w:color="auto" w:fill="auto"/>
          </w:tcPr>
          <w:p w14:paraId="5F89B23A" w14:textId="77777777" w:rsidR="005F08F3" w:rsidRDefault="00000000" w:rsidP="002B2957">
            <w:pPr>
              <w:jc w:val="center"/>
              <w:cnfStyle w:val="000000100000" w:firstRow="0" w:lastRow="0" w:firstColumn="0" w:lastColumn="0" w:oddVBand="0" w:evenVBand="0" w:oddHBand="1" w:evenHBand="0" w:firstRowFirstColumn="0" w:firstRowLastColumn="0" w:lastRowFirstColumn="0" w:lastRowLastColumn="0"/>
            </w:pPr>
            <w:r>
              <w:rPr>
                <w:sz w:val="20"/>
              </w:rPr>
              <w:t>35</w:t>
            </w:r>
          </w:p>
        </w:tc>
      </w:tr>
      <w:tr w:rsidR="005F08F3" w14:paraId="3E8F8A9F" w14:textId="77777777" w:rsidTr="002B295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Borders>
              <w:top w:val="none" w:sz="0" w:space="0" w:color="auto"/>
              <w:left w:val="none" w:sz="0" w:space="0" w:color="auto"/>
              <w:bottom w:val="none" w:sz="0" w:space="0" w:color="auto"/>
              <w:right w:val="none" w:sz="0" w:space="0" w:color="auto"/>
            </w:tcBorders>
          </w:tcPr>
          <w:p w14:paraId="225E0E45" w14:textId="77777777" w:rsidR="005F08F3" w:rsidRDefault="00000000" w:rsidP="002B2957">
            <w:pPr>
              <w:jc w:val="center"/>
            </w:pPr>
            <w:r>
              <w:rPr>
                <w:sz w:val="20"/>
              </w:rPr>
              <w:t>Analytical approach</w:t>
            </w:r>
          </w:p>
        </w:tc>
        <w:tc>
          <w:tcPr>
            <w:tcW w:w="4320" w:type="dxa"/>
            <w:tcBorders>
              <w:top w:val="none" w:sz="0" w:space="0" w:color="auto"/>
              <w:left w:val="none" w:sz="0" w:space="0" w:color="auto"/>
              <w:bottom w:val="none" w:sz="0" w:space="0" w:color="auto"/>
              <w:right w:val="none" w:sz="0" w:space="0" w:color="auto"/>
            </w:tcBorders>
          </w:tcPr>
          <w:p w14:paraId="0D563081" w14:textId="77777777" w:rsidR="005F08F3" w:rsidRDefault="00000000" w:rsidP="002B2957">
            <w:pPr>
              <w:jc w:val="center"/>
              <w:cnfStyle w:val="000000010000" w:firstRow="0" w:lastRow="0" w:firstColumn="0" w:lastColumn="0" w:oddVBand="0" w:evenVBand="0" w:oddHBand="0" w:evenHBand="1" w:firstRowFirstColumn="0" w:firstRowLastColumn="0" w:lastRowFirstColumn="0" w:lastRowLastColumn="0"/>
            </w:pPr>
            <w:r>
              <w:rPr>
                <w:sz w:val="20"/>
              </w:rPr>
              <w:t>Gioia methodology (Gioia et al., 2013)</w:t>
            </w:r>
          </w:p>
        </w:tc>
      </w:tr>
    </w:tbl>
    <w:p w14:paraId="23C5D3B9" w14:textId="77777777" w:rsidR="005F08F3" w:rsidRPr="00CD133A" w:rsidRDefault="00000000">
      <w:pPr>
        <w:pStyle w:val="Titre1"/>
        <w:rPr>
          <w:sz w:val="24"/>
          <w:szCs w:val="24"/>
        </w:rPr>
      </w:pPr>
      <w:r w:rsidRPr="00CD133A">
        <w:rPr>
          <w:rFonts w:ascii="Times New Roman" w:hAnsi="Times New Roman"/>
          <w:color w:val="000000"/>
          <w:sz w:val="24"/>
          <w:szCs w:val="24"/>
        </w:rPr>
        <w:t>2. Research Context</w:t>
      </w:r>
    </w:p>
    <w:p w14:paraId="77583180" w14:textId="77777777" w:rsidR="005F08F3" w:rsidRPr="002B2957" w:rsidRDefault="00000000" w:rsidP="002B2957">
      <w:pPr>
        <w:jc w:val="both"/>
        <w:rPr>
          <w:sz w:val="24"/>
          <w:szCs w:val="24"/>
        </w:rPr>
      </w:pPr>
      <w:r w:rsidRPr="002B2957">
        <w:rPr>
          <w:sz w:val="24"/>
          <w:szCs w:val="24"/>
        </w:rPr>
        <w:t>The study was conducted in the Moroccan automotive industry, which has become one of the country’s leading industrial and export sectors. At the time of data collection, the sector featured annual production exceeding 700,000 vehicles, export revenues above €10 billion, and an industrial base of more than 250 firms employing approximately 220,000 people.</w:t>
      </w:r>
    </w:p>
    <w:p w14:paraId="0D6FFEC7" w14:textId="77777777" w:rsidR="005F08F3" w:rsidRPr="002B2957" w:rsidRDefault="00000000" w:rsidP="002B2957">
      <w:pPr>
        <w:jc w:val="both"/>
        <w:rPr>
          <w:sz w:val="24"/>
          <w:szCs w:val="24"/>
        </w:rPr>
      </w:pPr>
      <w:r w:rsidRPr="002B2957">
        <w:rPr>
          <w:sz w:val="24"/>
          <w:szCs w:val="24"/>
        </w:rPr>
        <w:t>The industry is organised around five main ecosystems:</w:t>
      </w:r>
    </w:p>
    <w:p w14:paraId="1C8DD4C3" w14:textId="77777777" w:rsidR="005F08F3" w:rsidRPr="002B2957" w:rsidRDefault="00000000" w:rsidP="002B2957">
      <w:pPr>
        <w:pStyle w:val="Listepuces"/>
        <w:jc w:val="both"/>
        <w:rPr>
          <w:sz w:val="24"/>
          <w:szCs w:val="24"/>
        </w:rPr>
      </w:pPr>
      <w:r w:rsidRPr="002B2957">
        <w:rPr>
          <w:sz w:val="24"/>
          <w:szCs w:val="24"/>
        </w:rPr>
        <w:t>Wiring harnesses</w:t>
      </w:r>
    </w:p>
    <w:p w14:paraId="082806B9" w14:textId="77777777" w:rsidR="005F08F3" w:rsidRPr="002B2957" w:rsidRDefault="00000000" w:rsidP="002B2957">
      <w:pPr>
        <w:pStyle w:val="Listepuces"/>
        <w:jc w:val="both"/>
        <w:rPr>
          <w:sz w:val="24"/>
          <w:szCs w:val="24"/>
        </w:rPr>
      </w:pPr>
      <w:r w:rsidRPr="002B2957">
        <w:rPr>
          <w:sz w:val="24"/>
          <w:szCs w:val="24"/>
        </w:rPr>
        <w:t>Interiors and seats</w:t>
      </w:r>
    </w:p>
    <w:p w14:paraId="02969E6F" w14:textId="77777777" w:rsidR="005F08F3" w:rsidRPr="002B2957" w:rsidRDefault="00000000" w:rsidP="002B2957">
      <w:pPr>
        <w:pStyle w:val="Listepuces"/>
        <w:jc w:val="both"/>
        <w:rPr>
          <w:sz w:val="24"/>
          <w:szCs w:val="24"/>
        </w:rPr>
      </w:pPr>
      <w:r w:rsidRPr="002B2957">
        <w:rPr>
          <w:sz w:val="24"/>
          <w:szCs w:val="24"/>
        </w:rPr>
        <w:t>Batteries</w:t>
      </w:r>
    </w:p>
    <w:p w14:paraId="6748B6C7" w14:textId="77777777" w:rsidR="005F08F3" w:rsidRPr="002B2957" w:rsidRDefault="00000000" w:rsidP="002B2957">
      <w:pPr>
        <w:pStyle w:val="Listepuces"/>
        <w:jc w:val="both"/>
        <w:rPr>
          <w:sz w:val="24"/>
          <w:szCs w:val="24"/>
        </w:rPr>
      </w:pPr>
      <w:r w:rsidRPr="002B2957">
        <w:rPr>
          <w:sz w:val="24"/>
          <w:szCs w:val="24"/>
        </w:rPr>
        <w:t>Metal and stamping</w:t>
      </w:r>
    </w:p>
    <w:p w14:paraId="6B98E1CF" w14:textId="77777777" w:rsidR="005F08F3" w:rsidRPr="002B2957" w:rsidRDefault="00000000" w:rsidP="002B2957">
      <w:pPr>
        <w:pStyle w:val="Listepuces"/>
        <w:jc w:val="both"/>
        <w:rPr>
          <w:sz w:val="24"/>
          <w:szCs w:val="24"/>
        </w:rPr>
      </w:pPr>
      <w:r w:rsidRPr="002B2957">
        <w:rPr>
          <w:sz w:val="24"/>
          <w:szCs w:val="24"/>
        </w:rPr>
        <w:t>Engines and transmission (powertrain)</w:t>
      </w:r>
    </w:p>
    <w:p w14:paraId="631BBA28" w14:textId="77777777" w:rsidR="005F08F3" w:rsidRPr="002B2957" w:rsidRDefault="00000000" w:rsidP="002B2957">
      <w:pPr>
        <w:jc w:val="both"/>
        <w:rPr>
          <w:sz w:val="24"/>
          <w:szCs w:val="24"/>
        </w:rPr>
      </w:pPr>
      <w:r w:rsidRPr="002B2957">
        <w:rPr>
          <w:sz w:val="24"/>
          <w:szCs w:val="24"/>
        </w:rPr>
        <w:t>This context is particularly relevant for the study of local purchasing dynamics because it combines a high concentration of multinational subsidiaries, a structured supplier ecosystem, and a strong dependence on headquarters-driven governance models.</w:t>
      </w:r>
    </w:p>
    <w:p w14:paraId="39C18964" w14:textId="77777777" w:rsidR="005F08F3" w:rsidRPr="00CD133A" w:rsidRDefault="00000000">
      <w:pPr>
        <w:pStyle w:val="Titre1"/>
        <w:rPr>
          <w:sz w:val="24"/>
          <w:szCs w:val="24"/>
        </w:rPr>
      </w:pPr>
      <w:r w:rsidRPr="00CD133A">
        <w:rPr>
          <w:rFonts w:ascii="Times New Roman" w:hAnsi="Times New Roman"/>
          <w:color w:val="000000"/>
          <w:sz w:val="24"/>
          <w:szCs w:val="24"/>
        </w:rPr>
        <w:t>3. Sampling Strategy and Case Selection</w:t>
      </w:r>
    </w:p>
    <w:p w14:paraId="50C09AA4" w14:textId="77777777" w:rsidR="005F08F3" w:rsidRPr="002B2957" w:rsidRDefault="00000000">
      <w:pPr>
        <w:pStyle w:val="Titre2"/>
        <w:rPr>
          <w:sz w:val="24"/>
          <w:szCs w:val="24"/>
        </w:rPr>
      </w:pPr>
      <w:r w:rsidRPr="002B2957">
        <w:rPr>
          <w:rFonts w:ascii="Times New Roman" w:hAnsi="Times New Roman"/>
          <w:color w:val="000000"/>
          <w:sz w:val="24"/>
          <w:szCs w:val="24"/>
        </w:rPr>
        <w:t>3.1 Selection criteria</w:t>
      </w:r>
    </w:p>
    <w:p w14:paraId="07F97334" w14:textId="77777777" w:rsidR="005F08F3" w:rsidRPr="002B2957" w:rsidRDefault="00000000" w:rsidP="002B2957">
      <w:pPr>
        <w:jc w:val="both"/>
        <w:rPr>
          <w:sz w:val="24"/>
          <w:szCs w:val="24"/>
        </w:rPr>
      </w:pPr>
      <w:r w:rsidRPr="002B2957">
        <w:rPr>
          <w:sz w:val="24"/>
          <w:szCs w:val="24"/>
        </w:rPr>
        <w:t>Cases were selected according to four criteria designed to ensure relevance and comparability:</w:t>
      </w:r>
    </w:p>
    <w:p w14:paraId="07C53B68" w14:textId="77777777" w:rsidR="005F08F3" w:rsidRPr="002B2957" w:rsidRDefault="00000000" w:rsidP="002B2957">
      <w:pPr>
        <w:ind w:left="432"/>
        <w:jc w:val="both"/>
        <w:rPr>
          <w:sz w:val="24"/>
          <w:szCs w:val="24"/>
        </w:rPr>
      </w:pPr>
      <w:r w:rsidRPr="002B2957">
        <w:rPr>
          <w:b/>
          <w:sz w:val="24"/>
          <w:szCs w:val="24"/>
        </w:rPr>
        <w:t xml:space="preserve">Criterion 1 — Multinational subsidiary: </w:t>
      </w:r>
      <w:r w:rsidRPr="002B2957">
        <w:rPr>
          <w:sz w:val="24"/>
          <w:szCs w:val="24"/>
        </w:rPr>
        <w:t>Firms had to be subsidiaries of multinational groups, ensuring that the headquarters–subsidiary dynamic central to the research question was present.</w:t>
      </w:r>
    </w:p>
    <w:p w14:paraId="3484AA06" w14:textId="77777777" w:rsidR="005F08F3" w:rsidRPr="002B2957" w:rsidRDefault="00000000" w:rsidP="002B2957">
      <w:pPr>
        <w:ind w:left="432"/>
        <w:jc w:val="both"/>
        <w:rPr>
          <w:sz w:val="24"/>
          <w:szCs w:val="24"/>
        </w:rPr>
      </w:pPr>
      <w:r w:rsidRPr="002B2957">
        <w:rPr>
          <w:b/>
          <w:sz w:val="24"/>
          <w:szCs w:val="24"/>
        </w:rPr>
        <w:lastRenderedPageBreak/>
        <w:t xml:space="preserve">Criterion 2 — Automotive supplier: </w:t>
      </w:r>
      <w:r w:rsidRPr="002B2957">
        <w:rPr>
          <w:sz w:val="24"/>
          <w:szCs w:val="24"/>
        </w:rPr>
        <w:t>Firms had to operate as Tier 1 or Tier 2 automotive suppliers, ensuring a direct link to the automotive value chain and its specific purchasing dynamics.</w:t>
      </w:r>
    </w:p>
    <w:p w14:paraId="607B6638" w14:textId="77777777" w:rsidR="005F08F3" w:rsidRPr="002B2957" w:rsidRDefault="00000000" w:rsidP="002B2957">
      <w:pPr>
        <w:ind w:left="432"/>
        <w:jc w:val="both"/>
        <w:rPr>
          <w:sz w:val="24"/>
          <w:szCs w:val="24"/>
        </w:rPr>
      </w:pPr>
      <w:r w:rsidRPr="002B2957">
        <w:rPr>
          <w:b/>
          <w:sz w:val="24"/>
          <w:szCs w:val="24"/>
        </w:rPr>
        <w:t xml:space="preserve">Criterion 3 — Minimum operational tenure: </w:t>
      </w:r>
      <w:r w:rsidRPr="002B2957">
        <w:rPr>
          <w:sz w:val="24"/>
          <w:szCs w:val="24"/>
        </w:rPr>
        <w:t>Firms had to have been operating in Morocco for at least three years, ensuring sufficient organisational maturity for meaningful purchasing practices to have developed.</w:t>
      </w:r>
    </w:p>
    <w:p w14:paraId="790D5B77" w14:textId="77777777" w:rsidR="005F08F3" w:rsidRPr="002B2957" w:rsidRDefault="00000000" w:rsidP="002B2957">
      <w:pPr>
        <w:ind w:left="432"/>
        <w:jc w:val="both"/>
        <w:rPr>
          <w:sz w:val="24"/>
          <w:szCs w:val="24"/>
        </w:rPr>
      </w:pPr>
      <w:r w:rsidRPr="002B2957">
        <w:rPr>
          <w:b/>
          <w:sz w:val="24"/>
          <w:szCs w:val="24"/>
        </w:rPr>
        <w:t xml:space="preserve">Criterion 4 — Ecosystem coverage: </w:t>
      </w:r>
      <w:r w:rsidRPr="002B2957">
        <w:rPr>
          <w:sz w:val="24"/>
          <w:szCs w:val="24"/>
        </w:rPr>
        <w:t>The sample was designed to cover the five main automotive ecosystems in Morocco, ensuring representativeness across the industry’s structural diversity.</w:t>
      </w:r>
    </w:p>
    <w:p w14:paraId="107ADE5E" w14:textId="77777777" w:rsidR="005F08F3" w:rsidRPr="002B2957" w:rsidRDefault="00000000">
      <w:pPr>
        <w:pStyle w:val="Titre2"/>
        <w:rPr>
          <w:sz w:val="24"/>
          <w:szCs w:val="24"/>
        </w:rPr>
      </w:pPr>
      <w:r w:rsidRPr="002B2957">
        <w:rPr>
          <w:rFonts w:ascii="Times New Roman" w:hAnsi="Times New Roman"/>
          <w:color w:val="000000"/>
          <w:sz w:val="24"/>
          <w:szCs w:val="24"/>
        </w:rPr>
        <w:t>3.2 Sample composition</w:t>
      </w:r>
    </w:p>
    <w:p w14:paraId="54B1729F" w14:textId="77777777" w:rsidR="005F08F3" w:rsidRPr="002B2957" w:rsidRDefault="00000000" w:rsidP="002B2957">
      <w:pPr>
        <w:jc w:val="both"/>
        <w:rPr>
          <w:sz w:val="24"/>
          <w:szCs w:val="24"/>
        </w:rPr>
      </w:pPr>
      <w:r w:rsidRPr="002B2957">
        <w:rPr>
          <w:sz w:val="24"/>
          <w:szCs w:val="24"/>
        </w:rPr>
        <w:t>The final sample comprised 35 companies and 64 interviews. The sample was structured to ensure coverage across ecosystems, tier levels, and company sizes.</w:t>
      </w:r>
    </w:p>
    <w:p w14:paraId="77EEDD1F" w14:textId="77777777" w:rsidR="005F08F3" w:rsidRPr="002B2957" w:rsidRDefault="00000000">
      <w:pPr>
        <w:rPr>
          <w:sz w:val="24"/>
          <w:szCs w:val="24"/>
        </w:rPr>
      </w:pPr>
      <w:r w:rsidRPr="002B2957">
        <w:rPr>
          <w:b/>
          <w:sz w:val="24"/>
          <w:szCs w:val="24"/>
        </w:rPr>
        <w:t>Table A. Distribution by ecosystem</w:t>
      </w:r>
    </w:p>
    <w:tbl>
      <w:tblPr>
        <w:tblStyle w:val="Grilleclaire-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80"/>
        <w:gridCol w:w="2880"/>
      </w:tblGrid>
      <w:tr w:rsidR="005F08F3" w14:paraId="5536F533" w14:textId="77777777" w:rsidTr="002B295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Borders>
              <w:top w:val="none" w:sz="0" w:space="0" w:color="auto"/>
              <w:left w:val="none" w:sz="0" w:space="0" w:color="auto"/>
              <w:bottom w:val="none" w:sz="0" w:space="0" w:color="auto"/>
              <w:right w:val="none" w:sz="0" w:space="0" w:color="auto"/>
            </w:tcBorders>
          </w:tcPr>
          <w:p w14:paraId="21A5F1D7" w14:textId="77777777" w:rsidR="005F08F3" w:rsidRDefault="00000000" w:rsidP="002B2957">
            <w:pPr>
              <w:jc w:val="center"/>
            </w:pPr>
            <w:r>
              <w:rPr>
                <w:sz w:val="20"/>
              </w:rPr>
              <w:t>Ecosystem</w:t>
            </w:r>
          </w:p>
        </w:tc>
        <w:tc>
          <w:tcPr>
            <w:tcW w:w="2880" w:type="dxa"/>
            <w:tcBorders>
              <w:top w:val="none" w:sz="0" w:space="0" w:color="auto"/>
              <w:left w:val="none" w:sz="0" w:space="0" w:color="auto"/>
              <w:bottom w:val="none" w:sz="0" w:space="0" w:color="auto"/>
              <w:right w:val="none" w:sz="0" w:space="0" w:color="auto"/>
            </w:tcBorders>
          </w:tcPr>
          <w:p w14:paraId="763B7714" w14:textId="77777777" w:rsidR="005F08F3" w:rsidRDefault="00000000" w:rsidP="002B2957">
            <w:pPr>
              <w:jc w:val="center"/>
              <w:cnfStyle w:val="100000000000" w:firstRow="1" w:lastRow="0" w:firstColumn="0" w:lastColumn="0" w:oddVBand="0" w:evenVBand="0" w:oddHBand="0" w:evenHBand="0" w:firstRowFirstColumn="0" w:firstRowLastColumn="0" w:lastRowFirstColumn="0" w:lastRowLastColumn="0"/>
            </w:pPr>
            <w:r>
              <w:rPr>
                <w:sz w:val="20"/>
              </w:rPr>
              <w:t>Companies</w:t>
            </w:r>
          </w:p>
        </w:tc>
        <w:tc>
          <w:tcPr>
            <w:tcW w:w="2880" w:type="dxa"/>
            <w:tcBorders>
              <w:top w:val="none" w:sz="0" w:space="0" w:color="auto"/>
              <w:left w:val="none" w:sz="0" w:space="0" w:color="auto"/>
              <w:bottom w:val="none" w:sz="0" w:space="0" w:color="auto"/>
              <w:right w:val="none" w:sz="0" w:space="0" w:color="auto"/>
            </w:tcBorders>
          </w:tcPr>
          <w:p w14:paraId="62544063" w14:textId="77777777" w:rsidR="005F08F3" w:rsidRDefault="00000000" w:rsidP="002B2957">
            <w:pPr>
              <w:jc w:val="center"/>
              <w:cnfStyle w:val="100000000000" w:firstRow="1" w:lastRow="0" w:firstColumn="0" w:lastColumn="0" w:oddVBand="0" w:evenVBand="0" w:oddHBand="0" w:evenHBand="0" w:firstRowFirstColumn="0" w:firstRowLastColumn="0" w:lastRowFirstColumn="0" w:lastRowLastColumn="0"/>
            </w:pPr>
            <w:r>
              <w:rPr>
                <w:sz w:val="20"/>
              </w:rPr>
              <w:t>Interviews</w:t>
            </w:r>
          </w:p>
        </w:tc>
      </w:tr>
      <w:tr w:rsidR="005F08F3" w14:paraId="5AA68A72" w14:textId="77777777" w:rsidTr="002B29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Borders>
              <w:top w:val="none" w:sz="0" w:space="0" w:color="auto"/>
              <w:left w:val="none" w:sz="0" w:space="0" w:color="auto"/>
              <w:bottom w:val="none" w:sz="0" w:space="0" w:color="auto"/>
              <w:right w:val="none" w:sz="0" w:space="0" w:color="auto"/>
            </w:tcBorders>
            <w:shd w:val="clear" w:color="auto" w:fill="auto"/>
          </w:tcPr>
          <w:p w14:paraId="38697A32" w14:textId="77777777" w:rsidR="005F08F3" w:rsidRDefault="00000000" w:rsidP="002B2957">
            <w:pPr>
              <w:jc w:val="center"/>
            </w:pPr>
            <w:r>
              <w:rPr>
                <w:sz w:val="20"/>
              </w:rPr>
              <w:t>Wiring harnesses</w:t>
            </w:r>
          </w:p>
        </w:tc>
        <w:tc>
          <w:tcPr>
            <w:tcW w:w="2880" w:type="dxa"/>
            <w:tcBorders>
              <w:top w:val="none" w:sz="0" w:space="0" w:color="auto"/>
              <w:left w:val="none" w:sz="0" w:space="0" w:color="auto"/>
              <w:bottom w:val="none" w:sz="0" w:space="0" w:color="auto"/>
              <w:right w:val="none" w:sz="0" w:space="0" w:color="auto"/>
            </w:tcBorders>
            <w:shd w:val="clear" w:color="auto" w:fill="auto"/>
          </w:tcPr>
          <w:p w14:paraId="4181B3BE" w14:textId="77777777" w:rsidR="005F08F3" w:rsidRDefault="00000000" w:rsidP="002B2957">
            <w:pPr>
              <w:jc w:val="center"/>
              <w:cnfStyle w:val="000000100000" w:firstRow="0" w:lastRow="0" w:firstColumn="0" w:lastColumn="0" w:oddVBand="0" w:evenVBand="0" w:oddHBand="1" w:evenHBand="0" w:firstRowFirstColumn="0" w:firstRowLastColumn="0" w:lastRowFirstColumn="0" w:lastRowLastColumn="0"/>
            </w:pPr>
            <w:r>
              <w:rPr>
                <w:sz w:val="20"/>
              </w:rPr>
              <w:t>12</w:t>
            </w:r>
          </w:p>
        </w:tc>
        <w:tc>
          <w:tcPr>
            <w:tcW w:w="2880" w:type="dxa"/>
            <w:tcBorders>
              <w:top w:val="none" w:sz="0" w:space="0" w:color="auto"/>
              <w:left w:val="none" w:sz="0" w:space="0" w:color="auto"/>
              <w:bottom w:val="none" w:sz="0" w:space="0" w:color="auto"/>
              <w:right w:val="none" w:sz="0" w:space="0" w:color="auto"/>
            </w:tcBorders>
            <w:shd w:val="clear" w:color="auto" w:fill="auto"/>
          </w:tcPr>
          <w:p w14:paraId="27D96939" w14:textId="77777777" w:rsidR="005F08F3" w:rsidRDefault="00000000" w:rsidP="002B2957">
            <w:pPr>
              <w:jc w:val="center"/>
              <w:cnfStyle w:val="000000100000" w:firstRow="0" w:lastRow="0" w:firstColumn="0" w:lastColumn="0" w:oddVBand="0" w:evenVBand="0" w:oddHBand="1" w:evenHBand="0" w:firstRowFirstColumn="0" w:firstRowLastColumn="0" w:lastRowFirstColumn="0" w:lastRowLastColumn="0"/>
            </w:pPr>
            <w:r>
              <w:rPr>
                <w:sz w:val="20"/>
              </w:rPr>
              <w:t>23</w:t>
            </w:r>
          </w:p>
        </w:tc>
      </w:tr>
      <w:tr w:rsidR="005F08F3" w14:paraId="0AAC066D" w14:textId="77777777" w:rsidTr="002B295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Borders>
              <w:top w:val="none" w:sz="0" w:space="0" w:color="auto"/>
              <w:left w:val="none" w:sz="0" w:space="0" w:color="auto"/>
              <w:bottom w:val="none" w:sz="0" w:space="0" w:color="auto"/>
              <w:right w:val="none" w:sz="0" w:space="0" w:color="auto"/>
            </w:tcBorders>
          </w:tcPr>
          <w:p w14:paraId="421A0FFB" w14:textId="77777777" w:rsidR="005F08F3" w:rsidRDefault="00000000" w:rsidP="002B2957">
            <w:pPr>
              <w:jc w:val="center"/>
            </w:pPr>
            <w:r>
              <w:rPr>
                <w:sz w:val="20"/>
              </w:rPr>
              <w:t>Interiors and seats</w:t>
            </w:r>
          </w:p>
        </w:tc>
        <w:tc>
          <w:tcPr>
            <w:tcW w:w="2880" w:type="dxa"/>
            <w:tcBorders>
              <w:top w:val="none" w:sz="0" w:space="0" w:color="auto"/>
              <w:left w:val="none" w:sz="0" w:space="0" w:color="auto"/>
              <w:bottom w:val="none" w:sz="0" w:space="0" w:color="auto"/>
              <w:right w:val="none" w:sz="0" w:space="0" w:color="auto"/>
            </w:tcBorders>
          </w:tcPr>
          <w:p w14:paraId="7CE3DE7B" w14:textId="77777777" w:rsidR="005F08F3" w:rsidRDefault="00000000" w:rsidP="002B2957">
            <w:pPr>
              <w:jc w:val="center"/>
              <w:cnfStyle w:val="000000010000" w:firstRow="0" w:lastRow="0" w:firstColumn="0" w:lastColumn="0" w:oddVBand="0" w:evenVBand="0" w:oddHBand="0" w:evenHBand="1" w:firstRowFirstColumn="0" w:firstRowLastColumn="0" w:lastRowFirstColumn="0" w:lastRowLastColumn="0"/>
            </w:pPr>
            <w:r>
              <w:rPr>
                <w:sz w:val="20"/>
              </w:rPr>
              <w:t>9</w:t>
            </w:r>
          </w:p>
        </w:tc>
        <w:tc>
          <w:tcPr>
            <w:tcW w:w="2880" w:type="dxa"/>
            <w:tcBorders>
              <w:top w:val="none" w:sz="0" w:space="0" w:color="auto"/>
              <w:left w:val="none" w:sz="0" w:space="0" w:color="auto"/>
              <w:bottom w:val="none" w:sz="0" w:space="0" w:color="auto"/>
              <w:right w:val="none" w:sz="0" w:space="0" w:color="auto"/>
            </w:tcBorders>
          </w:tcPr>
          <w:p w14:paraId="4CDB0DC4" w14:textId="77777777" w:rsidR="005F08F3" w:rsidRDefault="00000000" w:rsidP="002B2957">
            <w:pPr>
              <w:jc w:val="center"/>
              <w:cnfStyle w:val="000000010000" w:firstRow="0" w:lastRow="0" w:firstColumn="0" w:lastColumn="0" w:oddVBand="0" w:evenVBand="0" w:oddHBand="0" w:evenHBand="1" w:firstRowFirstColumn="0" w:firstRowLastColumn="0" w:lastRowFirstColumn="0" w:lastRowLastColumn="0"/>
            </w:pPr>
            <w:r>
              <w:rPr>
                <w:sz w:val="20"/>
              </w:rPr>
              <w:t>16</w:t>
            </w:r>
          </w:p>
        </w:tc>
      </w:tr>
      <w:tr w:rsidR="005F08F3" w14:paraId="5EDC2B0B" w14:textId="77777777" w:rsidTr="002B29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Borders>
              <w:top w:val="none" w:sz="0" w:space="0" w:color="auto"/>
              <w:left w:val="none" w:sz="0" w:space="0" w:color="auto"/>
              <w:bottom w:val="none" w:sz="0" w:space="0" w:color="auto"/>
              <w:right w:val="none" w:sz="0" w:space="0" w:color="auto"/>
            </w:tcBorders>
            <w:shd w:val="clear" w:color="auto" w:fill="auto"/>
          </w:tcPr>
          <w:p w14:paraId="047F3E7F" w14:textId="77777777" w:rsidR="005F08F3" w:rsidRDefault="00000000" w:rsidP="002B2957">
            <w:pPr>
              <w:jc w:val="center"/>
            </w:pPr>
            <w:r>
              <w:rPr>
                <w:sz w:val="20"/>
              </w:rPr>
              <w:t>Metal and stamping</w:t>
            </w:r>
          </w:p>
        </w:tc>
        <w:tc>
          <w:tcPr>
            <w:tcW w:w="2880" w:type="dxa"/>
            <w:tcBorders>
              <w:top w:val="none" w:sz="0" w:space="0" w:color="auto"/>
              <w:left w:val="none" w:sz="0" w:space="0" w:color="auto"/>
              <w:bottom w:val="none" w:sz="0" w:space="0" w:color="auto"/>
              <w:right w:val="none" w:sz="0" w:space="0" w:color="auto"/>
            </w:tcBorders>
            <w:shd w:val="clear" w:color="auto" w:fill="auto"/>
          </w:tcPr>
          <w:p w14:paraId="208D38C6" w14:textId="77777777" w:rsidR="005F08F3" w:rsidRDefault="00000000" w:rsidP="002B2957">
            <w:pPr>
              <w:jc w:val="center"/>
              <w:cnfStyle w:val="000000100000" w:firstRow="0" w:lastRow="0" w:firstColumn="0" w:lastColumn="0" w:oddVBand="0" w:evenVBand="0" w:oddHBand="1" w:evenHBand="0" w:firstRowFirstColumn="0" w:firstRowLastColumn="0" w:lastRowFirstColumn="0" w:lastRowLastColumn="0"/>
            </w:pPr>
            <w:r>
              <w:rPr>
                <w:sz w:val="20"/>
              </w:rPr>
              <w:t>6</w:t>
            </w:r>
          </w:p>
        </w:tc>
        <w:tc>
          <w:tcPr>
            <w:tcW w:w="2880" w:type="dxa"/>
            <w:tcBorders>
              <w:top w:val="none" w:sz="0" w:space="0" w:color="auto"/>
              <w:left w:val="none" w:sz="0" w:space="0" w:color="auto"/>
              <w:bottom w:val="none" w:sz="0" w:space="0" w:color="auto"/>
              <w:right w:val="none" w:sz="0" w:space="0" w:color="auto"/>
            </w:tcBorders>
            <w:shd w:val="clear" w:color="auto" w:fill="auto"/>
          </w:tcPr>
          <w:p w14:paraId="64C7C4F7" w14:textId="77777777" w:rsidR="005F08F3" w:rsidRDefault="00000000" w:rsidP="002B2957">
            <w:pPr>
              <w:jc w:val="center"/>
              <w:cnfStyle w:val="000000100000" w:firstRow="0" w:lastRow="0" w:firstColumn="0" w:lastColumn="0" w:oddVBand="0" w:evenVBand="0" w:oddHBand="1" w:evenHBand="0" w:firstRowFirstColumn="0" w:firstRowLastColumn="0" w:lastRowFirstColumn="0" w:lastRowLastColumn="0"/>
            </w:pPr>
            <w:r>
              <w:rPr>
                <w:sz w:val="20"/>
              </w:rPr>
              <w:t>10</w:t>
            </w:r>
          </w:p>
        </w:tc>
      </w:tr>
      <w:tr w:rsidR="005F08F3" w14:paraId="15EE6E5B" w14:textId="77777777" w:rsidTr="002B295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Borders>
              <w:top w:val="none" w:sz="0" w:space="0" w:color="auto"/>
              <w:left w:val="none" w:sz="0" w:space="0" w:color="auto"/>
              <w:bottom w:val="none" w:sz="0" w:space="0" w:color="auto"/>
              <w:right w:val="none" w:sz="0" w:space="0" w:color="auto"/>
            </w:tcBorders>
          </w:tcPr>
          <w:p w14:paraId="3F6C33BE" w14:textId="77777777" w:rsidR="005F08F3" w:rsidRDefault="00000000" w:rsidP="002B2957">
            <w:pPr>
              <w:jc w:val="center"/>
            </w:pPr>
            <w:r>
              <w:rPr>
                <w:sz w:val="20"/>
              </w:rPr>
              <w:t>Batteries</w:t>
            </w:r>
          </w:p>
        </w:tc>
        <w:tc>
          <w:tcPr>
            <w:tcW w:w="2880" w:type="dxa"/>
            <w:tcBorders>
              <w:top w:val="none" w:sz="0" w:space="0" w:color="auto"/>
              <w:left w:val="none" w:sz="0" w:space="0" w:color="auto"/>
              <w:bottom w:val="none" w:sz="0" w:space="0" w:color="auto"/>
              <w:right w:val="none" w:sz="0" w:space="0" w:color="auto"/>
            </w:tcBorders>
          </w:tcPr>
          <w:p w14:paraId="3509C555" w14:textId="77777777" w:rsidR="005F08F3" w:rsidRDefault="00000000" w:rsidP="002B2957">
            <w:pPr>
              <w:jc w:val="center"/>
              <w:cnfStyle w:val="000000010000" w:firstRow="0" w:lastRow="0" w:firstColumn="0" w:lastColumn="0" w:oddVBand="0" w:evenVBand="0" w:oddHBand="0" w:evenHBand="1" w:firstRowFirstColumn="0" w:firstRowLastColumn="0" w:lastRowFirstColumn="0" w:lastRowLastColumn="0"/>
            </w:pPr>
            <w:r>
              <w:rPr>
                <w:sz w:val="20"/>
              </w:rPr>
              <w:t>4</w:t>
            </w:r>
          </w:p>
        </w:tc>
        <w:tc>
          <w:tcPr>
            <w:tcW w:w="2880" w:type="dxa"/>
            <w:tcBorders>
              <w:top w:val="none" w:sz="0" w:space="0" w:color="auto"/>
              <w:left w:val="none" w:sz="0" w:space="0" w:color="auto"/>
              <w:bottom w:val="none" w:sz="0" w:space="0" w:color="auto"/>
              <w:right w:val="none" w:sz="0" w:space="0" w:color="auto"/>
            </w:tcBorders>
          </w:tcPr>
          <w:p w14:paraId="52E42864" w14:textId="77777777" w:rsidR="005F08F3" w:rsidRDefault="00000000" w:rsidP="002B2957">
            <w:pPr>
              <w:jc w:val="center"/>
              <w:cnfStyle w:val="000000010000" w:firstRow="0" w:lastRow="0" w:firstColumn="0" w:lastColumn="0" w:oddVBand="0" w:evenVBand="0" w:oddHBand="0" w:evenHBand="1" w:firstRowFirstColumn="0" w:firstRowLastColumn="0" w:lastRowFirstColumn="0" w:lastRowLastColumn="0"/>
            </w:pPr>
            <w:r>
              <w:rPr>
                <w:sz w:val="20"/>
              </w:rPr>
              <w:t>7</w:t>
            </w:r>
          </w:p>
        </w:tc>
      </w:tr>
      <w:tr w:rsidR="005F08F3" w14:paraId="6A6B1460" w14:textId="77777777" w:rsidTr="002B29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Borders>
              <w:top w:val="none" w:sz="0" w:space="0" w:color="auto"/>
              <w:left w:val="none" w:sz="0" w:space="0" w:color="auto"/>
              <w:bottom w:val="none" w:sz="0" w:space="0" w:color="auto"/>
              <w:right w:val="none" w:sz="0" w:space="0" w:color="auto"/>
            </w:tcBorders>
            <w:shd w:val="clear" w:color="auto" w:fill="auto"/>
          </w:tcPr>
          <w:p w14:paraId="770C4D5B" w14:textId="77777777" w:rsidR="005F08F3" w:rsidRDefault="00000000" w:rsidP="002B2957">
            <w:pPr>
              <w:jc w:val="center"/>
            </w:pPr>
            <w:r>
              <w:rPr>
                <w:sz w:val="20"/>
              </w:rPr>
              <w:t>Engines and transmission</w:t>
            </w:r>
          </w:p>
        </w:tc>
        <w:tc>
          <w:tcPr>
            <w:tcW w:w="2880" w:type="dxa"/>
            <w:tcBorders>
              <w:top w:val="none" w:sz="0" w:space="0" w:color="auto"/>
              <w:left w:val="none" w:sz="0" w:space="0" w:color="auto"/>
              <w:bottom w:val="none" w:sz="0" w:space="0" w:color="auto"/>
              <w:right w:val="none" w:sz="0" w:space="0" w:color="auto"/>
            </w:tcBorders>
            <w:shd w:val="clear" w:color="auto" w:fill="auto"/>
          </w:tcPr>
          <w:p w14:paraId="2E009405" w14:textId="77777777" w:rsidR="005F08F3" w:rsidRDefault="00000000" w:rsidP="002B2957">
            <w:pPr>
              <w:jc w:val="center"/>
              <w:cnfStyle w:val="000000100000" w:firstRow="0" w:lastRow="0" w:firstColumn="0" w:lastColumn="0" w:oddVBand="0" w:evenVBand="0" w:oddHBand="1" w:evenHBand="0" w:firstRowFirstColumn="0" w:firstRowLastColumn="0" w:lastRowFirstColumn="0" w:lastRowLastColumn="0"/>
            </w:pPr>
            <w:r>
              <w:rPr>
                <w:sz w:val="20"/>
              </w:rPr>
              <w:t>4</w:t>
            </w:r>
          </w:p>
        </w:tc>
        <w:tc>
          <w:tcPr>
            <w:tcW w:w="2880" w:type="dxa"/>
            <w:tcBorders>
              <w:top w:val="none" w:sz="0" w:space="0" w:color="auto"/>
              <w:left w:val="none" w:sz="0" w:space="0" w:color="auto"/>
              <w:bottom w:val="none" w:sz="0" w:space="0" w:color="auto"/>
              <w:right w:val="none" w:sz="0" w:space="0" w:color="auto"/>
            </w:tcBorders>
            <w:shd w:val="clear" w:color="auto" w:fill="auto"/>
          </w:tcPr>
          <w:p w14:paraId="673B564F" w14:textId="77777777" w:rsidR="005F08F3" w:rsidRDefault="00000000" w:rsidP="002B2957">
            <w:pPr>
              <w:jc w:val="center"/>
              <w:cnfStyle w:val="000000100000" w:firstRow="0" w:lastRow="0" w:firstColumn="0" w:lastColumn="0" w:oddVBand="0" w:evenVBand="0" w:oddHBand="1" w:evenHBand="0" w:firstRowFirstColumn="0" w:firstRowLastColumn="0" w:lastRowFirstColumn="0" w:lastRowLastColumn="0"/>
            </w:pPr>
            <w:r>
              <w:rPr>
                <w:sz w:val="20"/>
              </w:rPr>
              <w:t>8</w:t>
            </w:r>
          </w:p>
        </w:tc>
      </w:tr>
      <w:tr w:rsidR="005F08F3" w14:paraId="21236CB5" w14:textId="77777777" w:rsidTr="002B295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Borders>
              <w:top w:val="none" w:sz="0" w:space="0" w:color="auto"/>
              <w:left w:val="none" w:sz="0" w:space="0" w:color="auto"/>
              <w:bottom w:val="none" w:sz="0" w:space="0" w:color="auto"/>
              <w:right w:val="none" w:sz="0" w:space="0" w:color="auto"/>
            </w:tcBorders>
          </w:tcPr>
          <w:p w14:paraId="28F9947F" w14:textId="77777777" w:rsidR="005F08F3" w:rsidRDefault="00000000" w:rsidP="002B2957">
            <w:pPr>
              <w:jc w:val="center"/>
            </w:pPr>
            <w:r>
              <w:rPr>
                <w:sz w:val="20"/>
              </w:rPr>
              <w:t>Total</w:t>
            </w:r>
          </w:p>
        </w:tc>
        <w:tc>
          <w:tcPr>
            <w:tcW w:w="2880" w:type="dxa"/>
            <w:tcBorders>
              <w:top w:val="none" w:sz="0" w:space="0" w:color="auto"/>
              <w:left w:val="none" w:sz="0" w:space="0" w:color="auto"/>
              <w:bottom w:val="none" w:sz="0" w:space="0" w:color="auto"/>
              <w:right w:val="none" w:sz="0" w:space="0" w:color="auto"/>
            </w:tcBorders>
          </w:tcPr>
          <w:p w14:paraId="09C29C04" w14:textId="77777777" w:rsidR="005F08F3" w:rsidRDefault="00000000" w:rsidP="002B2957">
            <w:pPr>
              <w:jc w:val="center"/>
              <w:cnfStyle w:val="000000010000" w:firstRow="0" w:lastRow="0" w:firstColumn="0" w:lastColumn="0" w:oddVBand="0" w:evenVBand="0" w:oddHBand="0" w:evenHBand="1" w:firstRowFirstColumn="0" w:firstRowLastColumn="0" w:lastRowFirstColumn="0" w:lastRowLastColumn="0"/>
            </w:pPr>
            <w:r>
              <w:rPr>
                <w:b/>
                <w:sz w:val="20"/>
              </w:rPr>
              <w:t>35</w:t>
            </w:r>
          </w:p>
        </w:tc>
        <w:tc>
          <w:tcPr>
            <w:tcW w:w="2880" w:type="dxa"/>
            <w:tcBorders>
              <w:top w:val="none" w:sz="0" w:space="0" w:color="auto"/>
              <w:left w:val="none" w:sz="0" w:space="0" w:color="auto"/>
              <w:bottom w:val="none" w:sz="0" w:space="0" w:color="auto"/>
              <w:right w:val="none" w:sz="0" w:space="0" w:color="auto"/>
            </w:tcBorders>
          </w:tcPr>
          <w:p w14:paraId="09E7EAB2" w14:textId="77777777" w:rsidR="005F08F3" w:rsidRDefault="00000000" w:rsidP="002B2957">
            <w:pPr>
              <w:jc w:val="center"/>
              <w:cnfStyle w:val="000000010000" w:firstRow="0" w:lastRow="0" w:firstColumn="0" w:lastColumn="0" w:oddVBand="0" w:evenVBand="0" w:oddHBand="0" w:evenHBand="1" w:firstRowFirstColumn="0" w:firstRowLastColumn="0" w:lastRowFirstColumn="0" w:lastRowLastColumn="0"/>
            </w:pPr>
            <w:r>
              <w:rPr>
                <w:b/>
                <w:sz w:val="20"/>
              </w:rPr>
              <w:t>64</w:t>
            </w:r>
          </w:p>
        </w:tc>
      </w:tr>
    </w:tbl>
    <w:p w14:paraId="23B581BA" w14:textId="77777777" w:rsidR="005F08F3" w:rsidRPr="002B2957" w:rsidRDefault="00000000">
      <w:pPr>
        <w:rPr>
          <w:sz w:val="24"/>
          <w:szCs w:val="24"/>
        </w:rPr>
      </w:pPr>
      <w:r w:rsidRPr="002B2957">
        <w:rPr>
          <w:b/>
          <w:sz w:val="24"/>
          <w:szCs w:val="24"/>
        </w:rPr>
        <w:t>Table B. Distribution by tier level</w:t>
      </w:r>
    </w:p>
    <w:tbl>
      <w:tblPr>
        <w:tblStyle w:val="Grilleclaire-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80"/>
        <w:gridCol w:w="2880"/>
      </w:tblGrid>
      <w:tr w:rsidR="005F08F3" w14:paraId="1F26B38B" w14:textId="77777777" w:rsidTr="002B295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Borders>
              <w:top w:val="none" w:sz="0" w:space="0" w:color="auto"/>
              <w:left w:val="none" w:sz="0" w:space="0" w:color="auto"/>
              <w:bottom w:val="none" w:sz="0" w:space="0" w:color="auto"/>
              <w:right w:val="none" w:sz="0" w:space="0" w:color="auto"/>
            </w:tcBorders>
          </w:tcPr>
          <w:p w14:paraId="053E72E6" w14:textId="77777777" w:rsidR="005F08F3" w:rsidRDefault="00000000" w:rsidP="002B2957">
            <w:pPr>
              <w:jc w:val="center"/>
            </w:pPr>
            <w:r>
              <w:rPr>
                <w:sz w:val="20"/>
              </w:rPr>
              <w:t>Tier level</w:t>
            </w:r>
          </w:p>
        </w:tc>
        <w:tc>
          <w:tcPr>
            <w:tcW w:w="2880" w:type="dxa"/>
            <w:tcBorders>
              <w:top w:val="none" w:sz="0" w:space="0" w:color="auto"/>
              <w:left w:val="none" w:sz="0" w:space="0" w:color="auto"/>
              <w:bottom w:val="none" w:sz="0" w:space="0" w:color="auto"/>
              <w:right w:val="none" w:sz="0" w:space="0" w:color="auto"/>
            </w:tcBorders>
          </w:tcPr>
          <w:p w14:paraId="47CA891E" w14:textId="77777777" w:rsidR="005F08F3" w:rsidRDefault="00000000" w:rsidP="002B2957">
            <w:pPr>
              <w:jc w:val="center"/>
              <w:cnfStyle w:val="100000000000" w:firstRow="1" w:lastRow="0" w:firstColumn="0" w:lastColumn="0" w:oddVBand="0" w:evenVBand="0" w:oddHBand="0" w:evenHBand="0" w:firstRowFirstColumn="0" w:firstRowLastColumn="0" w:lastRowFirstColumn="0" w:lastRowLastColumn="0"/>
            </w:pPr>
            <w:r>
              <w:rPr>
                <w:sz w:val="20"/>
              </w:rPr>
              <w:t>Companies</w:t>
            </w:r>
          </w:p>
        </w:tc>
        <w:tc>
          <w:tcPr>
            <w:tcW w:w="2880" w:type="dxa"/>
            <w:tcBorders>
              <w:top w:val="none" w:sz="0" w:space="0" w:color="auto"/>
              <w:left w:val="none" w:sz="0" w:space="0" w:color="auto"/>
              <w:bottom w:val="none" w:sz="0" w:space="0" w:color="auto"/>
              <w:right w:val="none" w:sz="0" w:space="0" w:color="auto"/>
            </w:tcBorders>
          </w:tcPr>
          <w:p w14:paraId="3FFB1A24" w14:textId="77777777" w:rsidR="005F08F3" w:rsidRDefault="00000000" w:rsidP="002B2957">
            <w:pPr>
              <w:jc w:val="center"/>
              <w:cnfStyle w:val="100000000000" w:firstRow="1" w:lastRow="0" w:firstColumn="0" w:lastColumn="0" w:oddVBand="0" w:evenVBand="0" w:oddHBand="0" w:evenHBand="0" w:firstRowFirstColumn="0" w:firstRowLastColumn="0" w:lastRowFirstColumn="0" w:lastRowLastColumn="0"/>
            </w:pPr>
            <w:r>
              <w:rPr>
                <w:sz w:val="20"/>
              </w:rPr>
              <w:t>Interviews</w:t>
            </w:r>
          </w:p>
        </w:tc>
      </w:tr>
      <w:tr w:rsidR="005F08F3" w14:paraId="22F6BD78" w14:textId="77777777" w:rsidTr="002B29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Borders>
              <w:top w:val="none" w:sz="0" w:space="0" w:color="auto"/>
              <w:left w:val="none" w:sz="0" w:space="0" w:color="auto"/>
              <w:bottom w:val="none" w:sz="0" w:space="0" w:color="auto"/>
              <w:right w:val="none" w:sz="0" w:space="0" w:color="auto"/>
            </w:tcBorders>
            <w:shd w:val="clear" w:color="auto" w:fill="auto"/>
          </w:tcPr>
          <w:p w14:paraId="2AC29485" w14:textId="77777777" w:rsidR="005F08F3" w:rsidRDefault="00000000" w:rsidP="002B2957">
            <w:pPr>
              <w:jc w:val="center"/>
            </w:pPr>
            <w:r>
              <w:rPr>
                <w:sz w:val="20"/>
              </w:rPr>
              <w:t>Tier 1</w:t>
            </w:r>
          </w:p>
        </w:tc>
        <w:tc>
          <w:tcPr>
            <w:tcW w:w="2880" w:type="dxa"/>
            <w:tcBorders>
              <w:top w:val="none" w:sz="0" w:space="0" w:color="auto"/>
              <w:left w:val="none" w:sz="0" w:space="0" w:color="auto"/>
              <w:bottom w:val="none" w:sz="0" w:space="0" w:color="auto"/>
              <w:right w:val="none" w:sz="0" w:space="0" w:color="auto"/>
            </w:tcBorders>
            <w:shd w:val="clear" w:color="auto" w:fill="auto"/>
          </w:tcPr>
          <w:p w14:paraId="05C86E90" w14:textId="77777777" w:rsidR="005F08F3" w:rsidRDefault="00000000" w:rsidP="002B2957">
            <w:pPr>
              <w:jc w:val="center"/>
              <w:cnfStyle w:val="000000100000" w:firstRow="0" w:lastRow="0" w:firstColumn="0" w:lastColumn="0" w:oddVBand="0" w:evenVBand="0" w:oddHBand="1" w:evenHBand="0" w:firstRowFirstColumn="0" w:firstRowLastColumn="0" w:lastRowFirstColumn="0" w:lastRowLastColumn="0"/>
            </w:pPr>
            <w:r>
              <w:rPr>
                <w:sz w:val="20"/>
              </w:rPr>
              <w:t>22</w:t>
            </w:r>
          </w:p>
        </w:tc>
        <w:tc>
          <w:tcPr>
            <w:tcW w:w="2880" w:type="dxa"/>
            <w:tcBorders>
              <w:top w:val="none" w:sz="0" w:space="0" w:color="auto"/>
              <w:left w:val="none" w:sz="0" w:space="0" w:color="auto"/>
              <w:bottom w:val="none" w:sz="0" w:space="0" w:color="auto"/>
              <w:right w:val="none" w:sz="0" w:space="0" w:color="auto"/>
            </w:tcBorders>
            <w:shd w:val="clear" w:color="auto" w:fill="auto"/>
          </w:tcPr>
          <w:p w14:paraId="75463F49" w14:textId="77777777" w:rsidR="005F08F3" w:rsidRDefault="00000000" w:rsidP="002B2957">
            <w:pPr>
              <w:jc w:val="center"/>
              <w:cnfStyle w:val="000000100000" w:firstRow="0" w:lastRow="0" w:firstColumn="0" w:lastColumn="0" w:oddVBand="0" w:evenVBand="0" w:oddHBand="1" w:evenHBand="0" w:firstRowFirstColumn="0" w:firstRowLastColumn="0" w:lastRowFirstColumn="0" w:lastRowLastColumn="0"/>
            </w:pPr>
            <w:r>
              <w:rPr>
                <w:sz w:val="20"/>
              </w:rPr>
              <w:t>42</w:t>
            </w:r>
          </w:p>
        </w:tc>
      </w:tr>
      <w:tr w:rsidR="005F08F3" w14:paraId="7CAB1B49" w14:textId="77777777" w:rsidTr="002B295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Borders>
              <w:top w:val="none" w:sz="0" w:space="0" w:color="auto"/>
              <w:left w:val="none" w:sz="0" w:space="0" w:color="auto"/>
              <w:bottom w:val="none" w:sz="0" w:space="0" w:color="auto"/>
              <w:right w:val="none" w:sz="0" w:space="0" w:color="auto"/>
            </w:tcBorders>
          </w:tcPr>
          <w:p w14:paraId="6ECF7870" w14:textId="77777777" w:rsidR="005F08F3" w:rsidRDefault="00000000" w:rsidP="002B2957">
            <w:pPr>
              <w:jc w:val="center"/>
            </w:pPr>
            <w:r>
              <w:rPr>
                <w:sz w:val="20"/>
              </w:rPr>
              <w:t>Tier 2</w:t>
            </w:r>
          </w:p>
        </w:tc>
        <w:tc>
          <w:tcPr>
            <w:tcW w:w="2880" w:type="dxa"/>
            <w:tcBorders>
              <w:top w:val="none" w:sz="0" w:space="0" w:color="auto"/>
              <w:left w:val="none" w:sz="0" w:space="0" w:color="auto"/>
              <w:bottom w:val="none" w:sz="0" w:space="0" w:color="auto"/>
              <w:right w:val="none" w:sz="0" w:space="0" w:color="auto"/>
            </w:tcBorders>
          </w:tcPr>
          <w:p w14:paraId="284C4458" w14:textId="77777777" w:rsidR="005F08F3" w:rsidRDefault="00000000" w:rsidP="002B2957">
            <w:pPr>
              <w:jc w:val="center"/>
              <w:cnfStyle w:val="000000010000" w:firstRow="0" w:lastRow="0" w:firstColumn="0" w:lastColumn="0" w:oddVBand="0" w:evenVBand="0" w:oddHBand="0" w:evenHBand="1" w:firstRowFirstColumn="0" w:firstRowLastColumn="0" w:lastRowFirstColumn="0" w:lastRowLastColumn="0"/>
            </w:pPr>
            <w:r>
              <w:rPr>
                <w:sz w:val="20"/>
              </w:rPr>
              <w:t>13</w:t>
            </w:r>
          </w:p>
        </w:tc>
        <w:tc>
          <w:tcPr>
            <w:tcW w:w="2880" w:type="dxa"/>
            <w:tcBorders>
              <w:top w:val="none" w:sz="0" w:space="0" w:color="auto"/>
              <w:left w:val="none" w:sz="0" w:space="0" w:color="auto"/>
              <w:bottom w:val="none" w:sz="0" w:space="0" w:color="auto"/>
              <w:right w:val="none" w:sz="0" w:space="0" w:color="auto"/>
            </w:tcBorders>
          </w:tcPr>
          <w:p w14:paraId="10E6ADED" w14:textId="77777777" w:rsidR="005F08F3" w:rsidRDefault="00000000" w:rsidP="002B2957">
            <w:pPr>
              <w:jc w:val="center"/>
              <w:cnfStyle w:val="000000010000" w:firstRow="0" w:lastRow="0" w:firstColumn="0" w:lastColumn="0" w:oddVBand="0" w:evenVBand="0" w:oddHBand="0" w:evenHBand="1" w:firstRowFirstColumn="0" w:firstRowLastColumn="0" w:lastRowFirstColumn="0" w:lastRowLastColumn="0"/>
            </w:pPr>
            <w:r>
              <w:rPr>
                <w:sz w:val="20"/>
              </w:rPr>
              <w:t>22</w:t>
            </w:r>
          </w:p>
        </w:tc>
      </w:tr>
    </w:tbl>
    <w:p w14:paraId="59633DBB" w14:textId="77777777" w:rsidR="005F08F3" w:rsidRPr="002B2957" w:rsidRDefault="00000000">
      <w:pPr>
        <w:rPr>
          <w:sz w:val="24"/>
          <w:szCs w:val="24"/>
        </w:rPr>
      </w:pPr>
      <w:r w:rsidRPr="002B2957">
        <w:rPr>
          <w:b/>
          <w:sz w:val="24"/>
          <w:szCs w:val="24"/>
        </w:rPr>
        <w:t>Table C. Distribution by company size</w:t>
      </w:r>
    </w:p>
    <w:tbl>
      <w:tblPr>
        <w:tblStyle w:val="Grilleclaire-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5F08F3" w14:paraId="733BF0EA" w14:textId="77777777" w:rsidTr="002B295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Borders>
              <w:top w:val="none" w:sz="0" w:space="0" w:color="auto"/>
              <w:left w:val="none" w:sz="0" w:space="0" w:color="auto"/>
              <w:bottom w:val="none" w:sz="0" w:space="0" w:color="auto"/>
              <w:right w:val="none" w:sz="0" w:space="0" w:color="auto"/>
            </w:tcBorders>
          </w:tcPr>
          <w:p w14:paraId="4F441356" w14:textId="77777777" w:rsidR="005F08F3" w:rsidRDefault="00000000" w:rsidP="002B2957">
            <w:pPr>
              <w:jc w:val="center"/>
            </w:pPr>
            <w:r>
              <w:rPr>
                <w:sz w:val="20"/>
              </w:rPr>
              <w:t>Size (employees)</w:t>
            </w:r>
          </w:p>
        </w:tc>
        <w:tc>
          <w:tcPr>
            <w:tcW w:w="4320" w:type="dxa"/>
            <w:tcBorders>
              <w:top w:val="none" w:sz="0" w:space="0" w:color="auto"/>
              <w:left w:val="none" w:sz="0" w:space="0" w:color="auto"/>
              <w:bottom w:val="none" w:sz="0" w:space="0" w:color="auto"/>
              <w:right w:val="none" w:sz="0" w:space="0" w:color="auto"/>
            </w:tcBorders>
          </w:tcPr>
          <w:p w14:paraId="01A6B35F" w14:textId="77777777" w:rsidR="005F08F3" w:rsidRDefault="00000000" w:rsidP="002B2957">
            <w:pPr>
              <w:jc w:val="center"/>
              <w:cnfStyle w:val="100000000000" w:firstRow="1" w:lastRow="0" w:firstColumn="0" w:lastColumn="0" w:oddVBand="0" w:evenVBand="0" w:oddHBand="0" w:evenHBand="0" w:firstRowFirstColumn="0" w:firstRowLastColumn="0" w:lastRowFirstColumn="0" w:lastRowLastColumn="0"/>
            </w:pPr>
            <w:r>
              <w:rPr>
                <w:sz w:val="20"/>
              </w:rPr>
              <w:t>Companies</w:t>
            </w:r>
          </w:p>
        </w:tc>
      </w:tr>
      <w:tr w:rsidR="005F08F3" w14:paraId="546DE212" w14:textId="77777777" w:rsidTr="002B29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Borders>
              <w:top w:val="none" w:sz="0" w:space="0" w:color="auto"/>
              <w:left w:val="none" w:sz="0" w:space="0" w:color="auto"/>
              <w:bottom w:val="none" w:sz="0" w:space="0" w:color="auto"/>
              <w:right w:val="none" w:sz="0" w:space="0" w:color="auto"/>
            </w:tcBorders>
            <w:shd w:val="clear" w:color="auto" w:fill="auto"/>
          </w:tcPr>
          <w:p w14:paraId="5D96440F" w14:textId="77777777" w:rsidR="005F08F3" w:rsidRDefault="00000000" w:rsidP="002B2957">
            <w:pPr>
              <w:jc w:val="center"/>
            </w:pPr>
            <w:r>
              <w:rPr>
                <w:sz w:val="20"/>
              </w:rPr>
              <w:t>&lt; 500</w:t>
            </w:r>
          </w:p>
        </w:tc>
        <w:tc>
          <w:tcPr>
            <w:tcW w:w="4320" w:type="dxa"/>
            <w:tcBorders>
              <w:top w:val="none" w:sz="0" w:space="0" w:color="auto"/>
              <w:left w:val="none" w:sz="0" w:space="0" w:color="auto"/>
              <w:bottom w:val="none" w:sz="0" w:space="0" w:color="auto"/>
              <w:right w:val="none" w:sz="0" w:space="0" w:color="auto"/>
            </w:tcBorders>
            <w:shd w:val="clear" w:color="auto" w:fill="auto"/>
          </w:tcPr>
          <w:p w14:paraId="68BDCCFD" w14:textId="77777777" w:rsidR="005F08F3" w:rsidRDefault="00000000" w:rsidP="002B2957">
            <w:pPr>
              <w:jc w:val="center"/>
              <w:cnfStyle w:val="000000100000" w:firstRow="0" w:lastRow="0" w:firstColumn="0" w:lastColumn="0" w:oddVBand="0" w:evenVBand="0" w:oddHBand="1" w:evenHBand="0" w:firstRowFirstColumn="0" w:firstRowLastColumn="0" w:lastRowFirstColumn="0" w:lastRowLastColumn="0"/>
            </w:pPr>
            <w:r>
              <w:rPr>
                <w:sz w:val="20"/>
              </w:rPr>
              <w:t>8</w:t>
            </w:r>
          </w:p>
        </w:tc>
      </w:tr>
      <w:tr w:rsidR="005F08F3" w14:paraId="249E50A3" w14:textId="77777777" w:rsidTr="002B295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Borders>
              <w:top w:val="none" w:sz="0" w:space="0" w:color="auto"/>
              <w:left w:val="none" w:sz="0" w:space="0" w:color="auto"/>
              <w:bottom w:val="none" w:sz="0" w:space="0" w:color="auto"/>
              <w:right w:val="none" w:sz="0" w:space="0" w:color="auto"/>
            </w:tcBorders>
          </w:tcPr>
          <w:p w14:paraId="1686B66A" w14:textId="77777777" w:rsidR="005F08F3" w:rsidRDefault="00000000" w:rsidP="002B2957">
            <w:pPr>
              <w:jc w:val="center"/>
            </w:pPr>
            <w:r>
              <w:rPr>
                <w:sz w:val="20"/>
              </w:rPr>
              <w:t>500 – 1,500</w:t>
            </w:r>
          </w:p>
        </w:tc>
        <w:tc>
          <w:tcPr>
            <w:tcW w:w="4320" w:type="dxa"/>
            <w:tcBorders>
              <w:top w:val="none" w:sz="0" w:space="0" w:color="auto"/>
              <w:left w:val="none" w:sz="0" w:space="0" w:color="auto"/>
              <w:bottom w:val="none" w:sz="0" w:space="0" w:color="auto"/>
              <w:right w:val="none" w:sz="0" w:space="0" w:color="auto"/>
            </w:tcBorders>
          </w:tcPr>
          <w:p w14:paraId="4910CD3C" w14:textId="77777777" w:rsidR="005F08F3" w:rsidRDefault="00000000" w:rsidP="002B2957">
            <w:pPr>
              <w:jc w:val="center"/>
              <w:cnfStyle w:val="000000010000" w:firstRow="0" w:lastRow="0" w:firstColumn="0" w:lastColumn="0" w:oddVBand="0" w:evenVBand="0" w:oddHBand="0" w:evenHBand="1" w:firstRowFirstColumn="0" w:firstRowLastColumn="0" w:lastRowFirstColumn="0" w:lastRowLastColumn="0"/>
            </w:pPr>
            <w:r>
              <w:rPr>
                <w:sz w:val="20"/>
              </w:rPr>
              <w:t>18</w:t>
            </w:r>
          </w:p>
        </w:tc>
      </w:tr>
      <w:tr w:rsidR="005F08F3" w14:paraId="569D26C8" w14:textId="77777777" w:rsidTr="002B29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Borders>
              <w:top w:val="none" w:sz="0" w:space="0" w:color="auto"/>
              <w:left w:val="none" w:sz="0" w:space="0" w:color="auto"/>
              <w:bottom w:val="none" w:sz="0" w:space="0" w:color="auto"/>
              <w:right w:val="none" w:sz="0" w:space="0" w:color="auto"/>
            </w:tcBorders>
            <w:shd w:val="clear" w:color="auto" w:fill="auto"/>
          </w:tcPr>
          <w:p w14:paraId="68884EE2" w14:textId="77777777" w:rsidR="005F08F3" w:rsidRDefault="00000000" w:rsidP="002B2957">
            <w:pPr>
              <w:jc w:val="center"/>
            </w:pPr>
            <w:r>
              <w:rPr>
                <w:sz w:val="20"/>
              </w:rPr>
              <w:t>&gt; 1,500</w:t>
            </w:r>
          </w:p>
        </w:tc>
        <w:tc>
          <w:tcPr>
            <w:tcW w:w="4320" w:type="dxa"/>
            <w:tcBorders>
              <w:top w:val="none" w:sz="0" w:space="0" w:color="auto"/>
              <w:left w:val="none" w:sz="0" w:space="0" w:color="auto"/>
              <w:bottom w:val="none" w:sz="0" w:space="0" w:color="auto"/>
              <w:right w:val="none" w:sz="0" w:space="0" w:color="auto"/>
            </w:tcBorders>
            <w:shd w:val="clear" w:color="auto" w:fill="auto"/>
          </w:tcPr>
          <w:p w14:paraId="504733DB" w14:textId="77777777" w:rsidR="005F08F3" w:rsidRDefault="00000000" w:rsidP="002B2957">
            <w:pPr>
              <w:jc w:val="center"/>
              <w:cnfStyle w:val="000000100000" w:firstRow="0" w:lastRow="0" w:firstColumn="0" w:lastColumn="0" w:oddVBand="0" w:evenVBand="0" w:oddHBand="1" w:evenHBand="0" w:firstRowFirstColumn="0" w:firstRowLastColumn="0" w:lastRowFirstColumn="0" w:lastRowLastColumn="0"/>
            </w:pPr>
            <w:r>
              <w:rPr>
                <w:sz w:val="20"/>
              </w:rPr>
              <w:t>9</w:t>
            </w:r>
          </w:p>
        </w:tc>
      </w:tr>
    </w:tbl>
    <w:p w14:paraId="65E5B8C5" w14:textId="77777777" w:rsidR="005F08F3" w:rsidRDefault="005F08F3"/>
    <w:p w14:paraId="38EE4FE8" w14:textId="77777777" w:rsidR="005F08F3" w:rsidRPr="002B2957" w:rsidRDefault="00000000">
      <w:pPr>
        <w:rPr>
          <w:sz w:val="24"/>
          <w:szCs w:val="24"/>
        </w:rPr>
      </w:pPr>
      <w:r w:rsidRPr="002B2957">
        <w:rPr>
          <w:b/>
          <w:sz w:val="24"/>
          <w:szCs w:val="24"/>
        </w:rPr>
        <w:t>Table D. Distribution by subsidiary age in Morocco</w:t>
      </w:r>
    </w:p>
    <w:tbl>
      <w:tblPr>
        <w:tblStyle w:val="Grilleclaire-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5F08F3" w14:paraId="4F5002EF" w14:textId="77777777" w:rsidTr="002B295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Borders>
              <w:top w:val="none" w:sz="0" w:space="0" w:color="auto"/>
              <w:left w:val="none" w:sz="0" w:space="0" w:color="auto"/>
              <w:bottom w:val="none" w:sz="0" w:space="0" w:color="auto"/>
              <w:right w:val="none" w:sz="0" w:space="0" w:color="auto"/>
            </w:tcBorders>
          </w:tcPr>
          <w:p w14:paraId="297C582A" w14:textId="77777777" w:rsidR="005F08F3" w:rsidRDefault="00000000" w:rsidP="002B2957">
            <w:pPr>
              <w:jc w:val="center"/>
            </w:pPr>
            <w:r>
              <w:rPr>
                <w:sz w:val="20"/>
              </w:rPr>
              <w:t>Years operating in Morocco</w:t>
            </w:r>
          </w:p>
        </w:tc>
        <w:tc>
          <w:tcPr>
            <w:tcW w:w="4320" w:type="dxa"/>
            <w:tcBorders>
              <w:top w:val="none" w:sz="0" w:space="0" w:color="auto"/>
              <w:left w:val="none" w:sz="0" w:space="0" w:color="auto"/>
              <w:bottom w:val="none" w:sz="0" w:space="0" w:color="auto"/>
              <w:right w:val="none" w:sz="0" w:space="0" w:color="auto"/>
            </w:tcBorders>
          </w:tcPr>
          <w:p w14:paraId="224F17C7" w14:textId="77777777" w:rsidR="005F08F3" w:rsidRDefault="00000000" w:rsidP="002B2957">
            <w:pPr>
              <w:jc w:val="center"/>
              <w:cnfStyle w:val="100000000000" w:firstRow="1" w:lastRow="0" w:firstColumn="0" w:lastColumn="0" w:oddVBand="0" w:evenVBand="0" w:oddHBand="0" w:evenHBand="0" w:firstRowFirstColumn="0" w:firstRowLastColumn="0" w:lastRowFirstColumn="0" w:lastRowLastColumn="0"/>
            </w:pPr>
            <w:r>
              <w:rPr>
                <w:sz w:val="20"/>
              </w:rPr>
              <w:t>Companies</w:t>
            </w:r>
          </w:p>
        </w:tc>
      </w:tr>
      <w:tr w:rsidR="005F08F3" w14:paraId="28A463E9" w14:textId="77777777" w:rsidTr="002B29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Borders>
              <w:top w:val="none" w:sz="0" w:space="0" w:color="auto"/>
              <w:left w:val="none" w:sz="0" w:space="0" w:color="auto"/>
              <w:bottom w:val="none" w:sz="0" w:space="0" w:color="auto"/>
              <w:right w:val="none" w:sz="0" w:space="0" w:color="auto"/>
            </w:tcBorders>
            <w:shd w:val="clear" w:color="auto" w:fill="auto"/>
          </w:tcPr>
          <w:p w14:paraId="4B8D7C44" w14:textId="77777777" w:rsidR="005F08F3" w:rsidRDefault="00000000" w:rsidP="002B2957">
            <w:pPr>
              <w:jc w:val="center"/>
            </w:pPr>
            <w:r>
              <w:rPr>
                <w:sz w:val="20"/>
              </w:rPr>
              <w:t>&lt; 5 years</w:t>
            </w:r>
          </w:p>
        </w:tc>
        <w:tc>
          <w:tcPr>
            <w:tcW w:w="4320" w:type="dxa"/>
            <w:tcBorders>
              <w:top w:val="none" w:sz="0" w:space="0" w:color="auto"/>
              <w:left w:val="none" w:sz="0" w:space="0" w:color="auto"/>
              <w:bottom w:val="none" w:sz="0" w:space="0" w:color="auto"/>
              <w:right w:val="none" w:sz="0" w:space="0" w:color="auto"/>
            </w:tcBorders>
            <w:shd w:val="clear" w:color="auto" w:fill="auto"/>
          </w:tcPr>
          <w:p w14:paraId="0DE516B2" w14:textId="77777777" w:rsidR="005F08F3" w:rsidRDefault="00000000" w:rsidP="002B2957">
            <w:pPr>
              <w:jc w:val="center"/>
              <w:cnfStyle w:val="000000100000" w:firstRow="0" w:lastRow="0" w:firstColumn="0" w:lastColumn="0" w:oddVBand="0" w:evenVBand="0" w:oddHBand="1" w:evenHBand="0" w:firstRowFirstColumn="0" w:firstRowLastColumn="0" w:lastRowFirstColumn="0" w:lastRowLastColumn="0"/>
            </w:pPr>
            <w:r>
              <w:rPr>
                <w:sz w:val="20"/>
              </w:rPr>
              <w:t>6</w:t>
            </w:r>
          </w:p>
        </w:tc>
      </w:tr>
      <w:tr w:rsidR="005F08F3" w14:paraId="508F51EA" w14:textId="77777777" w:rsidTr="002B295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Borders>
              <w:top w:val="none" w:sz="0" w:space="0" w:color="auto"/>
              <w:left w:val="none" w:sz="0" w:space="0" w:color="auto"/>
              <w:bottom w:val="none" w:sz="0" w:space="0" w:color="auto"/>
              <w:right w:val="none" w:sz="0" w:space="0" w:color="auto"/>
            </w:tcBorders>
          </w:tcPr>
          <w:p w14:paraId="4599B2CB" w14:textId="77777777" w:rsidR="005F08F3" w:rsidRDefault="00000000" w:rsidP="002B2957">
            <w:pPr>
              <w:jc w:val="center"/>
            </w:pPr>
            <w:r>
              <w:rPr>
                <w:sz w:val="20"/>
              </w:rPr>
              <w:t>5 – 10 years</w:t>
            </w:r>
          </w:p>
        </w:tc>
        <w:tc>
          <w:tcPr>
            <w:tcW w:w="4320" w:type="dxa"/>
            <w:tcBorders>
              <w:top w:val="none" w:sz="0" w:space="0" w:color="auto"/>
              <w:left w:val="none" w:sz="0" w:space="0" w:color="auto"/>
              <w:bottom w:val="none" w:sz="0" w:space="0" w:color="auto"/>
              <w:right w:val="none" w:sz="0" w:space="0" w:color="auto"/>
            </w:tcBorders>
          </w:tcPr>
          <w:p w14:paraId="346CE4B9" w14:textId="77777777" w:rsidR="005F08F3" w:rsidRDefault="00000000" w:rsidP="002B2957">
            <w:pPr>
              <w:jc w:val="center"/>
              <w:cnfStyle w:val="000000010000" w:firstRow="0" w:lastRow="0" w:firstColumn="0" w:lastColumn="0" w:oddVBand="0" w:evenVBand="0" w:oddHBand="0" w:evenHBand="1" w:firstRowFirstColumn="0" w:firstRowLastColumn="0" w:lastRowFirstColumn="0" w:lastRowLastColumn="0"/>
            </w:pPr>
            <w:r>
              <w:rPr>
                <w:sz w:val="20"/>
              </w:rPr>
              <w:t>15</w:t>
            </w:r>
          </w:p>
        </w:tc>
      </w:tr>
      <w:tr w:rsidR="005F08F3" w14:paraId="4E4F45A7" w14:textId="77777777" w:rsidTr="002B29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Borders>
              <w:top w:val="none" w:sz="0" w:space="0" w:color="auto"/>
              <w:left w:val="none" w:sz="0" w:space="0" w:color="auto"/>
              <w:bottom w:val="none" w:sz="0" w:space="0" w:color="auto"/>
              <w:right w:val="none" w:sz="0" w:space="0" w:color="auto"/>
            </w:tcBorders>
            <w:shd w:val="clear" w:color="auto" w:fill="auto"/>
          </w:tcPr>
          <w:p w14:paraId="25466D81" w14:textId="77777777" w:rsidR="005F08F3" w:rsidRDefault="00000000" w:rsidP="002B2957">
            <w:pPr>
              <w:jc w:val="center"/>
            </w:pPr>
            <w:r>
              <w:rPr>
                <w:sz w:val="20"/>
              </w:rPr>
              <w:lastRenderedPageBreak/>
              <w:t>&gt; 10 years</w:t>
            </w:r>
          </w:p>
        </w:tc>
        <w:tc>
          <w:tcPr>
            <w:tcW w:w="4320" w:type="dxa"/>
            <w:tcBorders>
              <w:top w:val="none" w:sz="0" w:space="0" w:color="auto"/>
              <w:left w:val="none" w:sz="0" w:space="0" w:color="auto"/>
              <w:bottom w:val="none" w:sz="0" w:space="0" w:color="auto"/>
              <w:right w:val="none" w:sz="0" w:space="0" w:color="auto"/>
            </w:tcBorders>
            <w:shd w:val="clear" w:color="auto" w:fill="auto"/>
          </w:tcPr>
          <w:p w14:paraId="19E3AC22" w14:textId="77777777" w:rsidR="005F08F3" w:rsidRDefault="00000000" w:rsidP="002B2957">
            <w:pPr>
              <w:jc w:val="center"/>
              <w:cnfStyle w:val="000000100000" w:firstRow="0" w:lastRow="0" w:firstColumn="0" w:lastColumn="0" w:oddVBand="0" w:evenVBand="0" w:oddHBand="1" w:evenHBand="0" w:firstRowFirstColumn="0" w:firstRowLastColumn="0" w:lastRowFirstColumn="0" w:lastRowLastColumn="0"/>
            </w:pPr>
            <w:r>
              <w:rPr>
                <w:sz w:val="20"/>
              </w:rPr>
              <w:t>14</w:t>
            </w:r>
          </w:p>
        </w:tc>
      </w:tr>
    </w:tbl>
    <w:p w14:paraId="174D7780" w14:textId="77777777" w:rsidR="005F08F3" w:rsidRPr="002B2957" w:rsidRDefault="00000000">
      <w:pPr>
        <w:pStyle w:val="Titre2"/>
        <w:rPr>
          <w:sz w:val="24"/>
          <w:szCs w:val="24"/>
        </w:rPr>
      </w:pPr>
      <w:r w:rsidRPr="002B2957">
        <w:rPr>
          <w:rFonts w:ascii="Times New Roman" w:hAnsi="Times New Roman"/>
          <w:color w:val="000000"/>
          <w:sz w:val="24"/>
          <w:szCs w:val="24"/>
        </w:rPr>
        <w:t>3.3 Respondent profiles</w:t>
      </w:r>
    </w:p>
    <w:p w14:paraId="11EE2CDD" w14:textId="77777777" w:rsidR="005F08F3" w:rsidRPr="002B2957" w:rsidRDefault="00000000" w:rsidP="002B2957">
      <w:pPr>
        <w:jc w:val="both"/>
        <w:rPr>
          <w:sz w:val="24"/>
          <w:szCs w:val="24"/>
        </w:rPr>
      </w:pPr>
      <w:r w:rsidRPr="002B2957">
        <w:rPr>
          <w:sz w:val="24"/>
          <w:szCs w:val="24"/>
        </w:rPr>
        <w:t>Within each firm, interviews were conducted with one or two professionals involved in local purchasing activities. The average number of interviews per firm was 1.8. Respondents occupied the following roles:</w:t>
      </w:r>
    </w:p>
    <w:p w14:paraId="793BD912" w14:textId="77777777" w:rsidR="005F08F3" w:rsidRPr="002B2957" w:rsidRDefault="00000000" w:rsidP="002B2957">
      <w:pPr>
        <w:pStyle w:val="Listepuces"/>
        <w:jc w:val="both"/>
        <w:rPr>
          <w:sz w:val="24"/>
          <w:szCs w:val="24"/>
        </w:rPr>
      </w:pPr>
      <w:r w:rsidRPr="002B2957">
        <w:rPr>
          <w:sz w:val="24"/>
          <w:szCs w:val="24"/>
        </w:rPr>
        <w:t>Purchasing managers / site purchasing directors</w:t>
      </w:r>
    </w:p>
    <w:p w14:paraId="08038FFD" w14:textId="77777777" w:rsidR="005F08F3" w:rsidRPr="002B2957" w:rsidRDefault="00000000" w:rsidP="002B2957">
      <w:pPr>
        <w:pStyle w:val="Listepuces"/>
        <w:jc w:val="both"/>
        <w:rPr>
          <w:sz w:val="24"/>
          <w:szCs w:val="24"/>
        </w:rPr>
      </w:pPr>
      <w:r w:rsidRPr="002B2957">
        <w:rPr>
          <w:sz w:val="24"/>
          <w:szCs w:val="24"/>
        </w:rPr>
        <w:t>Indirect purchasing buyers</w:t>
      </w:r>
    </w:p>
    <w:p w14:paraId="0BB7878C" w14:textId="77777777" w:rsidR="005F08F3" w:rsidRPr="002B2957" w:rsidRDefault="00000000" w:rsidP="002B2957">
      <w:pPr>
        <w:pStyle w:val="Listepuces"/>
        <w:jc w:val="both"/>
        <w:rPr>
          <w:sz w:val="24"/>
          <w:szCs w:val="24"/>
        </w:rPr>
      </w:pPr>
      <w:r w:rsidRPr="002B2957">
        <w:rPr>
          <w:sz w:val="24"/>
          <w:szCs w:val="24"/>
        </w:rPr>
        <w:t>Direct purchasing buyers (raw materials and components)</w:t>
      </w:r>
    </w:p>
    <w:p w14:paraId="1AD7C6E6" w14:textId="77777777" w:rsidR="005F08F3" w:rsidRPr="002B2957" w:rsidRDefault="00000000" w:rsidP="002B2957">
      <w:pPr>
        <w:pStyle w:val="Listepuces"/>
        <w:jc w:val="both"/>
        <w:rPr>
          <w:sz w:val="24"/>
          <w:szCs w:val="24"/>
        </w:rPr>
      </w:pPr>
      <w:r w:rsidRPr="002B2957">
        <w:rPr>
          <w:sz w:val="24"/>
          <w:szCs w:val="24"/>
        </w:rPr>
        <w:t>Project buyers</w:t>
      </w:r>
    </w:p>
    <w:p w14:paraId="62F63281" w14:textId="77777777" w:rsidR="005F08F3" w:rsidRPr="002B2957" w:rsidRDefault="00000000" w:rsidP="002B2957">
      <w:pPr>
        <w:pStyle w:val="Listepuces"/>
        <w:jc w:val="both"/>
        <w:rPr>
          <w:sz w:val="24"/>
          <w:szCs w:val="24"/>
        </w:rPr>
      </w:pPr>
      <w:r w:rsidRPr="002B2957">
        <w:rPr>
          <w:sz w:val="24"/>
          <w:szCs w:val="24"/>
        </w:rPr>
        <w:t>Commodity buyers / senior buyers</w:t>
      </w:r>
    </w:p>
    <w:p w14:paraId="19FC6D9C" w14:textId="77777777" w:rsidR="005F08F3" w:rsidRPr="002B2957" w:rsidRDefault="00000000" w:rsidP="002B2957">
      <w:pPr>
        <w:spacing w:after="0" w:line="240" w:lineRule="auto"/>
        <w:jc w:val="both"/>
        <w:rPr>
          <w:sz w:val="24"/>
          <w:szCs w:val="24"/>
        </w:rPr>
      </w:pPr>
      <w:r w:rsidRPr="002B2957">
        <w:rPr>
          <w:sz w:val="24"/>
          <w:szCs w:val="24"/>
        </w:rPr>
        <w:t>Respondents were selected to capture a range of hierarchical levels, purchasing categories, and years of experience. Where possible, interviews included both a purchasing manager and a buyer within the same firm to triangulate perspectives across hierarchical levels.</w:t>
      </w:r>
    </w:p>
    <w:p w14:paraId="0405BEFC" w14:textId="77777777" w:rsidR="005F08F3" w:rsidRPr="002B2957" w:rsidRDefault="00000000" w:rsidP="002B2957">
      <w:pPr>
        <w:pStyle w:val="Titre1"/>
        <w:spacing w:line="240" w:lineRule="auto"/>
        <w:rPr>
          <w:sz w:val="24"/>
          <w:szCs w:val="24"/>
        </w:rPr>
      </w:pPr>
      <w:r w:rsidRPr="002B2957">
        <w:rPr>
          <w:rFonts w:ascii="Times New Roman" w:hAnsi="Times New Roman"/>
          <w:color w:val="000000"/>
          <w:sz w:val="24"/>
          <w:szCs w:val="24"/>
        </w:rPr>
        <w:t>4. Interview Procedure</w:t>
      </w:r>
    </w:p>
    <w:p w14:paraId="6B7C7DB2" w14:textId="77777777" w:rsidR="005F08F3" w:rsidRPr="002B2957" w:rsidRDefault="00000000">
      <w:pPr>
        <w:pStyle w:val="Titre2"/>
        <w:rPr>
          <w:sz w:val="24"/>
          <w:szCs w:val="24"/>
        </w:rPr>
      </w:pPr>
      <w:r w:rsidRPr="002B2957">
        <w:rPr>
          <w:rFonts w:ascii="Times New Roman" w:hAnsi="Times New Roman"/>
          <w:color w:val="000000"/>
          <w:sz w:val="24"/>
          <w:szCs w:val="24"/>
        </w:rPr>
        <w:t>4.1 Recruitment and access</w:t>
      </w:r>
    </w:p>
    <w:p w14:paraId="21EEFFB1" w14:textId="77777777" w:rsidR="005F08F3" w:rsidRPr="002B2957" w:rsidRDefault="00000000" w:rsidP="002B2957">
      <w:pPr>
        <w:jc w:val="both"/>
        <w:rPr>
          <w:sz w:val="24"/>
          <w:szCs w:val="24"/>
        </w:rPr>
      </w:pPr>
      <w:r w:rsidRPr="002B2957">
        <w:rPr>
          <w:sz w:val="24"/>
          <w:szCs w:val="24"/>
        </w:rPr>
        <w:t>Potential participants were identified through professional networks within the Moroccan automotive industry and approached via email or telephone. An initial contact explained the purpose and scope of the study and confirmed the confidentiality arrangements. Formal informed consent was obtained from each participant prior to the interview.</w:t>
      </w:r>
    </w:p>
    <w:p w14:paraId="68D3DDAC" w14:textId="77777777" w:rsidR="005F08F3" w:rsidRDefault="00000000">
      <w:pPr>
        <w:pStyle w:val="Titre2"/>
        <w:rPr>
          <w:rFonts w:ascii="Times New Roman" w:hAnsi="Times New Roman"/>
          <w:color w:val="000000"/>
          <w:sz w:val="24"/>
          <w:szCs w:val="24"/>
        </w:rPr>
      </w:pPr>
      <w:r w:rsidRPr="002B2957">
        <w:rPr>
          <w:rFonts w:ascii="Times New Roman" w:hAnsi="Times New Roman"/>
          <w:color w:val="000000"/>
          <w:sz w:val="24"/>
          <w:szCs w:val="24"/>
        </w:rPr>
        <w:t>4.2 Interview logistics</w:t>
      </w:r>
    </w:p>
    <w:p w14:paraId="706A0EA6" w14:textId="77777777" w:rsidR="002B2957" w:rsidRPr="002B2957" w:rsidRDefault="002B2957" w:rsidP="002B2957"/>
    <w:tbl>
      <w:tblPr>
        <w:tblStyle w:val="Grilleclaire-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5F08F3" w14:paraId="5A64C5EB" w14:textId="77777777" w:rsidTr="002B295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Borders>
              <w:top w:val="none" w:sz="0" w:space="0" w:color="auto"/>
              <w:left w:val="none" w:sz="0" w:space="0" w:color="auto"/>
              <w:bottom w:val="none" w:sz="0" w:space="0" w:color="auto"/>
              <w:right w:val="none" w:sz="0" w:space="0" w:color="auto"/>
            </w:tcBorders>
          </w:tcPr>
          <w:p w14:paraId="22EC0E6A" w14:textId="77777777" w:rsidR="005F08F3" w:rsidRDefault="00000000" w:rsidP="002B2957">
            <w:pPr>
              <w:jc w:val="center"/>
            </w:pPr>
            <w:r>
              <w:rPr>
                <w:sz w:val="20"/>
              </w:rPr>
              <w:t>Duration</w:t>
            </w:r>
          </w:p>
        </w:tc>
        <w:tc>
          <w:tcPr>
            <w:tcW w:w="4320" w:type="dxa"/>
            <w:tcBorders>
              <w:top w:val="none" w:sz="0" w:space="0" w:color="auto"/>
              <w:left w:val="none" w:sz="0" w:space="0" w:color="auto"/>
              <w:bottom w:val="none" w:sz="0" w:space="0" w:color="auto"/>
              <w:right w:val="none" w:sz="0" w:space="0" w:color="auto"/>
            </w:tcBorders>
          </w:tcPr>
          <w:p w14:paraId="54F1C6CF" w14:textId="77777777" w:rsidR="005F08F3" w:rsidRDefault="00000000" w:rsidP="002B2957">
            <w:pPr>
              <w:jc w:val="center"/>
              <w:cnfStyle w:val="100000000000" w:firstRow="1" w:lastRow="0" w:firstColumn="0" w:lastColumn="0" w:oddVBand="0" w:evenVBand="0" w:oddHBand="0" w:evenHBand="0" w:firstRowFirstColumn="0" w:firstRowLastColumn="0" w:lastRowFirstColumn="0" w:lastRowLastColumn="0"/>
            </w:pPr>
            <w:r>
              <w:rPr>
                <w:sz w:val="20"/>
              </w:rPr>
              <w:t>60–90 minutes (average: 72 minutes; observed range: 58–94 minutes)</w:t>
            </w:r>
          </w:p>
        </w:tc>
      </w:tr>
      <w:tr w:rsidR="005F08F3" w14:paraId="18414989" w14:textId="77777777" w:rsidTr="002B29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Borders>
              <w:top w:val="none" w:sz="0" w:space="0" w:color="auto"/>
              <w:left w:val="none" w:sz="0" w:space="0" w:color="auto"/>
              <w:bottom w:val="none" w:sz="0" w:space="0" w:color="auto"/>
              <w:right w:val="none" w:sz="0" w:space="0" w:color="auto"/>
            </w:tcBorders>
            <w:shd w:val="clear" w:color="auto" w:fill="auto"/>
          </w:tcPr>
          <w:p w14:paraId="6709B697" w14:textId="77777777" w:rsidR="005F08F3" w:rsidRDefault="00000000" w:rsidP="002B2957">
            <w:pPr>
              <w:jc w:val="center"/>
            </w:pPr>
            <w:r>
              <w:rPr>
                <w:sz w:val="20"/>
              </w:rPr>
              <w:t>Format</w:t>
            </w:r>
          </w:p>
        </w:tc>
        <w:tc>
          <w:tcPr>
            <w:tcW w:w="4320" w:type="dxa"/>
            <w:tcBorders>
              <w:top w:val="none" w:sz="0" w:space="0" w:color="auto"/>
              <w:left w:val="none" w:sz="0" w:space="0" w:color="auto"/>
              <w:bottom w:val="none" w:sz="0" w:space="0" w:color="auto"/>
              <w:right w:val="none" w:sz="0" w:space="0" w:color="auto"/>
            </w:tcBorders>
            <w:shd w:val="clear" w:color="auto" w:fill="auto"/>
          </w:tcPr>
          <w:p w14:paraId="7AAEA01C" w14:textId="77777777" w:rsidR="005F08F3" w:rsidRDefault="00000000" w:rsidP="002B2957">
            <w:pPr>
              <w:jc w:val="center"/>
              <w:cnfStyle w:val="000000100000" w:firstRow="0" w:lastRow="0" w:firstColumn="0" w:lastColumn="0" w:oddVBand="0" w:evenVBand="0" w:oddHBand="1" w:evenHBand="0" w:firstRowFirstColumn="0" w:firstRowLastColumn="0" w:lastRowFirstColumn="0" w:lastRowLastColumn="0"/>
            </w:pPr>
            <w:r>
              <w:rPr>
                <w:sz w:val="20"/>
              </w:rPr>
              <w:t>Approximately 85% face-to-face (at the respondent’s workplace); 15% remote (video call)</w:t>
            </w:r>
          </w:p>
        </w:tc>
      </w:tr>
      <w:tr w:rsidR="005F08F3" w14:paraId="26084971" w14:textId="77777777" w:rsidTr="002B295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Borders>
              <w:top w:val="none" w:sz="0" w:space="0" w:color="auto"/>
              <w:left w:val="none" w:sz="0" w:space="0" w:color="auto"/>
              <w:bottom w:val="none" w:sz="0" w:space="0" w:color="auto"/>
              <w:right w:val="none" w:sz="0" w:space="0" w:color="auto"/>
            </w:tcBorders>
          </w:tcPr>
          <w:p w14:paraId="1BAECDE2" w14:textId="77777777" w:rsidR="005F08F3" w:rsidRDefault="00000000" w:rsidP="002B2957">
            <w:pPr>
              <w:jc w:val="center"/>
            </w:pPr>
            <w:r>
              <w:rPr>
                <w:sz w:val="20"/>
              </w:rPr>
              <w:t>Language</w:t>
            </w:r>
          </w:p>
        </w:tc>
        <w:tc>
          <w:tcPr>
            <w:tcW w:w="4320" w:type="dxa"/>
            <w:tcBorders>
              <w:top w:val="none" w:sz="0" w:space="0" w:color="auto"/>
              <w:left w:val="none" w:sz="0" w:space="0" w:color="auto"/>
              <w:bottom w:val="none" w:sz="0" w:space="0" w:color="auto"/>
              <w:right w:val="none" w:sz="0" w:space="0" w:color="auto"/>
            </w:tcBorders>
          </w:tcPr>
          <w:p w14:paraId="1C1D2B06" w14:textId="77777777" w:rsidR="005F08F3" w:rsidRDefault="00000000" w:rsidP="002B2957">
            <w:pPr>
              <w:jc w:val="center"/>
              <w:cnfStyle w:val="000000010000" w:firstRow="0" w:lastRow="0" w:firstColumn="0" w:lastColumn="0" w:oddVBand="0" w:evenVBand="0" w:oddHBand="0" w:evenHBand="1" w:firstRowFirstColumn="0" w:firstRowLastColumn="0" w:lastRowFirstColumn="0" w:lastRowLastColumn="0"/>
            </w:pPr>
            <w:r>
              <w:rPr>
                <w:sz w:val="20"/>
              </w:rPr>
              <w:t>French or Arabic, depending on respondent preference</w:t>
            </w:r>
          </w:p>
        </w:tc>
      </w:tr>
      <w:tr w:rsidR="005F08F3" w14:paraId="75D7C44C" w14:textId="77777777" w:rsidTr="002B29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Borders>
              <w:top w:val="none" w:sz="0" w:space="0" w:color="auto"/>
              <w:left w:val="none" w:sz="0" w:space="0" w:color="auto"/>
              <w:bottom w:val="none" w:sz="0" w:space="0" w:color="auto"/>
              <w:right w:val="none" w:sz="0" w:space="0" w:color="auto"/>
            </w:tcBorders>
            <w:shd w:val="clear" w:color="auto" w:fill="auto"/>
          </w:tcPr>
          <w:p w14:paraId="26F639BC" w14:textId="77777777" w:rsidR="005F08F3" w:rsidRDefault="00000000" w:rsidP="002B2957">
            <w:pPr>
              <w:jc w:val="center"/>
            </w:pPr>
            <w:r>
              <w:rPr>
                <w:sz w:val="20"/>
              </w:rPr>
              <w:t>Recording</w:t>
            </w:r>
          </w:p>
        </w:tc>
        <w:tc>
          <w:tcPr>
            <w:tcW w:w="4320" w:type="dxa"/>
            <w:tcBorders>
              <w:top w:val="none" w:sz="0" w:space="0" w:color="auto"/>
              <w:left w:val="none" w:sz="0" w:space="0" w:color="auto"/>
              <w:bottom w:val="none" w:sz="0" w:space="0" w:color="auto"/>
              <w:right w:val="none" w:sz="0" w:space="0" w:color="auto"/>
            </w:tcBorders>
            <w:shd w:val="clear" w:color="auto" w:fill="auto"/>
          </w:tcPr>
          <w:p w14:paraId="4F11B84A" w14:textId="77777777" w:rsidR="005F08F3" w:rsidRDefault="00000000" w:rsidP="002B2957">
            <w:pPr>
              <w:jc w:val="center"/>
              <w:cnfStyle w:val="000000100000" w:firstRow="0" w:lastRow="0" w:firstColumn="0" w:lastColumn="0" w:oddVBand="0" w:evenVBand="0" w:oddHBand="1" w:evenHBand="0" w:firstRowFirstColumn="0" w:firstRowLastColumn="0" w:lastRowFirstColumn="0" w:lastRowLastColumn="0"/>
            </w:pPr>
            <w:r>
              <w:rPr>
                <w:sz w:val="20"/>
              </w:rPr>
              <w:t>Audio recording with prior informed consent</w:t>
            </w:r>
          </w:p>
        </w:tc>
      </w:tr>
      <w:tr w:rsidR="005F08F3" w14:paraId="121C1333" w14:textId="77777777" w:rsidTr="002B295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Borders>
              <w:top w:val="none" w:sz="0" w:space="0" w:color="auto"/>
              <w:left w:val="none" w:sz="0" w:space="0" w:color="auto"/>
              <w:bottom w:val="none" w:sz="0" w:space="0" w:color="auto"/>
              <w:right w:val="none" w:sz="0" w:space="0" w:color="auto"/>
            </w:tcBorders>
          </w:tcPr>
          <w:p w14:paraId="71929A82" w14:textId="77777777" w:rsidR="005F08F3" w:rsidRDefault="00000000" w:rsidP="002B2957">
            <w:pPr>
              <w:jc w:val="center"/>
            </w:pPr>
            <w:r>
              <w:rPr>
                <w:sz w:val="20"/>
              </w:rPr>
              <w:t>Transcription</w:t>
            </w:r>
          </w:p>
        </w:tc>
        <w:tc>
          <w:tcPr>
            <w:tcW w:w="4320" w:type="dxa"/>
            <w:tcBorders>
              <w:top w:val="none" w:sz="0" w:space="0" w:color="auto"/>
              <w:left w:val="none" w:sz="0" w:space="0" w:color="auto"/>
              <w:bottom w:val="none" w:sz="0" w:space="0" w:color="auto"/>
              <w:right w:val="none" w:sz="0" w:space="0" w:color="auto"/>
            </w:tcBorders>
          </w:tcPr>
          <w:p w14:paraId="203E53A8" w14:textId="77777777" w:rsidR="005F08F3" w:rsidRDefault="00000000" w:rsidP="002B2957">
            <w:pPr>
              <w:jc w:val="center"/>
              <w:cnfStyle w:val="000000010000" w:firstRow="0" w:lastRow="0" w:firstColumn="0" w:lastColumn="0" w:oddVBand="0" w:evenVBand="0" w:oddHBand="0" w:evenHBand="1" w:firstRowFirstColumn="0" w:firstRowLastColumn="0" w:lastRowFirstColumn="0" w:lastRowLastColumn="0"/>
            </w:pPr>
            <w:r>
              <w:rPr>
                <w:sz w:val="20"/>
              </w:rPr>
              <w:t>Full verbatim transcription of all 64 interviews</w:t>
            </w:r>
          </w:p>
        </w:tc>
      </w:tr>
      <w:tr w:rsidR="005F08F3" w14:paraId="613DD0C5" w14:textId="77777777" w:rsidTr="002B29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Borders>
              <w:top w:val="none" w:sz="0" w:space="0" w:color="auto"/>
              <w:left w:val="none" w:sz="0" w:space="0" w:color="auto"/>
              <w:bottom w:val="none" w:sz="0" w:space="0" w:color="auto"/>
              <w:right w:val="none" w:sz="0" w:space="0" w:color="auto"/>
            </w:tcBorders>
            <w:shd w:val="clear" w:color="auto" w:fill="auto"/>
          </w:tcPr>
          <w:p w14:paraId="5A1943B9" w14:textId="77777777" w:rsidR="005F08F3" w:rsidRDefault="00000000" w:rsidP="002B2957">
            <w:pPr>
              <w:jc w:val="center"/>
            </w:pPr>
            <w:r>
              <w:rPr>
                <w:sz w:val="20"/>
              </w:rPr>
              <w:t>Anonymisation</w:t>
            </w:r>
          </w:p>
        </w:tc>
        <w:tc>
          <w:tcPr>
            <w:tcW w:w="4320" w:type="dxa"/>
            <w:tcBorders>
              <w:top w:val="none" w:sz="0" w:space="0" w:color="auto"/>
              <w:left w:val="none" w:sz="0" w:space="0" w:color="auto"/>
              <w:bottom w:val="none" w:sz="0" w:space="0" w:color="auto"/>
              <w:right w:val="none" w:sz="0" w:space="0" w:color="auto"/>
            </w:tcBorders>
            <w:shd w:val="clear" w:color="auto" w:fill="auto"/>
          </w:tcPr>
          <w:p w14:paraId="1647F2E4" w14:textId="77777777" w:rsidR="005F08F3" w:rsidRDefault="00000000" w:rsidP="002B2957">
            <w:pPr>
              <w:jc w:val="center"/>
              <w:cnfStyle w:val="000000100000" w:firstRow="0" w:lastRow="0" w:firstColumn="0" w:lastColumn="0" w:oddVBand="0" w:evenVBand="0" w:oddHBand="1" w:evenHBand="0" w:firstRowFirstColumn="0" w:firstRowLastColumn="0" w:lastRowFirstColumn="0" w:lastRowLastColumn="0"/>
            </w:pPr>
            <w:r>
              <w:rPr>
                <w:sz w:val="20"/>
              </w:rPr>
              <w:t>All identifying information (company names, respondent names, specific locations) removed from transcripts</w:t>
            </w:r>
          </w:p>
        </w:tc>
      </w:tr>
      <w:tr w:rsidR="005F08F3" w14:paraId="35D87C0A" w14:textId="77777777" w:rsidTr="002B295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Borders>
              <w:top w:val="none" w:sz="0" w:space="0" w:color="auto"/>
              <w:left w:val="none" w:sz="0" w:space="0" w:color="auto"/>
              <w:bottom w:val="none" w:sz="0" w:space="0" w:color="auto"/>
              <w:right w:val="none" w:sz="0" w:space="0" w:color="auto"/>
            </w:tcBorders>
          </w:tcPr>
          <w:p w14:paraId="1B7EFB66" w14:textId="77777777" w:rsidR="005F08F3" w:rsidRDefault="00000000" w:rsidP="002B2957">
            <w:pPr>
              <w:jc w:val="center"/>
            </w:pPr>
            <w:r>
              <w:rPr>
                <w:sz w:val="20"/>
              </w:rPr>
              <w:t>Data storage</w:t>
            </w:r>
          </w:p>
        </w:tc>
        <w:tc>
          <w:tcPr>
            <w:tcW w:w="4320" w:type="dxa"/>
            <w:tcBorders>
              <w:top w:val="none" w:sz="0" w:space="0" w:color="auto"/>
              <w:left w:val="none" w:sz="0" w:space="0" w:color="auto"/>
              <w:bottom w:val="none" w:sz="0" w:space="0" w:color="auto"/>
              <w:right w:val="none" w:sz="0" w:space="0" w:color="auto"/>
            </w:tcBorders>
          </w:tcPr>
          <w:p w14:paraId="717F25C2" w14:textId="77777777" w:rsidR="005F08F3" w:rsidRDefault="00000000" w:rsidP="002B2957">
            <w:pPr>
              <w:jc w:val="center"/>
              <w:cnfStyle w:val="000000010000" w:firstRow="0" w:lastRow="0" w:firstColumn="0" w:lastColumn="0" w:oddVBand="0" w:evenVBand="0" w:oddHBand="0" w:evenHBand="1" w:firstRowFirstColumn="0" w:firstRowLastColumn="0" w:lastRowFirstColumn="0" w:lastRowLastColumn="0"/>
            </w:pPr>
            <w:r>
              <w:rPr>
                <w:sz w:val="20"/>
              </w:rPr>
              <w:t>Transcripts stored securely with access restricted to the research team</w:t>
            </w:r>
          </w:p>
        </w:tc>
      </w:tr>
    </w:tbl>
    <w:p w14:paraId="2AD21584" w14:textId="77777777" w:rsidR="005F08F3" w:rsidRPr="002B2957" w:rsidRDefault="00000000">
      <w:pPr>
        <w:pStyle w:val="Titre2"/>
        <w:rPr>
          <w:sz w:val="24"/>
          <w:szCs w:val="24"/>
        </w:rPr>
      </w:pPr>
      <w:r w:rsidRPr="002B2957">
        <w:rPr>
          <w:rFonts w:ascii="Times New Roman" w:hAnsi="Times New Roman"/>
          <w:color w:val="000000"/>
          <w:sz w:val="24"/>
          <w:szCs w:val="24"/>
        </w:rPr>
        <w:lastRenderedPageBreak/>
        <w:t>4.3 Interview guide</w:t>
      </w:r>
    </w:p>
    <w:p w14:paraId="58903335" w14:textId="77777777" w:rsidR="005F08F3" w:rsidRPr="002B2957" w:rsidRDefault="00000000" w:rsidP="002B2957">
      <w:pPr>
        <w:jc w:val="both"/>
        <w:rPr>
          <w:sz w:val="24"/>
          <w:szCs w:val="24"/>
        </w:rPr>
      </w:pPr>
      <w:r w:rsidRPr="002B2957">
        <w:rPr>
          <w:sz w:val="24"/>
          <w:szCs w:val="24"/>
        </w:rPr>
        <w:t>A semi-structured interview guide was used (see Supplementary File 1). The guide covered five broad thematic areas: (1) the development and professionalisation of the purchasing function; (2) headquarters–subsidiary governance and relations; (3) autonomy and decision-making; (4) performance evaluation and reporting; and (5) image, legitimacy, and perceived role of purchasing. Cross-cutting and closing questions completed the guide.</w:t>
      </w:r>
    </w:p>
    <w:p w14:paraId="2F095252" w14:textId="77777777" w:rsidR="005F08F3" w:rsidRPr="002B2957" w:rsidRDefault="00000000" w:rsidP="002B2957">
      <w:pPr>
        <w:jc w:val="both"/>
        <w:rPr>
          <w:sz w:val="24"/>
          <w:szCs w:val="24"/>
        </w:rPr>
      </w:pPr>
      <w:r w:rsidRPr="002B2957">
        <w:rPr>
          <w:sz w:val="24"/>
          <w:szCs w:val="24"/>
        </w:rPr>
        <w:t>The guide was administered flexibly, with the order and depth of questions adapted to the flow of each conversation. Probing techniques (follow-up questions, requests for examples, reformulations) were used systematically to elicit detailed accounts.</w:t>
      </w:r>
    </w:p>
    <w:p w14:paraId="13A7D401" w14:textId="77777777" w:rsidR="005F08F3" w:rsidRPr="002B2957" w:rsidRDefault="00000000">
      <w:pPr>
        <w:pStyle w:val="Titre2"/>
        <w:rPr>
          <w:sz w:val="24"/>
          <w:szCs w:val="24"/>
        </w:rPr>
      </w:pPr>
      <w:r w:rsidRPr="002B2957">
        <w:rPr>
          <w:rFonts w:ascii="Times New Roman" w:hAnsi="Times New Roman"/>
          <w:color w:val="000000"/>
          <w:sz w:val="24"/>
          <w:szCs w:val="24"/>
        </w:rPr>
        <w:t>4.4 Fieldwork timeline</w:t>
      </w:r>
    </w:p>
    <w:p w14:paraId="287CF764" w14:textId="77777777" w:rsidR="005F08F3" w:rsidRPr="002B2957" w:rsidRDefault="00000000" w:rsidP="002B2957">
      <w:pPr>
        <w:jc w:val="both"/>
        <w:rPr>
          <w:sz w:val="24"/>
          <w:szCs w:val="24"/>
        </w:rPr>
      </w:pPr>
      <w:r w:rsidRPr="002B2957">
        <w:rPr>
          <w:sz w:val="24"/>
          <w:szCs w:val="24"/>
        </w:rPr>
        <w:t>Data collection took place over a period of approximately eight months. Interviews were conducted in successive waves, allowing early analytical insights to inform subsequent interviews, consistent with the abductive logic of the research design (Dubois and Gadde, 2002).</w:t>
      </w:r>
    </w:p>
    <w:p w14:paraId="5D2B86AD" w14:textId="77777777" w:rsidR="005F08F3" w:rsidRPr="00CD133A" w:rsidRDefault="00000000">
      <w:pPr>
        <w:pStyle w:val="Titre1"/>
        <w:rPr>
          <w:sz w:val="24"/>
          <w:szCs w:val="24"/>
        </w:rPr>
      </w:pPr>
      <w:r w:rsidRPr="00CD133A">
        <w:rPr>
          <w:rFonts w:ascii="Times New Roman" w:hAnsi="Times New Roman"/>
          <w:color w:val="000000"/>
          <w:sz w:val="24"/>
          <w:szCs w:val="24"/>
        </w:rPr>
        <w:t>5. Analytical Procedure</w:t>
      </w:r>
    </w:p>
    <w:p w14:paraId="69DA8265" w14:textId="77777777" w:rsidR="005F08F3" w:rsidRDefault="00000000">
      <w:pPr>
        <w:pStyle w:val="Titre2"/>
      </w:pPr>
      <w:r w:rsidRPr="002B2957">
        <w:rPr>
          <w:rFonts w:ascii="Times New Roman" w:hAnsi="Times New Roman"/>
          <w:color w:val="000000"/>
          <w:sz w:val="24"/>
          <w:szCs w:val="24"/>
        </w:rPr>
        <w:t>5.1 Coding process</w:t>
      </w:r>
    </w:p>
    <w:p w14:paraId="7EC95DF0" w14:textId="77777777" w:rsidR="005F08F3" w:rsidRPr="002B2957" w:rsidRDefault="00000000" w:rsidP="002B2957">
      <w:pPr>
        <w:jc w:val="both"/>
        <w:rPr>
          <w:sz w:val="24"/>
          <w:szCs w:val="24"/>
        </w:rPr>
      </w:pPr>
      <w:r w:rsidRPr="002B2957">
        <w:rPr>
          <w:sz w:val="24"/>
          <w:szCs w:val="24"/>
        </w:rPr>
        <w:t>The analytical process followed the Gioia methodology (Gioia et al., 2013) and was conducted using NVivo 14. The process involved three iterative stages:</w:t>
      </w:r>
    </w:p>
    <w:p w14:paraId="0E25CD0E" w14:textId="77777777" w:rsidR="005F08F3" w:rsidRPr="002B2957" w:rsidRDefault="00000000" w:rsidP="002B2957">
      <w:pPr>
        <w:ind w:left="432"/>
        <w:jc w:val="both"/>
        <w:rPr>
          <w:sz w:val="24"/>
          <w:szCs w:val="24"/>
        </w:rPr>
      </w:pPr>
      <w:r w:rsidRPr="002B2957">
        <w:rPr>
          <w:b/>
          <w:sz w:val="24"/>
          <w:szCs w:val="24"/>
        </w:rPr>
        <w:t xml:space="preserve">Stage 1 — First-order coding: </w:t>
      </w:r>
      <w:r w:rsidRPr="002B2957">
        <w:rPr>
          <w:sz w:val="24"/>
          <w:szCs w:val="24"/>
        </w:rPr>
        <w:t>Open coding of all 64 transcripts, generating 187 first-order codes expressed as closely as possible in respondents’ own language (in vivo codes).</w:t>
      </w:r>
    </w:p>
    <w:p w14:paraId="5B385824" w14:textId="77777777" w:rsidR="005F08F3" w:rsidRPr="002B2957" w:rsidRDefault="00000000" w:rsidP="002B2957">
      <w:pPr>
        <w:ind w:left="432"/>
        <w:jc w:val="both"/>
        <w:rPr>
          <w:sz w:val="24"/>
          <w:szCs w:val="24"/>
        </w:rPr>
      </w:pPr>
      <w:r w:rsidRPr="002B2957">
        <w:rPr>
          <w:b/>
          <w:sz w:val="24"/>
          <w:szCs w:val="24"/>
        </w:rPr>
        <w:t xml:space="preserve">Stage 2 — Second-order theming: </w:t>
      </w:r>
      <w:r w:rsidRPr="002B2957">
        <w:rPr>
          <w:sz w:val="24"/>
          <w:szCs w:val="24"/>
        </w:rPr>
        <w:t>Progressive grouping of first-order codes into 24 second-order themes through constant comparison and theoretical abstraction.</w:t>
      </w:r>
    </w:p>
    <w:p w14:paraId="1B9A56EA" w14:textId="77777777" w:rsidR="005F08F3" w:rsidRPr="002B2957" w:rsidRDefault="00000000" w:rsidP="002B2957">
      <w:pPr>
        <w:ind w:left="432"/>
        <w:jc w:val="both"/>
        <w:rPr>
          <w:sz w:val="24"/>
          <w:szCs w:val="24"/>
        </w:rPr>
      </w:pPr>
      <w:r w:rsidRPr="002B2957">
        <w:rPr>
          <w:b/>
          <w:sz w:val="24"/>
          <w:szCs w:val="24"/>
        </w:rPr>
        <w:t xml:space="preserve">Stage 3 — Aggregate dimensions: </w:t>
      </w:r>
      <w:r w:rsidRPr="002B2957">
        <w:rPr>
          <w:sz w:val="24"/>
          <w:szCs w:val="24"/>
        </w:rPr>
        <w:t>Consolidation of second-order themes into 4 aggregate dimensions representing the highest level of abstraction.</w:t>
      </w:r>
    </w:p>
    <w:p w14:paraId="0B050FD3" w14:textId="77777777" w:rsidR="005F08F3" w:rsidRPr="002B2957" w:rsidRDefault="00000000" w:rsidP="002B2957">
      <w:pPr>
        <w:jc w:val="both"/>
        <w:rPr>
          <w:sz w:val="24"/>
          <w:szCs w:val="24"/>
        </w:rPr>
      </w:pPr>
      <w:r w:rsidRPr="002B2957">
        <w:rPr>
          <w:sz w:val="24"/>
          <w:szCs w:val="24"/>
        </w:rPr>
        <w:t>The coding process continued until thematic saturation was reached, with no substantially new first-order concepts emerging in the final interviews. Saturation was assessed both at the level of first-order codes and second-order themes. The complete codebook is provided in Supplementary File 2.</w:t>
      </w:r>
    </w:p>
    <w:p w14:paraId="5C3CC9B3" w14:textId="77777777" w:rsidR="005F08F3" w:rsidRPr="002B2957" w:rsidRDefault="00000000" w:rsidP="002B2957">
      <w:pPr>
        <w:pStyle w:val="Titre2"/>
        <w:jc w:val="both"/>
        <w:rPr>
          <w:sz w:val="24"/>
          <w:szCs w:val="24"/>
        </w:rPr>
      </w:pPr>
      <w:r w:rsidRPr="002B2957">
        <w:rPr>
          <w:rFonts w:ascii="Times New Roman" w:hAnsi="Times New Roman"/>
          <w:color w:val="000000"/>
          <w:sz w:val="24"/>
          <w:szCs w:val="24"/>
        </w:rPr>
        <w:t>5.2 Inter-coder reliability</w:t>
      </w:r>
    </w:p>
    <w:p w14:paraId="2312ACC6" w14:textId="77777777" w:rsidR="005F08F3" w:rsidRPr="002B2957" w:rsidRDefault="00000000" w:rsidP="002B2957">
      <w:pPr>
        <w:jc w:val="both"/>
        <w:rPr>
          <w:sz w:val="24"/>
          <w:szCs w:val="24"/>
        </w:rPr>
      </w:pPr>
      <w:r w:rsidRPr="002B2957">
        <w:rPr>
          <w:sz w:val="24"/>
          <w:szCs w:val="24"/>
        </w:rPr>
        <w:t xml:space="preserve">To assess the reliability of the coding scheme, a subset of the corpus corresponding to 15% of the interviews (9 interviews, selected to represent the diversity of the sample in terms of ecosystem, tier level, and respondent profile) was independently coded by a second researcher. An initial round of independent coding yielded a Cohen’s kappa of </w:t>
      </w:r>
      <w:r w:rsidRPr="002B2957">
        <w:rPr>
          <w:sz w:val="24"/>
          <w:szCs w:val="24"/>
        </w:rPr>
        <w:lastRenderedPageBreak/>
        <w:t>0.78. Following a structured discussion session focused on boundary cases between adjacent themes, a second round achieved a kappa of 0.92, indicating strong inter-coder agreement (Landis and Koch, 1977).</w:t>
      </w:r>
    </w:p>
    <w:p w14:paraId="1E7AEC1E" w14:textId="77777777" w:rsidR="005F08F3" w:rsidRPr="002B2957" w:rsidRDefault="00000000" w:rsidP="002B2957">
      <w:pPr>
        <w:pStyle w:val="Titre2"/>
        <w:jc w:val="both"/>
        <w:rPr>
          <w:sz w:val="24"/>
          <w:szCs w:val="24"/>
        </w:rPr>
      </w:pPr>
      <w:r w:rsidRPr="002B2957">
        <w:rPr>
          <w:rFonts w:ascii="Times New Roman" w:hAnsi="Times New Roman"/>
          <w:color w:val="000000"/>
          <w:sz w:val="24"/>
          <w:szCs w:val="24"/>
        </w:rPr>
        <w:t>5.3 Anonymisation procedures</w:t>
      </w:r>
    </w:p>
    <w:p w14:paraId="6CC0F99C" w14:textId="77777777" w:rsidR="005F08F3" w:rsidRPr="002B2957" w:rsidRDefault="00000000" w:rsidP="002B2957">
      <w:pPr>
        <w:jc w:val="both"/>
        <w:rPr>
          <w:sz w:val="24"/>
          <w:szCs w:val="24"/>
        </w:rPr>
      </w:pPr>
      <w:r w:rsidRPr="002B2957">
        <w:rPr>
          <w:sz w:val="24"/>
          <w:szCs w:val="24"/>
        </w:rPr>
        <w:t>All transcripts were anonymised by removing company names, respondent names, and any identifying details. Firms are referred to by anonymised identifiers (e.g., E01–E35) and respondents by generic role descriptors (e.g., PM for Purchasing Manager, SB for Senior Buyer). The ecosystem classification was retained for analytical purposes, as it represents a broad industry category rather than an identifying marker.</w:t>
      </w:r>
    </w:p>
    <w:p w14:paraId="4234D726" w14:textId="77777777" w:rsidR="005F08F3" w:rsidRPr="002B2957" w:rsidRDefault="00000000" w:rsidP="002B2957">
      <w:pPr>
        <w:pStyle w:val="Titre1"/>
        <w:jc w:val="both"/>
        <w:rPr>
          <w:sz w:val="24"/>
          <w:szCs w:val="24"/>
        </w:rPr>
      </w:pPr>
      <w:r w:rsidRPr="002B2957">
        <w:rPr>
          <w:rFonts w:ascii="Times New Roman" w:hAnsi="Times New Roman"/>
          <w:color w:val="000000"/>
          <w:sz w:val="24"/>
          <w:szCs w:val="24"/>
        </w:rPr>
        <w:t>6. Ethical Considerations</w:t>
      </w:r>
    </w:p>
    <w:p w14:paraId="002EA1DA" w14:textId="77777777" w:rsidR="005F08F3" w:rsidRPr="002B2957" w:rsidRDefault="00000000" w:rsidP="002B2957">
      <w:pPr>
        <w:jc w:val="both"/>
        <w:rPr>
          <w:sz w:val="24"/>
          <w:szCs w:val="24"/>
        </w:rPr>
      </w:pPr>
      <w:r w:rsidRPr="002B2957">
        <w:rPr>
          <w:sz w:val="24"/>
          <w:szCs w:val="24"/>
        </w:rPr>
        <w:t>The study was conducted in accordance with relevant institutional and professional ethical standards for voluntary participation, confidentiality, and anonymisation. As this is a non-interventional study involving professional managers in their capacity as organisational actors (not in any vulnerable or clinical context), formal ethical approval from an institutional review board was not required under the applicable research ethics framework. Informed consent was obtained from all 64 individual participants prior to the interviews. Participants were informed of the study’s purpose, the confidentiality arrangements, their right to withdraw at any time, and the anonymised treatment of all data.</w:t>
      </w:r>
    </w:p>
    <w:p w14:paraId="1803E1E5" w14:textId="77777777" w:rsidR="005F08F3" w:rsidRPr="002B2957" w:rsidRDefault="00000000" w:rsidP="002B2957">
      <w:pPr>
        <w:pStyle w:val="Titre1"/>
        <w:jc w:val="both"/>
        <w:rPr>
          <w:sz w:val="24"/>
          <w:szCs w:val="24"/>
        </w:rPr>
      </w:pPr>
      <w:r w:rsidRPr="002B2957">
        <w:rPr>
          <w:rFonts w:ascii="Times New Roman" w:hAnsi="Times New Roman"/>
          <w:color w:val="000000"/>
          <w:sz w:val="24"/>
          <w:szCs w:val="24"/>
        </w:rPr>
        <w:t>7. Data Management and Storage</w:t>
      </w:r>
    </w:p>
    <w:p w14:paraId="67FDBC6C" w14:textId="77777777" w:rsidR="005F08F3" w:rsidRDefault="00000000" w:rsidP="002B2957">
      <w:pPr>
        <w:jc w:val="both"/>
        <w:rPr>
          <w:sz w:val="24"/>
          <w:szCs w:val="24"/>
        </w:rPr>
      </w:pPr>
      <w:r w:rsidRPr="002B2957">
        <w:rPr>
          <w:sz w:val="24"/>
          <w:szCs w:val="24"/>
        </w:rPr>
        <w:t>Interview recordings and transcripts are stored securely with access restricted to the research team. Due to confidentiality commitments made to participating organisations and individual respondents, the raw interview transcripts are not publicly available. This restriction is consistent with confidentiality agreements established during data collection. An anonymised version of the data may be made available by the corresponding author upon reasonable request, subject to appropriate data use agreements. For further details, see the Data Availability statement in the manuscript.</w:t>
      </w:r>
    </w:p>
    <w:p w14:paraId="5D9CEB3D" w14:textId="77777777" w:rsidR="002B2957" w:rsidRDefault="002B2957" w:rsidP="002B2957">
      <w:pPr>
        <w:jc w:val="both"/>
        <w:rPr>
          <w:sz w:val="24"/>
          <w:szCs w:val="24"/>
        </w:rPr>
      </w:pPr>
    </w:p>
    <w:p w14:paraId="1647E4D9" w14:textId="77777777" w:rsidR="00CD133A" w:rsidRDefault="00CD133A" w:rsidP="002B2957">
      <w:pPr>
        <w:jc w:val="both"/>
        <w:rPr>
          <w:sz w:val="24"/>
          <w:szCs w:val="24"/>
        </w:rPr>
      </w:pPr>
    </w:p>
    <w:p w14:paraId="60A44CF6" w14:textId="77777777" w:rsidR="00CD133A" w:rsidRDefault="00CD133A" w:rsidP="002B2957">
      <w:pPr>
        <w:jc w:val="both"/>
        <w:rPr>
          <w:sz w:val="24"/>
          <w:szCs w:val="24"/>
        </w:rPr>
      </w:pPr>
    </w:p>
    <w:p w14:paraId="418BE5D8" w14:textId="77777777" w:rsidR="00CD133A" w:rsidRDefault="00CD133A" w:rsidP="002B2957">
      <w:pPr>
        <w:jc w:val="both"/>
        <w:rPr>
          <w:sz w:val="24"/>
          <w:szCs w:val="24"/>
        </w:rPr>
      </w:pPr>
    </w:p>
    <w:p w14:paraId="4AD7AC35" w14:textId="77777777" w:rsidR="00CD133A" w:rsidRPr="002B2957" w:rsidRDefault="00CD133A" w:rsidP="002B2957">
      <w:pPr>
        <w:jc w:val="both"/>
        <w:rPr>
          <w:sz w:val="24"/>
          <w:szCs w:val="24"/>
        </w:rPr>
      </w:pPr>
    </w:p>
    <w:p w14:paraId="0C326637" w14:textId="77777777" w:rsidR="005F08F3" w:rsidRPr="002B2957" w:rsidRDefault="00000000" w:rsidP="002B2957">
      <w:pPr>
        <w:pStyle w:val="Titre1"/>
        <w:jc w:val="both"/>
        <w:rPr>
          <w:sz w:val="24"/>
          <w:szCs w:val="24"/>
        </w:rPr>
      </w:pPr>
      <w:r w:rsidRPr="002B2957">
        <w:rPr>
          <w:rFonts w:ascii="Times New Roman" w:hAnsi="Times New Roman"/>
          <w:color w:val="000000"/>
          <w:sz w:val="24"/>
          <w:szCs w:val="24"/>
        </w:rPr>
        <w:lastRenderedPageBreak/>
        <w:t>8. References</w:t>
      </w:r>
    </w:p>
    <w:p w14:paraId="04881603" w14:textId="77777777" w:rsidR="005F08F3" w:rsidRPr="002B2957" w:rsidRDefault="00000000" w:rsidP="002B2957">
      <w:pPr>
        <w:jc w:val="both"/>
        <w:rPr>
          <w:sz w:val="24"/>
          <w:szCs w:val="24"/>
        </w:rPr>
      </w:pPr>
      <w:r w:rsidRPr="002B2957">
        <w:rPr>
          <w:sz w:val="24"/>
          <w:szCs w:val="24"/>
        </w:rPr>
        <w:t>Dubois, A. and Gadde, L.-E. (2002) “Systematic combining: an abductive approach to case research”, Journal of Business Research, 55(7), pp. 553–560.</w:t>
      </w:r>
    </w:p>
    <w:p w14:paraId="73C1363F" w14:textId="77777777" w:rsidR="005F08F3" w:rsidRPr="002B2957" w:rsidRDefault="00000000" w:rsidP="002B2957">
      <w:pPr>
        <w:jc w:val="both"/>
        <w:rPr>
          <w:sz w:val="24"/>
          <w:szCs w:val="24"/>
        </w:rPr>
      </w:pPr>
      <w:r w:rsidRPr="002B2957">
        <w:rPr>
          <w:sz w:val="24"/>
          <w:szCs w:val="24"/>
        </w:rPr>
        <w:t>Eisenhardt, K.M. (1989) “Building theories from case study research”, Academy of Management Review, 14(4), pp. 532–550.</w:t>
      </w:r>
    </w:p>
    <w:p w14:paraId="564B01D3" w14:textId="77777777" w:rsidR="005F08F3" w:rsidRPr="002B2957" w:rsidRDefault="00000000" w:rsidP="002B2957">
      <w:pPr>
        <w:jc w:val="both"/>
        <w:rPr>
          <w:sz w:val="24"/>
          <w:szCs w:val="24"/>
        </w:rPr>
      </w:pPr>
      <w:r w:rsidRPr="002B2957">
        <w:rPr>
          <w:sz w:val="24"/>
          <w:szCs w:val="24"/>
        </w:rPr>
        <w:t>Eisenhardt, K.M. and Graebner, M.E. (2007) “Theory building from cases: opportunities and challenges”, Academy of Management Journal, 50(1), pp. 25–32.</w:t>
      </w:r>
    </w:p>
    <w:p w14:paraId="1691EE12" w14:textId="77777777" w:rsidR="005F08F3" w:rsidRPr="002B2957" w:rsidRDefault="00000000" w:rsidP="002B2957">
      <w:pPr>
        <w:jc w:val="both"/>
        <w:rPr>
          <w:sz w:val="24"/>
          <w:szCs w:val="24"/>
        </w:rPr>
      </w:pPr>
      <w:r w:rsidRPr="002B2957">
        <w:rPr>
          <w:sz w:val="24"/>
          <w:szCs w:val="24"/>
        </w:rPr>
        <w:t>Gioia, D.A., Corley, K.G. and Hamilton, A.L. (2013) “Seeking qualitative rigor in inductive research: notes on the Gioia methodology”, Organizational Research Methods, 16(1), pp. 15–31.</w:t>
      </w:r>
    </w:p>
    <w:p w14:paraId="7766EA06" w14:textId="77777777" w:rsidR="005F08F3" w:rsidRPr="002B2957" w:rsidRDefault="00000000" w:rsidP="002B2957">
      <w:pPr>
        <w:jc w:val="both"/>
        <w:rPr>
          <w:sz w:val="24"/>
          <w:szCs w:val="24"/>
        </w:rPr>
      </w:pPr>
      <w:r w:rsidRPr="002B2957">
        <w:rPr>
          <w:sz w:val="24"/>
          <w:szCs w:val="24"/>
        </w:rPr>
        <w:t>Landis, J.R. and Koch, G.G. (1977) “The measurement of observer agreement for categorical data”, Biometrics, 33(1), pp. 159–174.</w:t>
      </w:r>
    </w:p>
    <w:sectPr w:rsidR="005F08F3" w:rsidRPr="002B295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1658996152">
    <w:abstractNumId w:val="8"/>
  </w:num>
  <w:num w:numId="2" w16cid:durableId="1001464667">
    <w:abstractNumId w:val="6"/>
  </w:num>
  <w:num w:numId="3" w16cid:durableId="350036924">
    <w:abstractNumId w:val="5"/>
  </w:num>
  <w:num w:numId="4" w16cid:durableId="1149252354">
    <w:abstractNumId w:val="4"/>
  </w:num>
  <w:num w:numId="5" w16cid:durableId="124929097">
    <w:abstractNumId w:val="7"/>
  </w:num>
  <w:num w:numId="6" w16cid:durableId="830295827">
    <w:abstractNumId w:val="3"/>
  </w:num>
  <w:num w:numId="7" w16cid:durableId="1222599078">
    <w:abstractNumId w:val="2"/>
  </w:num>
  <w:num w:numId="8" w16cid:durableId="982388634">
    <w:abstractNumId w:val="1"/>
  </w:num>
  <w:num w:numId="9" w16cid:durableId="223757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B2957"/>
    <w:rsid w:val="00326F90"/>
    <w:rsid w:val="005F08F3"/>
    <w:rsid w:val="00844D10"/>
    <w:rsid w:val="00AA1D8D"/>
    <w:rsid w:val="00B47730"/>
    <w:rsid w:val="00CB0664"/>
    <w:rsid w:val="00CD133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1745DC"/>
  <w14:defaultImageDpi w14:val="300"/>
  <w15:docId w15:val="{BCEB84ED-1F02-41AE-8B1D-D21297154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Times New Roman" w:hAnsi="Times New Roman"/>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ind w:left="360"/>
      <w:contextualSpacing/>
    </w:pPr>
  </w:style>
  <w:style w:type="paragraph" w:styleId="Listecontinue2">
    <w:name w:val="List Continue 2"/>
    <w:basedOn w:val="Normal"/>
    <w:uiPriority w:val="99"/>
    <w:unhideWhenUsed/>
    <w:rsid w:val="0029639D"/>
    <w:pPr>
      <w:ind w:left="720"/>
      <w:contextualSpacing/>
    </w:pPr>
  </w:style>
  <w:style w:type="paragraph" w:styleId="Listecontinue3">
    <w:name w:val="List Continue 3"/>
    <w:basedOn w:val="Normal"/>
    <w:uiPriority w:val="99"/>
    <w:unhideWhenUsed/>
    <w:rsid w:val="0029639D"/>
    <w:pPr>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1561</Words>
  <Characters>8588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10129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212707445572</cp:lastModifiedBy>
  <cp:revision>3</cp:revision>
  <dcterms:created xsi:type="dcterms:W3CDTF">2013-12-23T23:15:00Z</dcterms:created>
  <dcterms:modified xsi:type="dcterms:W3CDTF">2026-04-09T21:45:00Z</dcterms:modified>
  <cp:category/>
</cp:coreProperties>
</file>