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F8891" w14:textId="77777777" w:rsidR="00145B26" w:rsidRDefault="00145B26"/>
    <w:p w14:paraId="36070C1A" w14:textId="77777777" w:rsidR="00145B26" w:rsidRDefault="00145B26"/>
    <w:p w14:paraId="47680ABA" w14:textId="77777777" w:rsidR="00145B26" w:rsidRDefault="00145B26"/>
    <w:p w14:paraId="7D704DC5" w14:textId="77777777" w:rsidR="00145B26" w:rsidRDefault="00145B26"/>
    <w:p w14:paraId="5864745A" w14:textId="77777777" w:rsidR="00145B26" w:rsidRDefault="00000000">
      <w:pPr>
        <w:jc w:val="center"/>
      </w:pPr>
      <w:r>
        <w:rPr>
          <w:b/>
          <w:sz w:val="28"/>
        </w:rPr>
        <w:t>SUPPLEMENTARY FILE 4</w:t>
      </w:r>
    </w:p>
    <w:p w14:paraId="20D08F37" w14:textId="77777777" w:rsidR="00145B26" w:rsidRDefault="00000000">
      <w:pPr>
        <w:jc w:val="center"/>
      </w:pPr>
      <w:proofErr w:type="spellStart"/>
      <w:r>
        <w:rPr>
          <w:b/>
          <w:sz w:val="32"/>
        </w:rPr>
        <w:t>Anonymised</w:t>
      </w:r>
      <w:proofErr w:type="spellEnd"/>
      <w:r>
        <w:rPr>
          <w:b/>
          <w:sz w:val="32"/>
        </w:rPr>
        <w:t xml:space="preserve"> Case-Level Data Matrix</w:t>
      </w:r>
    </w:p>
    <w:p w14:paraId="7C1307BE" w14:textId="77777777" w:rsidR="00145B26" w:rsidRDefault="00145B26"/>
    <w:p w14:paraId="011D1144" w14:textId="77777777" w:rsidR="00145B26" w:rsidRPr="00033519" w:rsidRDefault="00000000">
      <w:pPr>
        <w:jc w:val="center"/>
        <w:rPr>
          <w:iCs/>
          <w:sz w:val="24"/>
          <w:szCs w:val="24"/>
        </w:rPr>
      </w:pPr>
      <w:r w:rsidRPr="00033519">
        <w:rPr>
          <w:iCs/>
          <w:sz w:val="24"/>
          <w:szCs w:val="24"/>
        </w:rPr>
        <w:t>Associated manuscript:</w:t>
      </w:r>
    </w:p>
    <w:p w14:paraId="532C2050" w14:textId="77777777" w:rsidR="00145B26" w:rsidRPr="00033519" w:rsidRDefault="00000000">
      <w:pPr>
        <w:jc w:val="center"/>
        <w:rPr>
          <w:iCs/>
        </w:rPr>
      </w:pPr>
      <w:r w:rsidRPr="00033519">
        <w:rPr>
          <w:iCs/>
          <w:sz w:val="24"/>
        </w:rPr>
        <w:t xml:space="preserve">"Strategic </w:t>
      </w:r>
      <w:proofErr w:type="spellStart"/>
      <w:r w:rsidRPr="00033519">
        <w:rPr>
          <w:iCs/>
          <w:sz w:val="24"/>
        </w:rPr>
        <w:t>marginalisation</w:t>
      </w:r>
      <w:proofErr w:type="spellEnd"/>
      <w:r w:rsidRPr="00033519">
        <w:rPr>
          <w:iCs/>
          <w:sz w:val="24"/>
        </w:rPr>
        <w:t xml:space="preserve"> of local purchasing in multinational subsidiaries:</w:t>
      </w:r>
      <w:r w:rsidRPr="00033519">
        <w:rPr>
          <w:iCs/>
          <w:sz w:val="24"/>
        </w:rPr>
        <w:br/>
        <w:t>the case of Morocco's automotive industry"</w:t>
      </w:r>
    </w:p>
    <w:p w14:paraId="5EE08942" w14:textId="77777777" w:rsidR="00145B26" w:rsidRDefault="00145B26"/>
    <w:p w14:paraId="66FE995E" w14:textId="77777777" w:rsidR="00145B26" w:rsidRPr="00033519" w:rsidRDefault="00000000">
      <w:pPr>
        <w:jc w:val="center"/>
        <w:rPr>
          <w:sz w:val="24"/>
          <w:szCs w:val="24"/>
        </w:rPr>
      </w:pPr>
      <w:r w:rsidRPr="00033519">
        <w:rPr>
          <w:sz w:val="24"/>
          <w:szCs w:val="24"/>
        </w:rPr>
        <w:t>Submitted to Humanities and Social Sciences Communications</w:t>
      </w:r>
    </w:p>
    <w:p w14:paraId="504E96AB" w14:textId="77777777" w:rsidR="00145B26" w:rsidRDefault="00000000">
      <w:r>
        <w:br w:type="page"/>
      </w:r>
    </w:p>
    <w:p w14:paraId="71F7110F" w14:textId="77777777" w:rsidR="00145B26" w:rsidRPr="00033519" w:rsidRDefault="00000000" w:rsidP="00033519">
      <w:pPr>
        <w:pStyle w:val="Titre1"/>
        <w:jc w:val="both"/>
        <w:rPr>
          <w:sz w:val="24"/>
          <w:szCs w:val="24"/>
        </w:rPr>
      </w:pPr>
      <w:r w:rsidRPr="00033519">
        <w:rPr>
          <w:rFonts w:ascii="Times New Roman" w:hAnsi="Times New Roman"/>
          <w:color w:val="000000"/>
          <w:sz w:val="24"/>
          <w:szCs w:val="24"/>
        </w:rPr>
        <w:lastRenderedPageBreak/>
        <w:t>1. Overview</w:t>
      </w:r>
    </w:p>
    <w:p w14:paraId="2E565EB7" w14:textId="77777777" w:rsidR="00145B26" w:rsidRPr="00033519" w:rsidRDefault="00000000" w:rsidP="00033519">
      <w:pPr>
        <w:jc w:val="both"/>
        <w:rPr>
          <w:sz w:val="24"/>
          <w:szCs w:val="24"/>
        </w:rPr>
      </w:pPr>
      <w:r w:rsidRPr="00033519">
        <w:rPr>
          <w:sz w:val="24"/>
          <w:szCs w:val="24"/>
        </w:rPr>
        <w:t xml:space="preserve">This supplementary file presents the </w:t>
      </w:r>
      <w:proofErr w:type="spellStart"/>
      <w:r w:rsidRPr="00033519">
        <w:rPr>
          <w:sz w:val="24"/>
          <w:szCs w:val="24"/>
        </w:rPr>
        <w:t>anonymised</w:t>
      </w:r>
      <w:proofErr w:type="spellEnd"/>
      <w:r w:rsidRPr="00033519">
        <w:rPr>
          <w:sz w:val="24"/>
          <w:szCs w:val="24"/>
        </w:rPr>
        <w:t xml:space="preserve"> case-level data matrix for the 35 multinational automotive subsidiaries included in the study. For each case, the matrix provides key descriptive characteristics (ecosystem, tier level, company size, subsidiary age, headquarters country, respondent profiles) as well as the number of interviews conducted, the salience of each analytical dimension, and a brief qualitative note </w:t>
      </w:r>
      <w:proofErr w:type="spellStart"/>
      <w:r w:rsidRPr="00033519">
        <w:rPr>
          <w:sz w:val="24"/>
          <w:szCs w:val="24"/>
        </w:rPr>
        <w:t>summarising</w:t>
      </w:r>
      <w:proofErr w:type="spellEnd"/>
      <w:r w:rsidRPr="00033519">
        <w:rPr>
          <w:sz w:val="24"/>
          <w:szCs w:val="24"/>
        </w:rPr>
        <w:t xml:space="preserve"> the most distinctive feature of each case.</w:t>
      </w:r>
    </w:p>
    <w:p w14:paraId="427C6C78" w14:textId="77777777" w:rsidR="00145B26" w:rsidRPr="00033519" w:rsidRDefault="00000000" w:rsidP="00033519">
      <w:pPr>
        <w:jc w:val="both"/>
        <w:rPr>
          <w:sz w:val="24"/>
          <w:szCs w:val="24"/>
        </w:rPr>
      </w:pPr>
      <w:r w:rsidRPr="00033519">
        <w:rPr>
          <w:sz w:val="24"/>
          <w:szCs w:val="24"/>
        </w:rPr>
        <w:t xml:space="preserve">Headquarters countries are reported in aggregated form to preserve anonymity while reflecting the international diversity of the sample. All firm names and identifying details have been removed. Firms are designated by </w:t>
      </w:r>
      <w:proofErr w:type="spellStart"/>
      <w:r w:rsidRPr="00033519">
        <w:rPr>
          <w:sz w:val="24"/>
          <w:szCs w:val="24"/>
        </w:rPr>
        <w:t>anonymised</w:t>
      </w:r>
      <w:proofErr w:type="spellEnd"/>
      <w:r w:rsidRPr="00033519">
        <w:rPr>
          <w:sz w:val="24"/>
          <w:szCs w:val="24"/>
        </w:rPr>
        <w:t xml:space="preserve"> identifiers (E01–E35).</w:t>
      </w:r>
    </w:p>
    <w:p w14:paraId="3A5A1734" w14:textId="77777777" w:rsidR="00145B26" w:rsidRPr="00033519" w:rsidRDefault="00000000">
      <w:pPr>
        <w:pStyle w:val="Titre1"/>
        <w:rPr>
          <w:sz w:val="24"/>
          <w:szCs w:val="24"/>
        </w:rPr>
      </w:pPr>
      <w:r w:rsidRPr="00033519">
        <w:rPr>
          <w:rFonts w:ascii="Times New Roman" w:hAnsi="Times New Roman"/>
          <w:color w:val="000000"/>
          <w:sz w:val="24"/>
          <w:szCs w:val="24"/>
        </w:rPr>
        <w:t>2. Sample Composition</w:t>
      </w:r>
    </w:p>
    <w:p w14:paraId="2D38F70A" w14:textId="77777777" w:rsidR="00145B26" w:rsidRPr="00033519" w:rsidRDefault="00000000">
      <w:pPr>
        <w:rPr>
          <w:sz w:val="24"/>
          <w:szCs w:val="24"/>
        </w:rPr>
      </w:pPr>
      <w:r w:rsidRPr="00033519">
        <w:rPr>
          <w:b/>
          <w:sz w:val="24"/>
          <w:szCs w:val="24"/>
        </w:rPr>
        <w:t>Table A. Distribution of headquarters nationality</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7"/>
        <w:gridCol w:w="2877"/>
        <w:gridCol w:w="2876"/>
      </w:tblGrid>
      <w:tr w:rsidR="00145B26" w14:paraId="56C29C6F"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7D6A099B" w14:textId="77777777" w:rsidR="00145B26" w:rsidRDefault="00000000" w:rsidP="00033519">
            <w:pPr>
              <w:jc w:val="center"/>
            </w:pPr>
            <w:r>
              <w:rPr>
                <w:sz w:val="18"/>
              </w:rPr>
              <w:t>Headquarters country</w:t>
            </w:r>
          </w:p>
        </w:tc>
        <w:tc>
          <w:tcPr>
            <w:tcW w:w="2880" w:type="dxa"/>
            <w:tcBorders>
              <w:top w:val="none" w:sz="0" w:space="0" w:color="auto"/>
              <w:left w:val="none" w:sz="0" w:space="0" w:color="auto"/>
              <w:bottom w:val="none" w:sz="0" w:space="0" w:color="auto"/>
              <w:right w:val="none" w:sz="0" w:space="0" w:color="auto"/>
            </w:tcBorders>
          </w:tcPr>
          <w:p w14:paraId="67FF6A61"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Companies</w:t>
            </w:r>
          </w:p>
        </w:tc>
        <w:tc>
          <w:tcPr>
            <w:tcW w:w="2880" w:type="dxa"/>
            <w:tcBorders>
              <w:top w:val="none" w:sz="0" w:space="0" w:color="auto"/>
              <w:left w:val="none" w:sz="0" w:space="0" w:color="auto"/>
              <w:bottom w:val="none" w:sz="0" w:space="0" w:color="auto"/>
              <w:right w:val="none" w:sz="0" w:space="0" w:color="auto"/>
            </w:tcBorders>
          </w:tcPr>
          <w:p w14:paraId="4CA0FACE"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w:t>
            </w:r>
          </w:p>
        </w:tc>
      </w:tr>
      <w:tr w:rsidR="00145B26" w14:paraId="41FA9A62"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02F821E0" w14:textId="77777777" w:rsidR="00145B26" w:rsidRDefault="00000000" w:rsidP="00033519">
            <w:pPr>
              <w:jc w:val="center"/>
            </w:pPr>
            <w:r>
              <w:rPr>
                <w:sz w:val="18"/>
              </w:rPr>
              <w:t>France</w:t>
            </w:r>
          </w:p>
        </w:tc>
        <w:tc>
          <w:tcPr>
            <w:tcW w:w="2880" w:type="dxa"/>
            <w:tcBorders>
              <w:top w:val="none" w:sz="0" w:space="0" w:color="auto"/>
              <w:left w:val="none" w:sz="0" w:space="0" w:color="auto"/>
              <w:bottom w:val="none" w:sz="0" w:space="0" w:color="auto"/>
              <w:right w:val="none" w:sz="0" w:space="0" w:color="auto"/>
            </w:tcBorders>
            <w:shd w:val="clear" w:color="auto" w:fill="auto"/>
          </w:tcPr>
          <w:p w14:paraId="04382FCC"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11</w:t>
            </w:r>
          </w:p>
        </w:tc>
        <w:tc>
          <w:tcPr>
            <w:tcW w:w="2880" w:type="dxa"/>
            <w:tcBorders>
              <w:top w:val="none" w:sz="0" w:space="0" w:color="auto"/>
              <w:left w:val="none" w:sz="0" w:space="0" w:color="auto"/>
              <w:bottom w:val="none" w:sz="0" w:space="0" w:color="auto"/>
              <w:right w:val="none" w:sz="0" w:space="0" w:color="auto"/>
            </w:tcBorders>
            <w:shd w:val="clear" w:color="auto" w:fill="auto"/>
          </w:tcPr>
          <w:p w14:paraId="7A8E5909"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31%</w:t>
            </w:r>
          </w:p>
        </w:tc>
      </w:tr>
      <w:tr w:rsidR="00145B26" w14:paraId="7EA98ECB"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4601705A" w14:textId="77777777" w:rsidR="00145B26" w:rsidRDefault="00000000" w:rsidP="00033519">
            <w:pPr>
              <w:jc w:val="center"/>
            </w:pPr>
            <w:r>
              <w:rPr>
                <w:sz w:val="18"/>
              </w:rPr>
              <w:t>Germany</w:t>
            </w:r>
          </w:p>
        </w:tc>
        <w:tc>
          <w:tcPr>
            <w:tcW w:w="2880" w:type="dxa"/>
            <w:tcBorders>
              <w:top w:val="none" w:sz="0" w:space="0" w:color="auto"/>
              <w:left w:val="none" w:sz="0" w:space="0" w:color="auto"/>
              <w:bottom w:val="none" w:sz="0" w:space="0" w:color="auto"/>
              <w:right w:val="none" w:sz="0" w:space="0" w:color="auto"/>
            </w:tcBorders>
          </w:tcPr>
          <w:p w14:paraId="404002DD"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7</w:t>
            </w:r>
          </w:p>
        </w:tc>
        <w:tc>
          <w:tcPr>
            <w:tcW w:w="2880" w:type="dxa"/>
            <w:tcBorders>
              <w:top w:val="none" w:sz="0" w:space="0" w:color="auto"/>
              <w:left w:val="none" w:sz="0" w:space="0" w:color="auto"/>
              <w:bottom w:val="none" w:sz="0" w:space="0" w:color="auto"/>
              <w:right w:val="none" w:sz="0" w:space="0" w:color="auto"/>
            </w:tcBorders>
          </w:tcPr>
          <w:p w14:paraId="72BAADC7"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20%</w:t>
            </w:r>
          </w:p>
        </w:tc>
      </w:tr>
      <w:tr w:rsidR="00145B26" w14:paraId="67DD9DF2"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49D80A57" w14:textId="77777777" w:rsidR="00145B26" w:rsidRDefault="00000000" w:rsidP="00033519">
            <w:pPr>
              <w:jc w:val="center"/>
            </w:pPr>
            <w:r>
              <w:rPr>
                <w:sz w:val="18"/>
              </w:rPr>
              <w:t>Japan</w:t>
            </w:r>
          </w:p>
        </w:tc>
        <w:tc>
          <w:tcPr>
            <w:tcW w:w="2880" w:type="dxa"/>
            <w:tcBorders>
              <w:top w:val="none" w:sz="0" w:space="0" w:color="auto"/>
              <w:left w:val="none" w:sz="0" w:space="0" w:color="auto"/>
              <w:bottom w:val="none" w:sz="0" w:space="0" w:color="auto"/>
              <w:right w:val="none" w:sz="0" w:space="0" w:color="auto"/>
            </w:tcBorders>
            <w:shd w:val="clear" w:color="auto" w:fill="auto"/>
          </w:tcPr>
          <w:p w14:paraId="00118A8B"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5</w:t>
            </w:r>
          </w:p>
        </w:tc>
        <w:tc>
          <w:tcPr>
            <w:tcW w:w="2880" w:type="dxa"/>
            <w:tcBorders>
              <w:top w:val="none" w:sz="0" w:space="0" w:color="auto"/>
              <w:left w:val="none" w:sz="0" w:space="0" w:color="auto"/>
              <w:bottom w:val="none" w:sz="0" w:space="0" w:color="auto"/>
              <w:right w:val="none" w:sz="0" w:space="0" w:color="auto"/>
            </w:tcBorders>
            <w:shd w:val="clear" w:color="auto" w:fill="auto"/>
          </w:tcPr>
          <w:p w14:paraId="3BFCAF4B"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14%</w:t>
            </w:r>
          </w:p>
        </w:tc>
      </w:tr>
      <w:tr w:rsidR="00145B26" w14:paraId="1FF3BFCA"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3C014241" w14:textId="77777777" w:rsidR="00145B26" w:rsidRDefault="00000000" w:rsidP="00033519">
            <w:pPr>
              <w:jc w:val="center"/>
            </w:pPr>
            <w:r>
              <w:rPr>
                <w:sz w:val="18"/>
              </w:rPr>
              <w:t>United States</w:t>
            </w:r>
          </w:p>
        </w:tc>
        <w:tc>
          <w:tcPr>
            <w:tcW w:w="2880" w:type="dxa"/>
            <w:tcBorders>
              <w:top w:val="none" w:sz="0" w:space="0" w:color="auto"/>
              <w:left w:val="none" w:sz="0" w:space="0" w:color="auto"/>
              <w:bottom w:val="none" w:sz="0" w:space="0" w:color="auto"/>
              <w:right w:val="none" w:sz="0" w:space="0" w:color="auto"/>
            </w:tcBorders>
          </w:tcPr>
          <w:p w14:paraId="17577C53"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5</w:t>
            </w:r>
          </w:p>
        </w:tc>
        <w:tc>
          <w:tcPr>
            <w:tcW w:w="2880" w:type="dxa"/>
            <w:tcBorders>
              <w:top w:val="none" w:sz="0" w:space="0" w:color="auto"/>
              <w:left w:val="none" w:sz="0" w:space="0" w:color="auto"/>
              <w:bottom w:val="none" w:sz="0" w:space="0" w:color="auto"/>
              <w:right w:val="none" w:sz="0" w:space="0" w:color="auto"/>
            </w:tcBorders>
          </w:tcPr>
          <w:p w14:paraId="12494549"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14%</w:t>
            </w:r>
          </w:p>
        </w:tc>
      </w:tr>
      <w:tr w:rsidR="00145B26" w14:paraId="05F6D105"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651159AF" w14:textId="77777777" w:rsidR="00145B26" w:rsidRDefault="00000000" w:rsidP="00033519">
            <w:pPr>
              <w:jc w:val="center"/>
            </w:pPr>
            <w:r>
              <w:rPr>
                <w:sz w:val="18"/>
              </w:rPr>
              <w:t>Italy</w:t>
            </w:r>
          </w:p>
        </w:tc>
        <w:tc>
          <w:tcPr>
            <w:tcW w:w="2880" w:type="dxa"/>
            <w:tcBorders>
              <w:top w:val="none" w:sz="0" w:space="0" w:color="auto"/>
              <w:left w:val="none" w:sz="0" w:space="0" w:color="auto"/>
              <w:bottom w:val="none" w:sz="0" w:space="0" w:color="auto"/>
              <w:right w:val="none" w:sz="0" w:space="0" w:color="auto"/>
            </w:tcBorders>
            <w:shd w:val="clear" w:color="auto" w:fill="auto"/>
          </w:tcPr>
          <w:p w14:paraId="65AA7C58"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w:t>
            </w:r>
          </w:p>
        </w:tc>
        <w:tc>
          <w:tcPr>
            <w:tcW w:w="2880" w:type="dxa"/>
            <w:tcBorders>
              <w:top w:val="none" w:sz="0" w:space="0" w:color="auto"/>
              <w:left w:val="none" w:sz="0" w:space="0" w:color="auto"/>
              <w:bottom w:val="none" w:sz="0" w:space="0" w:color="auto"/>
              <w:right w:val="none" w:sz="0" w:space="0" w:color="auto"/>
            </w:tcBorders>
            <w:shd w:val="clear" w:color="auto" w:fill="auto"/>
          </w:tcPr>
          <w:p w14:paraId="587119C7"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6%</w:t>
            </w:r>
          </w:p>
        </w:tc>
      </w:tr>
      <w:tr w:rsidR="00145B26" w14:paraId="28EF03AF"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68BD6B9B" w14:textId="77777777" w:rsidR="00145B26" w:rsidRDefault="00000000" w:rsidP="00033519">
            <w:pPr>
              <w:jc w:val="center"/>
            </w:pPr>
            <w:r>
              <w:rPr>
                <w:sz w:val="18"/>
              </w:rPr>
              <w:t>Spain</w:t>
            </w:r>
          </w:p>
        </w:tc>
        <w:tc>
          <w:tcPr>
            <w:tcW w:w="2880" w:type="dxa"/>
            <w:tcBorders>
              <w:top w:val="none" w:sz="0" w:space="0" w:color="auto"/>
              <w:left w:val="none" w:sz="0" w:space="0" w:color="auto"/>
              <w:bottom w:val="none" w:sz="0" w:space="0" w:color="auto"/>
              <w:right w:val="none" w:sz="0" w:space="0" w:color="auto"/>
            </w:tcBorders>
          </w:tcPr>
          <w:p w14:paraId="45D5FB64"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w:t>
            </w:r>
          </w:p>
        </w:tc>
        <w:tc>
          <w:tcPr>
            <w:tcW w:w="2880" w:type="dxa"/>
            <w:tcBorders>
              <w:top w:val="none" w:sz="0" w:space="0" w:color="auto"/>
              <w:left w:val="none" w:sz="0" w:space="0" w:color="auto"/>
              <w:bottom w:val="none" w:sz="0" w:space="0" w:color="auto"/>
              <w:right w:val="none" w:sz="0" w:space="0" w:color="auto"/>
            </w:tcBorders>
          </w:tcPr>
          <w:p w14:paraId="3D19FC40"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6%</w:t>
            </w:r>
          </w:p>
        </w:tc>
      </w:tr>
      <w:tr w:rsidR="00145B26" w14:paraId="50F217D1"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746D21A5" w14:textId="77777777" w:rsidR="00145B26" w:rsidRDefault="00000000" w:rsidP="00033519">
            <w:pPr>
              <w:jc w:val="center"/>
            </w:pPr>
            <w:r>
              <w:rPr>
                <w:sz w:val="18"/>
              </w:rPr>
              <w:t>China</w:t>
            </w:r>
          </w:p>
        </w:tc>
        <w:tc>
          <w:tcPr>
            <w:tcW w:w="2880" w:type="dxa"/>
            <w:tcBorders>
              <w:top w:val="none" w:sz="0" w:space="0" w:color="auto"/>
              <w:left w:val="none" w:sz="0" w:space="0" w:color="auto"/>
              <w:bottom w:val="none" w:sz="0" w:space="0" w:color="auto"/>
              <w:right w:val="none" w:sz="0" w:space="0" w:color="auto"/>
            </w:tcBorders>
            <w:shd w:val="clear" w:color="auto" w:fill="auto"/>
          </w:tcPr>
          <w:p w14:paraId="19B0A550"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w:t>
            </w:r>
          </w:p>
        </w:tc>
        <w:tc>
          <w:tcPr>
            <w:tcW w:w="2880" w:type="dxa"/>
            <w:tcBorders>
              <w:top w:val="none" w:sz="0" w:space="0" w:color="auto"/>
              <w:left w:val="none" w:sz="0" w:space="0" w:color="auto"/>
              <w:bottom w:val="none" w:sz="0" w:space="0" w:color="auto"/>
              <w:right w:val="none" w:sz="0" w:space="0" w:color="auto"/>
            </w:tcBorders>
            <w:shd w:val="clear" w:color="auto" w:fill="auto"/>
          </w:tcPr>
          <w:p w14:paraId="28C2B6F8"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6%</w:t>
            </w:r>
          </w:p>
        </w:tc>
      </w:tr>
      <w:tr w:rsidR="00145B26" w14:paraId="403D58D2"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728890F4" w14:textId="77777777" w:rsidR="00145B26" w:rsidRDefault="00000000" w:rsidP="00033519">
            <w:pPr>
              <w:jc w:val="center"/>
            </w:pPr>
            <w:r>
              <w:rPr>
                <w:sz w:val="18"/>
              </w:rPr>
              <w:t>Turkey</w:t>
            </w:r>
          </w:p>
        </w:tc>
        <w:tc>
          <w:tcPr>
            <w:tcW w:w="2880" w:type="dxa"/>
            <w:tcBorders>
              <w:top w:val="none" w:sz="0" w:space="0" w:color="auto"/>
              <w:left w:val="none" w:sz="0" w:space="0" w:color="auto"/>
              <w:bottom w:val="none" w:sz="0" w:space="0" w:color="auto"/>
              <w:right w:val="none" w:sz="0" w:space="0" w:color="auto"/>
            </w:tcBorders>
          </w:tcPr>
          <w:p w14:paraId="7C2DCD49"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w:t>
            </w:r>
          </w:p>
        </w:tc>
        <w:tc>
          <w:tcPr>
            <w:tcW w:w="2880" w:type="dxa"/>
            <w:tcBorders>
              <w:top w:val="none" w:sz="0" w:space="0" w:color="auto"/>
              <w:left w:val="none" w:sz="0" w:space="0" w:color="auto"/>
              <w:bottom w:val="none" w:sz="0" w:space="0" w:color="auto"/>
              <w:right w:val="none" w:sz="0" w:space="0" w:color="auto"/>
            </w:tcBorders>
          </w:tcPr>
          <w:p w14:paraId="0429520C"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3%</w:t>
            </w:r>
          </w:p>
        </w:tc>
      </w:tr>
      <w:tr w:rsidR="00145B26" w14:paraId="1E7AF236"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0C854E8D" w14:textId="77777777" w:rsidR="00145B26" w:rsidRDefault="00000000" w:rsidP="00033519">
            <w:pPr>
              <w:jc w:val="center"/>
            </w:pPr>
            <w:r>
              <w:rPr>
                <w:sz w:val="18"/>
              </w:rPr>
              <w:t>Total</w:t>
            </w:r>
          </w:p>
        </w:tc>
        <w:tc>
          <w:tcPr>
            <w:tcW w:w="2880" w:type="dxa"/>
            <w:tcBorders>
              <w:top w:val="none" w:sz="0" w:space="0" w:color="auto"/>
              <w:left w:val="none" w:sz="0" w:space="0" w:color="auto"/>
              <w:bottom w:val="none" w:sz="0" w:space="0" w:color="auto"/>
              <w:right w:val="none" w:sz="0" w:space="0" w:color="auto"/>
            </w:tcBorders>
            <w:shd w:val="clear" w:color="auto" w:fill="auto"/>
          </w:tcPr>
          <w:p w14:paraId="71233E07"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b/>
                <w:sz w:val="18"/>
              </w:rPr>
              <w:t>35</w:t>
            </w:r>
          </w:p>
        </w:tc>
        <w:tc>
          <w:tcPr>
            <w:tcW w:w="2880" w:type="dxa"/>
            <w:tcBorders>
              <w:top w:val="none" w:sz="0" w:space="0" w:color="auto"/>
              <w:left w:val="none" w:sz="0" w:space="0" w:color="auto"/>
              <w:bottom w:val="none" w:sz="0" w:space="0" w:color="auto"/>
              <w:right w:val="none" w:sz="0" w:space="0" w:color="auto"/>
            </w:tcBorders>
            <w:shd w:val="clear" w:color="auto" w:fill="auto"/>
          </w:tcPr>
          <w:p w14:paraId="700F8555"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b/>
                <w:sz w:val="18"/>
              </w:rPr>
              <w:t>100%</w:t>
            </w:r>
          </w:p>
        </w:tc>
      </w:tr>
    </w:tbl>
    <w:p w14:paraId="6DAABD7C" w14:textId="77777777" w:rsidR="00145B26" w:rsidRDefault="00145B26"/>
    <w:p w14:paraId="4A341CE8" w14:textId="77777777" w:rsidR="00145B26" w:rsidRPr="00033519" w:rsidRDefault="00000000" w:rsidP="00033519">
      <w:pPr>
        <w:jc w:val="both"/>
        <w:rPr>
          <w:sz w:val="24"/>
          <w:szCs w:val="24"/>
        </w:rPr>
      </w:pPr>
      <w:r w:rsidRPr="00033519">
        <w:rPr>
          <w:sz w:val="24"/>
          <w:szCs w:val="24"/>
        </w:rPr>
        <w:t>The sample reflects the actual structure of Morocco’s automotive supplier base, which is predominantly composed of European subsidiaries (particularly French and German groups), with a significant presence of Japanese and American firms, and a growing but still limited share of Chinese and Turkish investments.</w:t>
      </w:r>
    </w:p>
    <w:p w14:paraId="4C45C89F" w14:textId="77777777" w:rsidR="00145B26" w:rsidRPr="00033519" w:rsidRDefault="00000000" w:rsidP="00033519">
      <w:pPr>
        <w:pStyle w:val="Titre1"/>
        <w:jc w:val="both"/>
        <w:rPr>
          <w:sz w:val="24"/>
          <w:szCs w:val="24"/>
        </w:rPr>
      </w:pPr>
      <w:r w:rsidRPr="00033519">
        <w:rPr>
          <w:rFonts w:ascii="Times New Roman" w:hAnsi="Times New Roman"/>
          <w:color w:val="000000"/>
          <w:sz w:val="24"/>
          <w:szCs w:val="24"/>
        </w:rPr>
        <w:t>3. Case-Level Data Matrix</w:t>
      </w:r>
    </w:p>
    <w:p w14:paraId="2C2E5B86" w14:textId="77777777" w:rsidR="00145B26" w:rsidRPr="00033519" w:rsidRDefault="00000000" w:rsidP="00033519">
      <w:pPr>
        <w:jc w:val="both"/>
        <w:rPr>
          <w:sz w:val="24"/>
          <w:szCs w:val="24"/>
        </w:rPr>
      </w:pPr>
      <w:r w:rsidRPr="00033519">
        <w:rPr>
          <w:sz w:val="24"/>
          <w:szCs w:val="24"/>
        </w:rPr>
        <w:t>The following matrix presents the complete case-level data. The four analytical dimensions are:</w:t>
      </w:r>
    </w:p>
    <w:p w14:paraId="0979DC67" w14:textId="77777777" w:rsidR="00145B26" w:rsidRPr="00033519" w:rsidRDefault="00000000" w:rsidP="00033519">
      <w:pPr>
        <w:pStyle w:val="Listepuces"/>
        <w:jc w:val="both"/>
        <w:rPr>
          <w:sz w:val="24"/>
          <w:szCs w:val="24"/>
        </w:rPr>
      </w:pPr>
      <w:r w:rsidRPr="00033519">
        <w:rPr>
          <w:sz w:val="24"/>
          <w:szCs w:val="24"/>
        </w:rPr>
        <w:t>D1: Decision-right asymmetries and non-autonomous local execution</w:t>
      </w:r>
    </w:p>
    <w:p w14:paraId="23092227" w14:textId="77777777" w:rsidR="00145B26" w:rsidRPr="00033519" w:rsidRDefault="00000000" w:rsidP="00033519">
      <w:pPr>
        <w:pStyle w:val="Listepuces"/>
        <w:jc w:val="both"/>
        <w:rPr>
          <w:sz w:val="24"/>
          <w:szCs w:val="24"/>
        </w:rPr>
      </w:pPr>
      <w:r w:rsidRPr="00033519">
        <w:rPr>
          <w:sz w:val="24"/>
          <w:szCs w:val="24"/>
        </w:rPr>
        <w:t xml:space="preserve">D2: Categorical </w:t>
      </w:r>
      <w:proofErr w:type="spellStart"/>
      <w:r w:rsidRPr="00033519">
        <w:rPr>
          <w:sz w:val="24"/>
          <w:szCs w:val="24"/>
        </w:rPr>
        <w:t>delegitimation</w:t>
      </w:r>
      <w:proofErr w:type="spellEnd"/>
      <w:r w:rsidRPr="00033519">
        <w:rPr>
          <w:sz w:val="24"/>
          <w:szCs w:val="24"/>
        </w:rPr>
        <w:t xml:space="preserve"> and identity tension</w:t>
      </w:r>
    </w:p>
    <w:p w14:paraId="306FF7A1" w14:textId="77777777" w:rsidR="00145B26" w:rsidRPr="00033519" w:rsidRDefault="00000000" w:rsidP="00033519">
      <w:pPr>
        <w:pStyle w:val="Listepuces"/>
        <w:jc w:val="both"/>
        <w:rPr>
          <w:sz w:val="24"/>
          <w:szCs w:val="24"/>
        </w:rPr>
      </w:pPr>
      <w:r w:rsidRPr="00033519">
        <w:rPr>
          <w:sz w:val="24"/>
          <w:szCs w:val="24"/>
        </w:rPr>
        <w:t>D3: Metric invisibility and the non-recognition of local value</w:t>
      </w:r>
    </w:p>
    <w:p w14:paraId="527B9D93" w14:textId="77777777" w:rsidR="00145B26" w:rsidRDefault="00000000" w:rsidP="00033519">
      <w:pPr>
        <w:pStyle w:val="Listepuces"/>
        <w:jc w:val="both"/>
        <w:rPr>
          <w:sz w:val="24"/>
          <w:szCs w:val="24"/>
        </w:rPr>
      </w:pPr>
      <w:r w:rsidRPr="00033519">
        <w:rPr>
          <w:sz w:val="24"/>
          <w:szCs w:val="24"/>
        </w:rPr>
        <w:t xml:space="preserve">D4: </w:t>
      </w:r>
      <w:proofErr w:type="spellStart"/>
      <w:r w:rsidRPr="00033519">
        <w:rPr>
          <w:sz w:val="24"/>
          <w:szCs w:val="24"/>
        </w:rPr>
        <w:t>Organisational</w:t>
      </w:r>
      <w:proofErr w:type="spellEnd"/>
      <w:r w:rsidRPr="00033519">
        <w:rPr>
          <w:sz w:val="24"/>
          <w:szCs w:val="24"/>
        </w:rPr>
        <w:t xml:space="preserve"> reproduction and the </w:t>
      </w:r>
      <w:proofErr w:type="spellStart"/>
      <w:r w:rsidRPr="00033519">
        <w:rPr>
          <w:sz w:val="24"/>
          <w:szCs w:val="24"/>
        </w:rPr>
        <w:t>stabilisation</w:t>
      </w:r>
      <w:proofErr w:type="spellEnd"/>
      <w:r w:rsidRPr="00033519">
        <w:rPr>
          <w:sz w:val="24"/>
          <w:szCs w:val="24"/>
        </w:rPr>
        <w:t xml:space="preserve"> of subordinate roles</w:t>
      </w:r>
    </w:p>
    <w:p w14:paraId="12FFC250" w14:textId="77777777" w:rsidR="00033519" w:rsidRPr="00033519" w:rsidRDefault="00033519" w:rsidP="00033519">
      <w:pPr>
        <w:pStyle w:val="Listepuces"/>
        <w:numPr>
          <w:ilvl w:val="0"/>
          <w:numId w:val="0"/>
        </w:numPr>
        <w:ind w:left="360"/>
        <w:jc w:val="both"/>
        <w:rPr>
          <w:sz w:val="24"/>
          <w:szCs w:val="24"/>
        </w:rPr>
      </w:pPr>
    </w:p>
    <w:p w14:paraId="6B58F22E" w14:textId="77777777" w:rsidR="00145B26" w:rsidRPr="00033519" w:rsidRDefault="00000000" w:rsidP="00033519">
      <w:pPr>
        <w:jc w:val="both"/>
        <w:rPr>
          <w:sz w:val="24"/>
          <w:szCs w:val="24"/>
        </w:rPr>
      </w:pPr>
      <w:r w:rsidRPr="00033519">
        <w:rPr>
          <w:sz w:val="24"/>
          <w:szCs w:val="24"/>
        </w:rPr>
        <w:lastRenderedPageBreak/>
        <w:t xml:space="preserve">Salience is indicated as: </w:t>
      </w:r>
      <w:r w:rsidRPr="00033519">
        <w:rPr>
          <w:b/>
          <w:sz w:val="24"/>
          <w:szCs w:val="24"/>
        </w:rPr>
        <w:t>●</w:t>
      </w:r>
      <w:r w:rsidRPr="00033519">
        <w:rPr>
          <w:sz w:val="24"/>
          <w:szCs w:val="24"/>
        </w:rPr>
        <w:t xml:space="preserve"> High — </w:t>
      </w:r>
      <w:r w:rsidRPr="00033519">
        <w:rPr>
          <w:b/>
          <w:sz w:val="24"/>
          <w:szCs w:val="24"/>
        </w:rPr>
        <w:t>◐</w:t>
      </w:r>
      <w:r w:rsidRPr="00033519">
        <w:rPr>
          <w:sz w:val="24"/>
          <w:szCs w:val="24"/>
        </w:rPr>
        <w:t xml:space="preserve"> Moderate — </w:t>
      </w:r>
      <w:r w:rsidRPr="00033519">
        <w:rPr>
          <w:b/>
          <w:sz w:val="24"/>
          <w:szCs w:val="24"/>
        </w:rPr>
        <w:t>○</w:t>
      </w:r>
      <w:r w:rsidRPr="00033519">
        <w:rPr>
          <w:sz w:val="24"/>
          <w:szCs w:val="24"/>
        </w:rPr>
        <w:t xml:space="preserve"> Low/Absent</w:t>
      </w:r>
    </w:p>
    <w:p w14:paraId="4E4FD07C" w14:textId="77777777" w:rsidR="00145B26" w:rsidRPr="00033519" w:rsidRDefault="00000000" w:rsidP="00033519">
      <w:pPr>
        <w:jc w:val="both"/>
        <w:rPr>
          <w:sz w:val="24"/>
          <w:szCs w:val="24"/>
        </w:rPr>
      </w:pPr>
      <w:r w:rsidRPr="00033519">
        <w:rPr>
          <w:sz w:val="24"/>
          <w:szCs w:val="24"/>
        </w:rPr>
        <w:t>Respondent profiles: PM = Purchasing Manager; SB = Senior Buyer; PB = Project Buyer; IB = Indirect Buyer; DB = Direct Buyer.</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830"/>
        <w:gridCol w:w="522"/>
        <w:gridCol w:w="675"/>
        <w:gridCol w:w="639"/>
        <w:gridCol w:w="757"/>
        <w:gridCol w:w="310"/>
        <w:gridCol w:w="699"/>
        <w:gridCol w:w="375"/>
        <w:gridCol w:w="375"/>
        <w:gridCol w:w="375"/>
        <w:gridCol w:w="375"/>
        <w:gridCol w:w="2182"/>
      </w:tblGrid>
      <w:tr w:rsidR="00145B26" w14:paraId="33A726A8"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3C9D744E" w14:textId="77777777" w:rsidR="00145B26" w:rsidRDefault="00000000">
            <w:r>
              <w:rPr>
                <w:sz w:val="13"/>
              </w:rPr>
              <w:t>Firm</w:t>
            </w:r>
          </w:p>
        </w:tc>
        <w:tc>
          <w:tcPr>
            <w:tcW w:w="830" w:type="dxa"/>
            <w:tcBorders>
              <w:top w:val="none" w:sz="0" w:space="0" w:color="auto"/>
              <w:left w:val="none" w:sz="0" w:space="0" w:color="auto"/>
              <w:bottom w:val="none" w:sz="0" w:space="0" w:color="auto"/>
              <w:right w:val="none" w:sz="0" w:space="0" w:color="auto"/>
            </w:tcBorders>
          </w:tcPr>
          <w:p w14:paraId="7F83AA6D"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Ecosystem</w:t>
            </w:r>
          </w:p>
        </w:tc>
        <w:tc>
          <w:tcPr>
            <w:tcW w:w="522" w:type="dxa"/>
            <w:tcBorders>
              <w:top w:val="none" w:sz="0" w:space="0" w:color="auto"/>
              <w:left w:val="none" w:sz="0" w:space="0" w:color="auto"/>
              <w:bottom w:val="none" w:sz="0" w:space="0" w:color="auto"/>
              <w:right w:val="none" w:sz="0" w:space="0" w:color="auto"/>
            </w:tcBorders>
          </w:tcPr>
          <w:p w14:paraId="792E0C7C"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Tier</w:t>
            </w:r>
          </w:p>
        </w:tc>
        <w:tc>
          <w:tcPr>
            <w:tcW w:w="675" w:type="dxa"/>
            <w:tcBorders>
              <w:top w:val="none" w:sz="0" w:space="0" w:color="auto"/>
              <w:left w:val="none" w:sz="0" w:space="0" w:color="auto"/>
              <w:bottom w:val="none" w:sz="0" w:space="0" w:color="auto"/>
              <w:right w:val="none" w:sz="0" w:space="0" w:color="auto"/>
            </w:tcBorders>
          </w:tcPr>
          <w:p w14:paraId="76A1D8AB"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Size</w:t>
            </w:r>
          </w:p>
        </w:tc>
        <w:tc>
          <w:tcPr>
            <w:tcW w:w="639" w:type="dxa"/>
            <w:tcBorders>
              <w:top w:val="none" w:sz="0" w:space="0" w:color="auto"/>
              <w:left w:val="none" w:sz="0" w:space="0" w:color="auto"/>
              <w:bottom w:val="none" w:sz="0" w:space="0" w:color="auto"/>
              <w:right w:val="none" w:sz="0" w:space="0" w:color="auto"/>
            </w:tcBorders>
          </w:tcPr>
          <w:p w14:paraId="3A02206B"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Age</w:t>
            </w:r>
          </w:p>
        </w:tc>
        <w:tc>
          <w:tcPr>
            <w:tcW w:w="757" w:type="dxa"/>
            <w:tcBorders>
              <w:top w:val="none" w:sz="0" w:space="0" w:color="auto"/>
              <w:left w:val="none" w:sz="0" w:space="0" w:color="auto"/>
              <w:bottom w:val="none" w:sz="0" w:space="0" w:color="auto"/>
              <w:right w:val="none" w:sz="0" w:space="0" w:color="auto"/>
            </w:tcBorders>
          </w:tcPr>
          <w:p w14:paraId="7EA26BEE"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HQ</w:t>
            </w:r>
          </w:p>
        </w:tc>
        <w:tc>
          <w:tcPr>
            <w:tcW w:w="310" w:type="dxa"/>
            <w:tcBorders>
              <w:top w:val="none" w:sz="0" w:space="0" w:color="auto"/>
              <w:left w:val="none" w:sz="0" w:space="0" w:color="auto"/>
              <w:bottom w:val="none" w:sz="0" w:space="0" w:color="auto"/>
              <w:right w:val="none" w:sz="0" w:space="0" w:color="auto"/>
            </w:tcBorders>
          </w:tcPr>
          <w:p w14:paraId="3813791B"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N</w:t>
            </w:r>
          </w:p>
        </w:tc>
        <w:tc>
          <w:tcPr>
            <w:tcW w:w="699" w:type="dxa"/>
            <w:tcBorders>
              <w:top w:val="none" w:sz="0" w:space="0" w:color="auto"/>
              <w:left w:val="none" w:sz="0" w:space="0" w:color="auto"/>
              <w:bottom w:val="none" w:sz="0" w:space="0" w:color="auto"/>
              <w:right w:val="none" w:sz="0" w:space="0" w:color="auto"/>
            </w:tcBorders>
          </w:tcPr>
          <w:p w14:paraId="5E19CD29"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Profiles</w:t>
            </w:r>
          </w:p>
        </w:tc>
        <w:tc>
          <w:tcPr>
            <w:tcW w:w="375" w:type="dxa"/>
            <w:tcBorders>
              <w:top w:val="none" w:sz="0" w:space="0" w:color="auto"/>
              <w:left w:val="none" w:sz="0" w:space="0" w:color="auto"/>
              <w:bottom w:val="none" w:sz="0" w:space="0" w:color="auto"/>
              <w:right w:val="none" w:sz="0" w:space="0" w:color="auto"/>
            </w:tcBorders>
          </w:tcPr>
          <w:p w14:paraId="1EE07B42"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D1</w:t>
            </w:r>
          </w:p>
        </w:tc>
        <w:tc>
          <w:tcPr>
            <w:tcW w:w="375" w:type="dxa"/>
            <w:tcBorders>
              <w:top w:val="none" w:sz="0" w:space="0" w:color="auto"/>
              <w:left w:val="none" w:sz="0" w:space="0" w:color="auto"/>
              <w:bottom w:val="none" w:sz="0" w:space="0" w:color="auto"/>
              <w:right w:val="none" w:sz="0" w:space="0" w:color="auto"/>
            </w:tcBorders>
          </w:tcPr>
          <w:p w14:paraId="24E552E4"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D2</w:t>
            </w:r>
          </w:p>
        </w:tc>
        <w:tc>
          <w:tcPr>
            <w:tcW w:w="375" w:type="dxa"/>
            <w:tcBorders>
              <w:top w:val="none" w:sz="0" w:space="0" w:color="auto"/>
              <w:left w:val="none" w:sz="0" w:space="0" w:color="auto"/>
              <w:bottom w:val="none" w:sz="0" w:space="0" w:color="auto"/>
              <w:right w:val="none" w:sz="0" w:space="0" w:color="auto"/>
            </w:tcBorders>
          </w:tcPr>
          <w:p w14:paraId="0CA9CC59"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D3</w:t>
            </w:r>
          </w:p>
        </w:tc>
        <w:tc>
          <w:tcPr>
            <w:tcW w:w="375" w:type="dxa"/>
            <w:tcBorders>
              <w:top w:val="none" w:sz="0" w:space="0" w:color="auto"/>
              <w:left w:val="none" w:sz="0" w:space="0" w:color="auto"/>
              <w:bottom w:val="none" w:sz="0" w:space="0" w:color="auto"/>
              <w:right w:val="none" w:sz="0" w:space="0" w:color="auto"/>
            </w:tcBorders>
          </w:tcPr>
          <w:p w14:paraId="69112BCD"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D4</w:t>
            </w:r>
          </w:p>
        </w:tc>
        <w:tc>
          <w:tcPr>
            <w:tcW w:w="2182" w:type="dxa"/>
            <w:tcBorders>
              <w:top w:val="none" w:sz="0" w:space="0" w:color="auto"/>
              <w:left w:val="none" w:sz="0" w:space="0" w:color="auto"/>
              <w:bottom w:val="none" w:sz="0" w:space="0" w:color="auto"/>
              <w:right w:val="none" w:sz="0" w:space="0" w:color="auto"/>
            </w:tcBorders>
          </w:tcPr>
          <w:p w14:paraId="52CA3D86" w14:textId="77777777" w:rsidR="00145B26" w:rsidRDefault="00000000">
            <w:pPr>
              <w:cnfStyle w:val="100000000000" w:firstRow="1" w:lastRow="0" w:firstColumn="0" w:lastColumn="0" w:oddVBand="0" w:evenVBand="0" w:oddHBand="0" w:evenHBand="0" w:firstRowFirstColumn="0" w:firstRowLastColumn="0" w:lastRowFirstColumn="0" w:lastRowLastColumn="0"/>
            </w:pPr>
            <w:r>
              <w:rPr>
                <w:sz w:val="13"/>
              </w:rPr>
              <w:t>Key observation</w:t>
            </w:r>
          </w:p>
        </w:tc>
      </w:tr>
      <w:tr w:rsidR="00145B26" w14:paraId="2792E1BC"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2E82C0DE" w14:textId="77777777" w:rsidR="00145B26" w:rsidRDefault="00000000">
            <w:r>
              <w:rPr>
                <w:sz w:val="13"/>
              </w:rPr>
              <w:t>E01</w:t>
            </w:r>
          </w:p>
        </w:tc>
        <w:tc>
          <w:tcPr>
            <w:tcW w:w="830" w:type="dxa"/>
            <w:tcBorders>
              <w:top w:val="none" w:sz="0" w:space="0" w:color="auto"/>
              <w:left w:val="none" w:sz="0" w:space="0" w:color="auto"/>
              <w:bottom w:val="none" w:sz="0" w:space="0" w:color="auto"/>
              <w:right w:val="none" w:sz="0" w:space="0" w:color="auto"/>
            </w:tcBorders>
            <w:shd w:val="clear" w:color="auto" w:fill="auto"/>
          </w:tcPr>
          <w:p w14:paraId="692DC33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1BA6E22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6C3EF5D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669323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4CB9036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Japan</w:t>
            </w:r>
          </w:p>
        </w:tc>
        <w:tc>
          <w:tcPr>
            <w:tcW w:w="310" w:type="dxa"/>
            <w:tcBorders>
              <w:top w:val="none" w:sz="0" w:space="0" w:color="auto"/>
              <w:left w:val="none" w:sz="0" w:space="0" w:color="auto"/>
              <w:bottom w:val="none" w:sz="0" w:space="0" w:color="auto"/>
              <w:right w:val="none" w:sz="0" w:space="0" w:color="auto"/>
            </w:tcBorders>
            <w:shd w:val="clear" w:color="auto" w:fill="auto"/>
          </w:tcPr>
          <w:p w14:paraId="70C598C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67831A3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2B9220B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FFE4A8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797CDC8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625F51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3937AA7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described being completely excluded from sourcing decisions despite proximity to local suppliers</w:t>
            </w:r>
          </w:p>
        </w:tc>
      </w:tr>
      <w:tr w:rsidR="00145B26" w14:paraId="74E585F2"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48EAA89C" w14:textId="77777777" w:rsidR="00145B26" w:rsidRDefault="00000000">
            <w:r>
              <w:rPr>
                <w:sz w:val="13"/>
              </w:rPr>
              <w:t>E02</w:t>
            </w:r>
          </w:p>
        </w:tc>
        <w:tc>
          <w:tcPr>
            <w:tcW w:w="830" w:type="dxa"/>
            <w:tcBorders>
              <w:top w:val="none" w:sz="0" w:space="0" w:color="auto"/>
              <w:left w:val="none" w:sz="0" w:space="0" w:color="auto"/>
              <w:bottom w:val="none" w:sz="0" w:space="0" w:color="auto"/>
              <w:right w:val="none" w:sz="0" w:space="0" w:color="auto"/>
            </w:tcBorders>
          </w:tcPr>
          <w:p w14:paraId="6D53552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30F72D1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15887B9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2FF9C28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1BA8356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tcPr>
          <w:p w14:paraId="1F16203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2EDDB4D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tcPr>
          <w:p w14:paraId="0A7083E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98164A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3FE25F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80263E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2EBF1DC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Site uses a detailed KPI system focused exclusively on cost savings; other contributions not formally tracked</w:t>
            </w:r>
          </w:p>
        </w:tc>
      </w:tr>
      <w:tr w:rsidR="00145B26" w14:paraId="2BF3F2F4"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24509964" w14:textId="77777777" w:rsidR="00145B26" w:rsidRDefault="00000000">
            <w:r>
              <w:rPr>
                <w:sz w:val="13"/>
              </w:rPr>
              <w:t>E03</w:t>
            </w:r>
          </w:p>
        </w:tc>
        <w:tc>
          <w:tcPr>
            <w:tcW w:w="830" w:type="dxa"/>
            <w:tcBorders>
              <w:top w:val="none" w:sz="0" w:space="0" w:color="auto"/>
              <w:left w:val="none" w:sz="0" w:space="0" w:color="auto"/>
              <w:bottom w:val="none" w:sz="0" w:space="0" w:color="auto"/>
              <w:right w:val="none" w:sz="0" w:space="0" w:color="auto"/>
            </w:tcBorders>
            <w:shd w:val="clear" w:color="auto" w:fill="auto"/>
          </w:tcPr>
          <w:p w14:paraId="43194A3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3C405B3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0BF770B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2EAD123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40A0EF7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Japan</w:t>
            </w:r>
          </w:p>
        </w:tc>
        <w:tc>
          <w:tcPr>
            <w:tcW w:w="310" w:type="dxa"/>
            <w:tcBorders>
              <w:top w:val="none" w:sz="0" w:space="0" w:color="auto"/>
              <w:left w:val="none" w:sz="0" w:space="0" w:color="auto"/>
              <w:bottom w:val="none" w:sz="0" w:space="0" w:color="auto"/>
              <w:right w:val="none" w:sz="0" w:space="0" w:color="auto"/>
            </w:tcBorders>
            <w:shd w:val="clear" w:color="auto" w:fill="auto"/>
          </w:tcPr>
          <w:p w14:paraId="790EC0F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460E2B7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28A706D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2ABE5B4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3C1296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045D65F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0E1DE55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reported feeling that their expertise was disregarded because of their location in Morocco</w:t>
            </w:r>
          </w:p>
        </w:tc>
      </w:tr>
      <w:tr w:rsidR="00145B26" w14:paraId="1C813AEE"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48BC44E5" w14:textId="77777777" w:rsidR="00145B26" w:rsidRDefault="00000000">
            <w:r>
              <w:rPr>
                <w:sz w:val="13"/>
              </w:rPr>
              <w:t>E04</w:t>
            </w:r>
          </w:p>
        </w:tc>
        <w:tc>
          <w:tcPr>
            <w:tcW w:w="830" w:type="dxa"/>
            <w:tcBorders>
              <w:top w:val="none" w:sz="0" w:space="0" w:color="auto"/>
              <w:left w:val="none" w:sz="0" w:space="0" w:color="auto"/>
              <w:bottom w:val="none" w:sz="0" w:space="0" w:color="auto"/>
              <w:right w:val="none" w:sz="0" w:space="0" w:color="auto"/>
            </w:tcBorders>
          </w:tcPr>
          <w:p w14:paraId="79ABDF4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51A0A73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1B3ACFE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3A46A73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438A8C3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3532685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69D967D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tcPr>
          <w:p w14:paraId="54723AB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3D443A0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7D720DE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B8D4DF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16F3A80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Some autonomy reported on indirect purchases; direct categories entirely managed by headquarters</w:t>
            </w:r>
          </w:p>
        </w:tc>
      </w:tr>
      <w:tr w:rsidR="00145B26" w14:paraId="16BB496C"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24BE8D03" w14:textId="77777777" w:rsidR="00145B26" w:rsidRDefault="00000000">
            <w:r>
              <w:rPr>
                <w:sz w:val="13"/>
              </w:rPr>
              <w:t>E05</w:t>
            </w:r>
          </w:p>
        </w:tc>
        <w:tc>
          <w:tcPr>
            <w:tcW w:w="830" w:type="dxa"/>
            <w:tcBorders>
              <w:top w:val="none" w:sz="0" w:space="0" w:color="auto"/>
              <w:left w:val="none" w:sz="0" w:space="0" w:color="auto"/>
              <w:bottom w:val="none" w:sz="0" w:space="0" w:color="auto"/>
              <w:right w:val="none" w:sz="0" w:space="0" w:color="auto"/>
            </w:tcBorders>
            <w:shd w:val="clear" w:color="auto" w:fill="auto"/>
          </w:tcPr>
          <w:p w14:paraId="3D3469A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1EC71DE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57D279F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09DACC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7BFB3DE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United States</w:t>
            </w:r>
          </w:p>
        </w:tc>
        <w:tc>
          <w:tcPr>
            <w:tcW w:w="310" w:type="dxa"/>
            <w:tcBorders>
              <w:top w:val="none" w:sz="0" w:space="0" w:color="auto"/>
              <w:left w:val="none" w:sz="0" w:space="0" w:color="auto"/>
              <w:bottom w:val="none" w:sz="0" w:space="0" w:color="auto"/>
              <w:right w:val="none" w:sz="0" w:space="0" w:color="auto"/>
            </w:tcBorders>
            <w:shd w:val="clear" w:color="auto" w:fill="auto"/>
          </w:tcPr>
          <w:p w14:paraId="7082329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4DDC825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PB</w:t>
            </w:r>
          </w:p>
        </w:tc>
        <w:tc>
          <w:tcPr>
            <w:tcW w:w="375" w:type="dxa"/>
            <w:tcBorders>
              <w:top w:val="none" w:sz="0" w:space="0" w:color="auto"/>
              <w:left w:val="none" w:sz="0" w:space="0" w:color="auto"/>
              <w:bottom w:val="none" w:sz="0" w:space="0" w:color="auto"/>
              <w:right w:val="none" w:sz="0" w:space="0" w:color="auto"/>
            </w:tcBorders>
            <w:shd w:val="clear" w:color="auto" w:fill="auto"/>
          </w:tcPr>
          <w:p w14:paraId="1F80D3D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2C4CAF1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4E5A4C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8EE37B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75DC1269" w14:textId="0B209A20" w:rsidR="00060547" w:rsidRPr="00E81BD9" w:rsidRDefault="00060547">
            <w:pPr>
              <w:cnfStyle w:val="000000100000" w:firstRow="0" w:lastRow="0" w:firstColumn="0" w:lastColumn="0" w:oddVBand="0" w:evenVBand="0" w:oddHBand="1" w:evenHBand="0" w:firstRowFirstColumn="0" w:firstRowLastColumn="0" w:lastRowFirstColumn="0" w:lastRowLastColumn="0"/>
              <w:rPr>
                <w:sz w:val="13"/>
              </w:rPr>
            </w:pPr>
            <w:r>
              <w:rPr>
                <w:sz w:val="13"/>
              </w:rPr>
              <w:t>R</w:t>
            </w:r>
            <w:r w:rsidRPr="00060547">
              <w:rPr>
                <w:sz w:val="13"/>
              </w:rPr>
              <w:t>espondents described situations where limited autonomy and low recognition were both present over time</w:t>
            </w:r>
          </w:p>
        </w:tc>
      </w:tr>
      <w:tr w:rsidR="00145B26" w14:paraId="3C9EA168"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29FC70B4" w14:textId="77777777" w:rsidR="00145B26" w:rsidRDefault="00000000">
            <w:r>
              <w:rPr>
                <w:sz w:val="13"/>
              </w:rPr>
              <w:t>E06</w:t>
            </w:r>
          </w:p>
        </w:tc>
        <w:tc>
          <w:tcPr>
            <w:tcW w:w="830" w:type="dxa"/>
            <w:tcBorders>
              <w:top w:val="none" w:sz="0" w:space="0" w:color="auto"/>
              <w:left w:val="none" w:sz="0" w:space="0" w:color="auto"/>
              <w:bottom w:val="none" w:sz="0" w:space="0" w:color="auto"/>
              <w:right w:val="none" w:sz="0" w:space="0" w:color="auto"/>
            </w:tcBorders>
          </w:tcPr>
          <w:p w14:paraId="547C734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455EFBA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67E90A7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tcPr>
          <w:p w14:paraId="7244288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tcPr>
          <w:p w14:paraId="3BD4FD4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Turkey</w:t>
            </w:r>
          </w:p>
        </w:tc>
        <w:tc>
          <w:tcPr>
            <w:tcW w:w="310" w:type="dxa"/>
            <w:tcBorders>
              <w:top w:val="none" w:sz="0" w:space="0" w:color="auto"/>
              <w:left w:val="none" w:sz="0" w:space="0" w:color="auto"/>
              <w:bottom w:val="none" w:sz="0" w:space="0" w:color="auto"/>
              <w:right w:val="none" w:sz="0" w:space="0" w:color="auto"/>
            </w:tcBorders>
          </w:tcPr>
          <w:p w14:paraId="75051BB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tcPr>
          <w:p w14:paraId="6004A7D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tcPr>
          <w:p w14:paraId="2DA8198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4E941B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38BD1B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45FA36F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2B1AC25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Recently established subsidiary; purchasing function not yet fully structured; limited interaction with headquarters</w:t>
            </w:r>
          </w:p>
        </w:tc>
      </w:tr>
      <w:tr w:rsidR="00145B26" w14:paraId="4AFCE785"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2CA2DACA" w14:textId="77777777" w:rsidR="00145B26" w:rsidRDefault="00000000">
            <w:r>
              <w:rPr>
                <w:sz w:val="13"/>
              </w:rPr>
              <w:t>E07</w:t>
            </w:r>
          </w:p>
        </w:tc>
        <w:tc>
          <w:tcPr>
            <w:tcW w:w="830" w:type="dxa"/>
            <w:tcBorders>
              <w:top w:val="none" w:sz="0" w:space="0" w:color="auto"/>
              <w:left w:val="none" w:sz="0" w:space="0" w:color="auto"/>
              <w:bottom w:val="none" w:sz="0" w:space="0" w:color="auto"/>
              <w:right w:val="none" w:sz="0" w:space="0" w:color="auto"/>
            </w:tcBorders>
            <w:shd w:val="clear" w:color="auto" w:fill="auto"/>
          </w:tcPr>
          <w:p w14:paraId="7EB0403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4A9C46B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6852828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0661B8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283BFE5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Japan</w:t>
            </w:r>
          </w:p>
        </w:tc>
        <w:tc>
          <w:tcPr>
            <w:tcW w:w="310" w:type="dxa"/>
            <w:tcBorders>
              <w:top w:val="none" w:sz="0" w:space="0" w:color="auto"/>
              <w:left w:val="none" w:sz="0" w:space="0" w:color="auto"/>
              <w:bottom w:val="none" w:sz="0" w:space="0" w:color="auto"/>
              <w:right w:val="none" w:sz="0" w:space="0" w:color="auto"/>
            </w:tcBorders>
            <w:shd w:val="clear" w:color="auto" w:fill="auto"/>
          </w:tcPr>
          <w:p w14:paraId="2099FF3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4EE0BB1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shd w:val="clear" w:color="auto" w:fill="auto"/>
          </w:tcPr>
          <w:p w14:paraId="1E775B7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3FBED5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2CC328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7EBAAF9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5AF02D0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noted that no senior figure at headquarters advocated for the local purchasing function</w:t>
            </w:r>
          </w:p>
        </w:tc>
      </w:tr>
      <w:tr w:rsidR="00145B26" w14:paraId="6F3CE088"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634AC210" w14:textId="77777777" w:rsidR="00145B26" w:rsidRDefault="00000000">
            <w:r>
              <w:rPr>
                <w:sz w:val="13"/>
              </w:rPr>
              <w:t>E08</w:t>
            </w:r>
          </w:p>
        </w:tc>
        <w:tc>
          <w:tcPr>
            <w:tcW w:w="830" w:type="dxa"/>
            <w:tcBorders>
              <w:top w:val="none" w:sz="0" w:space="0" w:color="auto"/>
              <w:left w:val="none" w:sz="0" w:space="0" w:color="auto"/>
              <w:bottom w:val="none" w:sz="0" w:space="0" w:color="auto"/>
              <w:right w:val="none" w:sz="0" w:space="0" w:color="auto"/>
            </w:tcBorders>
          </w:tcPr>
          <w:p w14:paraId="4603DD7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1D540F8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3CE453B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1E6D14C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59C3336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tcPr>
          <w:p w14:paraId="309865E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6189A36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tcPr>
          <w:p w14:paraId="784DD25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C8B81D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6EFFEE8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6B6F062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1D4B5D0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Respondents reported being formally referred to as "local support" in group communications</w:t>
            </w:r>
          </w:p>
        </w:tc>
      </w:tr>
      <w:tr w:rsidR="00145B26" w14:paraId="0EDF4CA9"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0D7EBF70" w14:textId="77777777" w:rsidR="00145B26" w:rsidRDefault="00000000">
            <w:r>
              <w:rPr>
                <w:sz w:val="13"/>
              </w:rPr>
              <w:t>E09</w:t>
            </w:r>
          </w:p>
        </w:tc>
        <w:tc>
          <w:tcPr>
            <w:tcW w:w="830" w:type="dxa"/>
            <w:tcBorders>
              <w:top w:val="none" w:sz="0" w:space="0" w:color="auto"/>
              <w:left w:val="none" w:sz="0" w:space="0" w:color="auto"/>
              <w:bottom w:val="none" w:sz="0" w:space="0" w:color="auto"/>
              <w:right w:val="none" w:sz="0" w:space="0" w:color="auto"/>
            </w:tcBorders>
            <w:shd w:val="clear" w:color="auto" w:fill="auto"/>
          </w:tcPr>
          <w:p w14:paraId="5282F33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04BA7D4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0164A18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0C965DC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7F97DCE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shd w:val="clear" w:color="auto" w:fill="auto"/>
          </w:tcPr>
          <w:p w14:paraId="00017D5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543158E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shd w:val="clear" w:color="auto" w:fill="auto"/>
          </w:tcPr>
          <w:p w14:paraId="042D676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CE4799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4195EE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C5AEE4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6775021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 xml:space="preserve">Respondents described a situation where </w:t>
            </w:r>
            <w:proofErr w:type="spellStart"/>
            <w:r>
              <w:rPr>
                <w:sz w:val="13"/>
              </w:rPr>
              <w:t>unrecognised</w:t>
            </w:r>
            <w:proofErr w:type="spellEnd"/>
            <w:r>
              <w:rPr>
                <w:sz w:val="13"/>
              </w:rPr>
              <w:t xml:space="preserve"> contributions led to reduced investment in the function</w:t>
            </w:r>
          </w:p>
        </w:tc>
      </w:tr>
      <w:tr w:rsidR="00145B26" w14:paraId="2C248DF3"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278CAA5D" w14:textId="77777777" w:rsidR="00145B26" w:rsidRDefault="00000000">
            <w:r>
              <w:rPr>
                <w:sz w:val="13"/>
              </w:rPr>
              <w:t>E10</w:t>
            </w:r>
          </w:p>
        </w:tc>
        <w:tc>
          <w:tcPr>
            <w:tcW w:w="830" w:type="dxa"/>
            <w:tcBorders>
              <w:top w:val="none" w:sz="0" w:space="0" w:color="auto"/>
              <w:left w:val="none" w:sz="0" w:space="0" w:color="auto"/>
              <w:bottom w:val="none" w:sz="0" w:space="0" w:color="auto"/>
              <w:right w:val="none" w:sz="0" w:space="0" w:color="auto"/>
            </w:tcBorders>
          </w:tcPr>
          <w:p w14:paraId="5A7089C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2A616E0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76C6F63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tcPr>
          <w:p w14:paraId="49E120A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tcPr>
          <w:p w14:paraId="5CAEA42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United States</w:t>
            </w:r>
          </w:p>
        </w:tc>
        <w:tc>
          <w:tcPr>
            <w:tcW w:w="310" w:type="dxa"/>
            <w:tcBorders>
              <w:top w:val="none" w:sz="0" w:space="0" w:color="auto"/>
              <w:left w:val="none" w:sz="0" w:space="0" w:color="auto"/>
              <w:bottom w:val="none" w:sz="0" w:space="0" w:color="auto"/>
              <w:right w:val="none" w:sz="0" w:space="0" w:color="auto"/>
            </w:tcBorders>
          </w:tcPr>
          <w:p w14:paraId="32DD0F5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65A250E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tcPr>
          <w:p w14:paraId="1F066EA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4CFFA7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49C8CCD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37667E7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720E5D7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 xml:space="preserve">Smaller subsidiary with less </w:t>
            </w:r>
            <w:proofErr w:type="spellStart"/>
            <w:r>
              <w:rPr>
                <w:sz w:val="13"/>
              </w:rPr>
              <w:t>formalised</w:t>
            </w:r>
            <w:proofErr w:type="spellEnd"/>
            <w:r>
              <w:rPr>
                <w:sz w:val="13"/>
              </w:rPr>
              <w:t xml:space="preserve"> governance; respondents reported some flexibility in local decisions</w:t>
            </w:r>
          </w:p>
        </w:tc>
      </w:tr>
      <w:tr w:rsidR="00145B26" w14:paraId="6FABBE67"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11667687" w14:textId="77777777" w:rsidR="00145B26" w:rsidRDefault="00000000">
            <w:r>
              <w:rPr>
                <w:sz w:val="13"/>
              </w:rPr>
              <w:t>E11</w:t>
            </w:r>
          </w:p>
        </w:tc>
        <w:tc>
          <w:tcPr>
            <w:tcW w:w="830" w:type="dxa"/>
            <w:tcBorders>
              <w:top w:val="none" w:sz="0" w:space="0" w:color="auto"/>
              <w:left w:val="none" w:sz="0" w:space="0" w:color="auto"/>
              <w:bottom w:val="none" w:sz="0" w:space="0" w:color="auto"/>
              <w:right w:val="none" w:sz="0" w:space="0" w:color="auto"/>
            </w:tcBorders>
            <w:shd w:val="clear" w:color="auto" w:fill="auto"/>
          </w:tcPr>
          <w:p w14:paraId="22DDC4F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shd w:val="clear" w:color="auto" w:fill="auto"/>
          </w:tcPr>
          <w:p w14:paraId="30D9890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246B8B5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CCD7DB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025CD20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Japan</w:t>
            </w:r>
          </w:p>
        </w:tc>
        <w:tc>
          <w:tcPr>
            <w:tcW w:w="310" w:type="dxa"/>
            <w:tcBorders>
              <w:top w:val="none" w:sz="0" w:space="0" w:color="auto"/>
              <w:left w:val="none" w:sz="0" w:space="0" w:color="auto"/>
              <w:bottom w:val="none" w:sz="0" w:space="0" w:color="auto"/>
              <w:right w:val="none" w:sz="0" w:space="0" w:color="auto"/>
            </w:tcBorders>
            <w:shd w:val="clear" w:color="auto" w:fill="auto"/>
          </w:tcPr>
          <w:p w14:paraId="3DF1929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779141A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1A8FDD1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C216AF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91039C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0E8550C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2B79833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described difficulty being taken seriously in interactions with distant headquarters</w:t>
            </w:r>
          </w:p>
        </w:tc>
      </w:tr>
      <w:tr w:rsidR="00145B26" w14:paraId="478D5BE0"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2AB46510" w14:textId="77777777" w:rsidR="00145B26" w:rsidRDefault="00000000">
            <w:r>
              <w:rPr>
                <w:sz w:val="13"/>
              </w:rPr>
              <w:t>E12</w:t>
            </w:r>
          </w:p>
        </w:tc>
        <w:tc>
          <w:tcPr>
            <w:tcW w:w="830" w:type="dxa"/>
            <w:tcBorders>
              <w:top w:val="none" w:sz="0" w:space="0" w:color="auto"/>
              <w:left w:val="none" w:sz="0" w:space="0" w:color="auto"/>
              <w:bottom w:val="none" w:sz="0" w:space="0" w:color="auto"/>
              <w:right w:val="none" w:sz="0" w:space="0" w:color="auto"/>
            </w:tcBorders>
          </w:tcPr>
          <w:p w14:paraId="6595E32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Wiring</w:t>
            </w:r>
          </w:p>
        </w:tc>
        <w:tc>
          <w:tcPr>
            <w:tcW w:w="522" w:type="dxa"/>
            <w:tcBorders>
              <w:top w:val="none" w:sz="0" w:space="0" w:color="auto"/>
              <w:left w:val="none" w:sz="0" w:space="0" w:color="auto"/>
              <w:bottom w:val="none" w:sz="0" w:space="0" w:color="auto"/>
              <w:right w:val="none" w:sz="0" w:space="0" w:color="auto"/>
            </w:tcBorders>
          </w:tcPr>
          <w:p w14:paraId="42389F9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115056A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521A025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tcPr>
          <w:p w14:paraId="4AD9899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1681587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7B2B1CC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tcPr>
          <w:p w14:paraId="3FFADDF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62171D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C1938A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0E9EEF3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024C636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Respondent described having gradually accepted the boundaries of the role and stopped seeking to expand it</w:t>
            </w:r>
          </w:p>
        </w:tc>
      </w:tr>
      <w:tr w:rsidR="00145B26" w14:paraId="54B87DCC"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150A7FD7" w14:textId="77777777" w:rsidR="00145B26" w:rsidRDefault="00000000">
            <w:r>
              <w:rPr>
                <w:sz w:val="13"/>
              </w:rPr>
              <w:t>E13</w:t>
            </w:r>
          </w:p>
        </w:tc>
        <w:tc>
          <w:tcPr>
            <w:tcW w:w="830" w:type="dxa"/>
            <w:tcBorders>
              <w:top w:val="none" w:sz="0" w:space="0" w:color="auto"/>
              <w:left w:val="none" w:sz="0" w:space="0" w:color="auto"/>
              <w:bottom w:val="none" w:sz="0" w:space="0" w:color="auto"/>
              <w:right w:val="none" w:sz="0" w:space="0" w:color="auto"/>
            </w:tcBorders>
            <w:shd w:val="clear" w:color="auto" w:fill="auto"/>
          </w:tcPr>
          <w:p w14:paraId="4ED70EF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shd w:val="clear" w:color="auto" w:fill="auto"/>
          </w:tcPr>
          <w:p w14:paraId="2B659B2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73FE125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75117D8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3B095E4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shd w:val="clear" w:color="auto" w:fill="auto"/>
          </w:tcPr>
          <w:p w14:paraId="71720F6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3FC68F5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3F75755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8234CB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D42041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08A3750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01CDF18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 xml:space="preserve">Large, mature subsidiary with highly qualified team; respondents reported persistent constraints despite </w:t>
            </w:r>
            <w:proofErr w:type="spellStart"/>
            <w:r>
              <w:rPr>
                <w:sz w:val="13"/>
              </w:rPr>
              <w:t>professionalisation</w:t>
            </w:r>
            <w:proofErr w:type="spellEnd"/>
          </w:p>
        </w:tc>
      </w:tr>
      <w:tr w:rsidR="00145B26" w14:paraId="47140CA0"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44BED134" w14:textId="77777777" w:rsidR="00145B26" w:rsidRDefault="00000000">
            <w:r>
              <w:rPr>
                <w:sz w:val="13"/>
              </w:rPr>
              <w:t>E14</w:t>
            </w:r>
          </w:p>
        </w:tc>
        <w:tc>
          <w:tcPr>
            <w:tcW w:w="830" w:type="dxa"/>
            <w:tcBorders>
              <w:top w:val="none" w:sz="0" w:space="0" w:color="auto"/>
              <w:left w:val="none" w:sz="0" w:space="0" w:color="auto"/>
              <w:bottom w:val="none" w:sz="0" w:space="0" w:color="auto"/>
              <w:right w:val="none" w:sz="0" w:space="0" w:color="auto"/>
            </w:tcBorders>
          </w:tcPr>
          <w:p w14:paraId="676C9D6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tcPr>
          <w:p w14:paraId="4CDFF06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46178EA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10C80BE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657CC2E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7E4EF88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36A14B9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PB</w:t>
            </w:r>
          </w:p>
        </w:tc>
        <w:tc>
          <w:tcPr>
            <w:tcW w:w="375" w:type="dxa"/>
            <w:tcBorders>
              <w:top w:val="none" w:sz="0" w:space="0" w:color="auto"/>
              <w:left w:val="none" w:sz="0" w:space="0" w:color="auto"/>
              <w:bottom w:val="none" w:sz="0" w:space="0" w:color="auto"/>
              <w:right w:val="none" w:sz="0" w:space="0" w:color="auto"/>
            </w:tcBorders>
          </w:tcPr>
          <w:p w14:paraId="64DE36D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3BEA1B5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F28890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711E1EB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2B8C793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Project buyer described a significant mismatch between qualifications obtained and tasks actually performed</w:t>
            </w:r>
          </w:p>
        </w:tc>
      </w:tr>
      <w:tr w:rsidR="00145B26" w14:paraId="36D7A2F1"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67352C71" w14:textId="77777777" w:rsidR="00145B26" w:rsidRDefault="00000000">
            <w:r>
              <w:rPr>
                <w:sz w:val="13"/>
              </w:rPr>
              <w:t>E15</w:t>
            </w:r>
          </w:p>
        </w:tc>
        <w:tc>
          <w:tcPr>
            <w:tcW w:w="830" w:type="dxa"/>
            <w:tcBorders>
              <w:top w:val="none" w:sz="0" w:space="0" w:color="auto"/>
              <w:left w:val="none" w:sz="0" w:space="0" w:color="auto"/>
              <w:bottom w:val="none" w:sz="0" w:space="0" w:color="auto"/>
              <w:right w:val="none" w:sz="0" w:space="0" w:color="auto"/>
            </w:tcBorders>
            <w:shd w:val="clear" w:color="auto" w:fill="auto"/>
          </w:tcPr>
          <w:p w14:paraId="7DF6CE7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shd w:val="clear" w:color="auto" w:fill="auto"/>
          </w:tcPr>
          <w:p w14:paraId="005C1FF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69426A0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33EB0DC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5B7B5A3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United States</w:t>
            </w:r>
          </w:p>
        </w:tc>
        <w:tc>
          <w:tcPr>
            <w:tcW w:w="310" w:type="dxa"/>
            <w:tcBorders>
              <w:top w:val="none" w:sz="0" w:space="0" w:color="auto"/>
              <w:left w:val="none" w:sz="0" w:space="0" w:color="auto"/>
              <w:bottom w:val="none" w:sz="0" w:space="0" w:color="auto"/>
              <w:right w:val="none" w:sz="0" w:space="0" w:color="auto"/>
            </w:tcBorders>
            <w:shd w:val="clear" w:color="auto" w:fill="auto"/>
          </w:tcPr>
          <w:p w14:paraId="2641A7A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3FCAB00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5DCFD30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08DEE51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A079CB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114E26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593DE71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reported not being invited to the site management committee despite their functional responsibilities</w:t>
            </w:r>
          </w:p>
        </w:tc>
      </w:tr>
      <w:tr w:rsidR="00145B26" w14:paraId="7503E4D4"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0992D0DE" w14:textId="77777777" w:rsidR="00145B26" w:rsidRDefault="00000000">
            <w:r>
              <w:rPr>
                <w:sz w:val="13"/>
              </w:rPr>
              <w:t>E16</w:t>
            </w:r>
          </w:p>
        </w:tc>
        <w:tc>
          <w:tcPr>
            <w:tcW w:w="830" w:type="dxa"/>
            <w:tcBorders>
              <w:top w:val="none" w:sz="0" w:space="0" w:color="auto"/>
              <w:left w:val="none" w:sz="0" w:space="0" w:color="auto"/>
              <w:bottom w:val="none" w:sz="0" w:space="0" w:color="auto"/>
              <w:right w:val="none" w:sz="0" w:space="0" w:color="auto"/>
            </w:tcBorders>
          </w:tcPr>
          <w:p w14:paraId="60639BE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tcPr>
          <w:p w14:paraId="6860E32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67F7412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138A99C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47396A3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tcPr>
          <w:p w14:paraId="00AD79E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1A2B7C2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tcPr>
          <w:p w14:paraId="11468BB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A6B66A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654EE5F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ED8C7C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7D7462E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Indirect buyer expressed frustration that only cost savings were acknowledged as a valid contribution</w:t>
            </w:r>
          </w:p>
        </w:tc>
      </w:tr>
      <w:tr w:rsidR="00145B26" w14:paraId="52DCC767"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316E84D7" w14:textId="77777777" w:rsidR="00145B26" w:rsidRDefault="00000000">
            <w:r>
              <w:rPr>
                <w:sz w:val="13"/>
              </w:rPr>
              <w:t>E17</w:t>
            </w:r>
          </w:p>
        </w:tc>
        <w:tc>
          <w:tcPr>
            <w:tcW w:w="830" w:type="dxa"/>
            <w:tcBorders>
              <w:top w:val="none" w:sz="0" w:space="0" w:color="auto"/>
              <w:left w:val="none" w:sz="0" w:space="0" w:color="auto"/>
              <w:bottom w:val="none" w:sz="0" w:space="0" w:color="auto"/>
              <w:right w:val="none" w:sz="0" w:space="0" w:color="auto"/>
            </w:tcBorders>
            <w:shd w:val="clear" w:color="auto" w:fill="auto"/>
          </w:tcPr>
          <w:p w14:paraId="77EAEE4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shd w:val="clear" w:color="auto" w:fill="auto"/>
          </w:tcPr>
          <w:p w14:paraId="0AC38F7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0B632C9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76B228F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2BDB827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shd w:val="clear" w:color="auto" w:fill="auto"/>
          </w:tcPr>
          <w:p w14:paraId="1F28381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64FC9AA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shd w:val="clear" w:color="auto" w:fill="auto"/>
          </w:tcPr>
          <w:p w14:paraId="49C6D44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BC9DA0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9BDB6D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E1BA1B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45185E0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observed that headquarters had limited interest in redistributing decision-making authority</w:t>
            </w:r>
          </w:p>
        </w:tc>
      </w:tr>
      <w:tr w:rsidR="00145B26" w14:paraId="41650FD8"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7ADA9A79" w14:textId="77777777" w:rsidR="00145B26" w:rsidRDefault="00000000">
            <w:r>
              <w:rPr>
                <w:sz w:val="13"/>
              </w:rPr>
              <w:lastRenderedPageBreak/>
              <w:t>E18</w:t>
            </w:r>
          </w:p>
        </w:tc>
        <w:tc>
          <w:tcPr>
            <w:tcW w:w="830" w:type="dxa"/>
            <w:tcBorders>
              <w:top w:val="none" w:sz="0" w:space="0" w:color="auto"/>
              <w:left w:val="none" w:sz="0" w:space="0" w:color="auto"/>
              <w:bottom w:val="none" w:sz="0" w:space="0" w:color="auto"/>
              <w:right w:val="none" w:sz="0" w:space="0" w:color="auto"/>
            </w:tcBorders>
          </w:tcPr>
          <w:p w14:paraId="2F650EE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tcPr>
          <w:p w14:paraId="52FA03B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5C6C919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tcPr>
          <w:p w14:paraId="4C1A241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tcPr>
          <w:p w14:paraId="21E7AF8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Spain</w:t>
            </w:r>
          </w:p>
        </w:tc>
        <w:tc>
          <w:tcPr>
            <w:tcW w:w="310" w:type="dxa"/>
            <w:tcBorders>
              <w:top w:val="none" w:sz="0" w:space="0" w:color="auto"/>
              <w:left w:val="none" w:sz="0" w:space="0" w:color="auto"/>
              <w:bottom w:val="none" w:sz="0" w:space="0" w:color="auto"/>
              <w:right w:val="none" w:sz="0" w:space="0" w:color="auto"/>
            </w:tcBorders>
          </w:tcPr>
          <w:p w14:paraId="504646E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tcPr>
          <w:p w14:paraId="331A085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tcPr>
          <w:p w14:paraId="08BEF34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088E14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3E37813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7264F0B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2572D51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 xml:space="preserve">Small subsidiary with a flat local </w:t>
            </w:r>
            <w:proofErr w:type="spellStart"/>
            <w:r>
              <w:rPr>
                <w:sz w:val="13"/>
              </w:rPr>
              <w:t>organisation</w:t>
            </w:r>
            <w:proofErr w:type="spellEnd"/>
            <w:r>
              <w:rPr>
                <w:sz w:val="13"/>
              </w:rPr>
              <w:t>; fewer occasions for internal status differentiation</w:t>
            </w:r>
          </w:p>
        </w:tc>
      </w:tr>
      <w:tr w:rsidR="00145B26" w14:paraId="06BBB022"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5D1DB86B" w14:textId="77777777" w:rsidR="00145B26" w:rsidRDefault="00000000">
            <w:r>
              <w:rPr>
                <w:sz w:val="13"/>
              </w:rPr>
              <w:t>E19</w:t>
            </w:r>
          </w:p>
        </w:tc>
        <w:tc>
          <w:tcPr>
            <w:tcW w:w="830" w:type="dxa"/>
            <w:tcBorders>
              <w:top w:val="none" w:sz="0" w:space="0" w:color="auto"/>
              <w:left w:val="none" w:sz="0" w:space="0" w:color="auto"/>
              <w:bottom w:val="none" w:sz="0" w:space="0" w:color="auto"/>
              <w:right w:val="none" w:sz="0" w:space="0" w:color="auto"/>
            </w:tcBorders>
            <w:shd w:val="clear" w:color="auto" w:fill="auto"/>
          </w:tcPr>
          <w:p w14:paraId="5838D0B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shd w:val="clear" w:color="auto" w:fill="auto"/>
          </w:tcPr>
          <w:p w14:paraId="16ACC3C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7CDF1FA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16CD2CC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583B4DE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United States</w:t>
            </w:r>
          </w:p>
        </w:tc>
        <w:tc>
          <w:tcPr>
            <w:tcW w:w="310" w:type="dxa"/>
            <w:tcBorders>
              <w:top w:val="none" w:sz="0" w:space="0" w:color="auto"/>
              <w:left w:val="none" w:sz="0" w:space="0" w:color="auto"/>
              <w:bottom w:val="none" w:sz="0" w:space="0" w:color="auto"/>
              <w:right w:val="none" w:sz="0" w:space="0" w:color="auto"/>
            </w:tcBorders>
            <w:shd w:val="clear" w:color="auto" w:fill="auto"/>
          </w:tcPr>
          <w:p w14:paraId="76290DB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2000A53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shd w:val="clear" w:color="auto" w:fill="auto"/>
          </w:tcPr>
          <w:p w14:paraId="53CEE03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27C380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27F530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9A0A9C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039F062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Respondents noted that the supply chain function received more recognition than purchasing for comparable contributions</w:t>
            </w:r>
          </w:p>
        </w:tc>
      </w:tr>
      <w:tr w:rsidR="00145B26" w14:paraId="71E398C6"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6960B109" w14:textId="77777777" w:rsidR="00145B26" w:rsidRDefault="00000000">
            <w:r>
              <w:rPr>
                <w:sz w:val="13"/>
              </w:rPr>
              <w:t>E20</w:t>
            </w:r>
          </w:p>
        </w:tc>
        <w:tc>
          <w:tcPr>
            <w:tcW w:w="830" w:type="dxa"/>
            <w:tcBorders>
              <w:top w:val="none" w:sz="0" w:space="0" w:color="auto"/>
              <w:left w:val="none" w:sz="0" w:space="0" w:color="auto"/>
              <w:bottom w:val="none" w:sz="0" w:space="0" w:color="auto"/>
              <w:right w:val="none" w:sz="0" w:space="0" w:color="auto"/>
            </w:tcBorders>
          </w:tcPr>
          <w:p w14:paraId="3D74985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tcPr>
          <w:p w14:paraId="3D03FA1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5C9D698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tcPr>
          <w:p w14:paraId="1DE6CDA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3A6BE5B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Italy</w:t>
            </w:r>
          </w:p>
        </w:tc>
        <w:tc>
          <w:tcPr>
            <w:tcW w:w="310" w:type="dxa"/>
            <w:tcBorders>
              <w:top w:val="none" w:sz="0" w:space="0" w:color="auto"/>
              <w:left w:val="none" w:sz="0" w:space="0" w:color="auto"/>
              <w:bottom w:val="none" w:sz="0" w:space="0" w:color="auto"/>
              <w:right w:val="none" w:sz="0" w:space="0" w:color="auto"/>
            </w:tcBorders>
          </w:tcPr>
          <w:p w14:paraId="585989B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tcPr>
          <w:p w14:paraId="7E04BCD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tcPr>
          <w:p w14:paraId="16CE81D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0B58E6D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6C9B5FC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FB6213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2924552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 xml:space="preserve">Smaller firm where performance evaluation was less </w:t>
            </w:r>
            <w:proofErr w:type="spellStart"/>
            <w:r>
              <w:rPr>
                <w:sz w:val="13"/>
              </w:rPr>
              <w:t>formalised</w:t>
            </w:r>
            <w:proofErr w:type="spellEnd"/>
            <w:r>
              <w:rPr>
                <w:sz w:val="13"/>
              </w:rPr>
              <w:t>; fewer structured KPIs in place</w:t>
            </w:r>
          </w:p>
        </w:tc>
      </w:tr>
      <w:tr w:rsidR="00145B26" w14:paraId="12660460"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4368DB71" w14:textId="77777777" w:rsidR="00145B26" w:rsidRDefault="00000000">
            <w:r>
              <w:rPr>
                <w:sz w:val="13"/>
              </w:rPr>
              <w:t>E21</w:t>
            </w:r>
          </w:p>
        </w:tc>
        <w:tc>
          <w:tcPr>
            <w:tcW w:w="830" w:type="dxa"/>
            <w:tcBorders>
              <w:top w:val="none" w:sz="0" w:space="0" w:color="auto"/>
              <w:left w:val="none" w:sz="0" w:space="0" w:color="auto"/>
              <w:bottom w:val="none" w:sz="0" w:space="0" w:color="auto"/>
              <w:right w:val="none" w:sz="0" w:space="0" w:color="auto"/>
            </w:tcBorders>
            <w:shd w:val="clear" w:color="auto" w:fill="auto"/>
          </w:tcPr>
          <w:p w14:paraId="28B74D1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Interiors</w:t>
            </w:r>
          </w:p>
        </w:tc>
        <w:tc>
          <w:tcPr>
            <w:tcW w:w="522" w:type="dxa"/>
            <w:tcBorders>
              <w:top w:val="none" w:sz="0" w:space="0" w:color="auto"/>
              <w:left w:val="none" w:sz="0" w:space="0" w:color="auto"/>
              <w:bottom w:val="none" w:sz="0" w:space="0" w:color="auto"/>
              <w:right w:val="none" w:sz="0" w:space="0" w:color="auto"/>
            </w:tcBorders>
            <w:shd w:val="clear" w:color="auto" w:fill="auto"/>
          </w:tcPr>
          <w:p w14:paraId="1B15AA2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292C52A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246AF5D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3666A6B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shd w:val="clear" w:color="auto" w:fill="auto"/>
          </w:tcPr>
          <w:p w14:paraId="1B16208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3AEBC74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shd w:val="clear" w:color="auto" w:fill="auto"/>
          </w:tcPr>
          <w:p w14:paraId="02487A3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18427E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5FC9A8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6C1C97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435AEDE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described considering leaving the function or the sector as a response to the constraints experienced</w:t>
            </w:r>
          </w:p>
        </w:tc>
      </w:tr>
      <w:tr w:rsidR="00145B26" w14:paraId="6F1D1699"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6EC28C99" w14:textId="77777777" w:rsidR="00145B26" w:rsidRDefault="00000000">
            <w:r>
              <w:rPr>
                <w:sz w:val="13"/>
              </w:rPr>
              <w:t>E22</w:t>
            </w:r>
          </w:p>
        </w:tc>
        <w:tc>
          <w:tcPr>
            <w:tcW w:w="830" w:type="dxa"/>
            <w:tcBorders>
              <w:top w:val="none" w:sz="0" w:space="0" w:color="auto"/>
              <w:left w:val="none" w:sz="0" w:space="0" w:color="auto"/>
              <w:bottom w:val="none" w:sz="0" w:space="0" w:color="auto"/>
              <w:right w:val="none" w:sz="0" w:space="0" w:color="auto"/>
            </w:tcBorders>
          </w:tcPr>
          <w:p w14:paraId="3898AC7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tcPr>
          <w:p w14:paraId="541E084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1F2FA57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01EAB54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tcPr>
          <w:p w14:paraId="2437F98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126C2FA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5B6DA77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tcPr>
          <w:p w14:paraId="18BF1D4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76D2455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7BBA142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CA52E4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57EE6171"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Respondent described investing effort in developing local suppliers but receiving no recognition in group reports</w:t>
            </w:r>
          </w:p>
        </w:tc>
      </w:tr>
      <w:tr w:rsidR="00145B26" w14:paraId="4E8CB48B"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49F8D0A9" w14:textId="77777777" w:rsidR="00145B26" w:rsidRDefault="00000000">
            <w:r>
              <w:rPr>
                <w:sz w:val="13"/>
              </w:rPr>
              <w:t>E23</w:t>
            </w:r>
          </w:p>
        </w:tc>
        <w:tc>
          <w:tcPr>
            <w:tcW w:w="830" w:type="dxa"/>
            <w:tcBorders>
              <w:top w:val="none" w:sz="0" w:space="0" w:color="auto"/>
              <w:left w:val="none" w:sz="0" w:space="0" w:color="auto"/>
              <w:bottom w:val="none" w:sz="0" w:space="0" w:color="auto"/>
              <w:right w:val="none" w:sz="0" w:space="0" w:color="auto"/>
            </w:tcBorders>
            <w:shd w:val="clear" w:color="auto" w:fill="auto"/>
          </w:tcPr>
          <w:p w14:paraId="6969BE9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shd w:val="clear" w:color="auto" w:fill="auto"/>
          </w:tcPr>
          <w:p w14:paraId="18C1362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shd w:val="clear" w:color="auto" w:fill="auto"/>
          </w:tcPr>
          <w:p w14:paraId="4746DF0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04E6716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179A155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Spain</w:t>
            </w:r>
          </w:p>
        </w:tc>
        <w:tc>
          <w:tcPr>
            <w:tcW w:w="310" w:type="dxa"/>
            <w:tcBorders>
              <w:top w:val="none" w:sz="0" w:space="0" w:color="auto"/>
              <w:left w:val="none" w:sz="0" w:space="0" w:color="auto"/>
              <w:bottom w:val="none" w:sz="0" w:space="0" w:color="auto"/>
              <w:right w:val="none" w:sz="0" w:space="0" w:color="auto"/>
            </w:tcBorders>
            <w:shd w:val="clear" w:color="auto" w:fill="auto"/>
          </w:tcPr>
          <w:p w14:paraId="0D30E9D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shd w:val="clear" w:color="auto" w:fill="auto"/>
          </w:tcPr>
          <w:p w14:paraId="2888C5E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shd w:val="clear" w:color="auto" w:fill="auto"/>
          </w:tcPr>
          <w:p w14:paraId="221C5FF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5998F8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F23BB8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78DE1E8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7C4718B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reported that the local production team viewed purchasing as a purely administrative function</w:t>
            </w:r>
          </w:p>
        </w:tc>
      </w:tr>
      <w:tr w:rsidR="00145B26" w14:paraId="6F888D59"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06F72705" w14:textId="77777777" w:rsidR="00145B26" w:rsidRDefault="00000000">
            <w:r>
              <w:rPr>
                <w:sz w:val="13"/>
              </w:rPr>
              <w:t>E24</w:t>
            </w:r>
          </w:p>
        </w:tc>
        <w:tc>
          <w:tcPr>
            <w:tcW w:w="830" w:type="dxa"/>
            <w:tcBorders>
              <w:top w:val="none" w:sz="0" w:space="0" w:color="auto"/>
              <w:left w:val="none" w:sz="0" w:space="0" w:color="auto"/>
              <w:bottom w:val="none" w:sz="0" w:space="0" w:color="auto"/>
              <w:right w:val="none" w:sz="0" w:space="0" w:color="auto"/>
            </w:tcBorders>
          </w:tcPr>
          <w:p w14:paraId="52A09B3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tcPr>
          <w:p w14:paraId="766F9A3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327C3F3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639312C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1C4338C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tcPr>
          <w:p w14:paraId="59E6DD4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08C3A73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tcPr>
          <w:p w14:paraId="54F39CB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0CFCBE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ECD67C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0914275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65364F2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Respondents described headquarters controlling all purchasing categories without exception</w:t>
            </w:r>
          </w:p>
        </w:tc>
      </w:tr>
      <w:tr w:rsidR="00145B26" w14:paraId="1E69E244"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64A36FEA" w14:textId="77777777" w:rsidR="00145B26" w:rsidRDefault="00000000">
            <w:r>
              <w:rPr>
                <w:sz w:val="13"/>
              </w:rPr>
              <w:t>E25</w:t>
            </w:r>
          </w:p>
        </w:tc>
        <w:tc>
          <w:tcPr>
            <w:tcW w:w="830" w:type="dxa"/>
            <w:tcBorders>
              <w:top w:val="none" w:sz="0" w:space="0" w:color="auto"/>
              <w:left w:val="none" w:sz="0" w:space="0" w:color="auto"/>
              <w:bottom w:val="none" w:sz="0" w:space="0" w:color="auto"/>
              <w:right w:val="none" w:sz="0" w:space="0" w:color="auto"/>
            </w:tcBorders>
            <w:shd w:val="clear" w:color="auto" w:fill="auto"/>
          </w:tcPr>
          <w:p w14:paraId="6D09431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shd w:val="clear" w:color="auto" w:fill="auto"/>
          </w:tcPr>
          <w:p w14:paraId="175FB67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shd w:val="clear" w:color="auto" w:fill="auto"/>
          </w:tcPr>
          <w:p w14:paraId="4DE7459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3C65E70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2C5CFFB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China</w:t>
            </w:r>
          </w:p>
        </w:tc>
        <w:tc>
          <w:tcPr>
            <w:tcW w:w="310" w:type="dxa"/>
            <w:tcBorders>
              <w:top w:val="none" w:sz="0" w:space="0" w:color="auto"/>
              <w:left w:val="none" w:sz="0" w:space="0" w:color="auto"/>
              <w:bottom w:val="none" w:sz="0" w:space="0" w:color="auto"/>
              <w:right w:val="none" w:sz="0" w:space="0" w:color="auto"/>
            </w:tcBorders>
            <w:shd w:val="clear" w:color="auto" w:fill="auto"/>
          </w:tcPr>
          <w:p w14:paraId="06C9DE5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0963ED4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shd w:val="clear" w:color="auto" w:fill="auto"/>
          </w:tcPr>
          <w:p w14:paraId="59917FD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DE197B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28748E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B04FA4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39020AE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 xml:space="preserve">Recently established subsidiary with a governance model still being defined; headquarters involvement less </w:t>
            </w:r>
            <w:proofErr w:type="spellStart"/>
            <w:r>
              <w:rPr>
                <w:sz w:val="13"/>
              </w:rPr>
              <w:t>formalised</w:t>
            </w:r>
            <w:proofErr w:type="spellEnd"/>
          </w:p>
        </w:tc>
      </w:tr>
      <w:tr w:rsidR="00145B26" w14:paraId="0500A1B0"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5F1A1F12" w14:textId="77777777" w:rsidR="00145B26" w:rsidRDefault="00000000">
            <w:r>
              <w:rPr>
                <w:sz w:val="13"/>
              </w:rPr>
              <w:t>E26</w:t>
            </w:r>
          </w:p>
        </w:tc>
        <w:tc>
          <w:tcPr>
            <w:tcW w:w="830" w:type="dxa"/>
            <w:tcBorders>
              <w:top w:val="none" w:sz="0" w:space="0" w:color="auto"/>
              <w:left w:val="none" w:sz="0" w:space="0" w:color="auto"/>
              <w:bottom w:val="none" w:sz="0" w:space="0" w:color="auto"/>
              <w:right w:val="none" w:sz="0" w:space="0" w:color="auto"/>
            </w:tcBorders>
          </w:tcPr>
          <w:p w14:paraId="0826E39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tcPr>
          <w:p w14:paraId="56F6AAF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500AAB8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tcPr>
          <w:p w14:paraId="4462A73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tcPr>
          <w:p w14:paraId="17B6C98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5A5DBE8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5963C26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PB</w:t>
            </w:r>
          </w:p>
        </w:tc>
        <w:tc>
          <w:tcPr>
            <w:tcW w:w="375" w:type="dxa"/>
            <w:tcBorders>
              <w:top w:val="none" w:sz="0" w:space="0" w:color="auto"/>
              <w:left w:val="none" w:sz="0" w:space="0" w:color="auto"/>
              <w:bottom w:val="none" w:sz="0" w:space="0" w:color="auto"/>
              <w:right w:val="none" w:sz="0" w:space="0" w:color="auto"/>
            </w:tcBorders>
          </w:tcPr>
          <w:p w14:paraId="6326809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72065D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0EFD76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C274C4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6AA63308"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 xml:space="preserve">Respondent noted that the local general manager did not </w:t>
            </w:r>
            <w:proofErr w:type="spellStart"/>
            <w:r>
              <w:rPr>
                <w:sz w:val="13"/>
              </w:rPr>
              <w:t>prioritise</w:t>
            </w:r>
            <w:proofErr w:type="spellEnd"/>
            <w:r>
              <w:rPr>
                <w:sz w:val="13"/>
              </w:rPr>
              <w:t xml:space="preserve"> expanding the scope of the purchasing function</w:t>
            </w:r>
          </w:p>
        </w:tc>
      </w:tr>
      <w:tr w:rsidR="00145B26" w14:paraId="651F5D62"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04478002" w14:textId="77777777" w:rsidR="00145B26" w:rsidRDefault="00000000">
            <w:r>
              <w:rPr>
                <w:sz w:val="13"/>
              </w:rPr>
              <w:t>E27</w:t>
            </w:r>
          </w:p>
        </w:tc>
        <w:tc>
          <w:tcPr>
            <w:tcW w:w="830" w:type="dxa"/>
            <w:tcBorders>
              <w:top w:val="none" w:sz="0" w:space="0" w:color="auto"/>
              <w:left w:val="none" w:sz="0" w:space="0" w:color="auto"/>
              <w:bottom w:val="none" w:sz="0" w:space="0" w:color="auto"/>
              <w:right w:val="none" w:sz="0" w:space="0" w:color="auto"/>
            </w:tcBorders>
            <w:shd w:val="clear" w:color="auto" w:fill="auto"/>
          </w:tcPr>
          <w:p w14:paraId="4606808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Metal</w:t>
            </w:r>
          </w:p>
        </w:tc>
        <w:tc>
          <w:tcPr>
            <w:tcW w:w="522" w:type="dxa"/>
            <w:tcBorders>
              <w:top w:val="none" w:sz="0" w:space="0" w:color="auto"/>
              <w:left w:val="none" w:sz="0" w:space="0" w:color="auto"/>
              <w:bottom w:val="none" w:sz="0" w:space="0" w:color="auto"/>
              <w:right w:val="none" w:sz="0" w:space="0" w:color="auto"/>
            </w:tcBorders>
            <w:shd w:val="clear" w:color="auto" w:fill="auto"/>
          </w:tcPr>
          <w:p w14:paraId="027C9C0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shd w:val="clear" w:color="auto" w:fill="auto"/>
          </w:tcPr>
          <w:p w14:paraId="017B4145"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70839D6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043B59A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Italy</w:t>
            </w:r>
          </w:p>
        </w:tc>
        <w:tc>
          <w:tcPr>
            <w:tcW w:w="310" w:type="dxa"/>
            <w:tcBorders>
              <w:top w:val="none" w:sz="0" w:space="0" w:color="auto"/>
              <w:left w:val="none" w:sz="0" w:space="0" w:color="auto"/>
              <w:bottom w:val="none" w:sz="0" w:space="0" w:color="auto"/>
              <w:right w:val="none" w:sz="0" w:space="0" w:color="auto"/>
            </w:tcBorders>
            <w:shd w:val="clear" w:color="auto" w:fill="auto"/>
          </w:tcPr>
          <w:p w14:paraId="73EA1FA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shd w:val="clear" w:color="auto" w:fill="auto"/>
          </w:tcPr>
          <w:p w14:paraId="77CDED7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shd w:val="clear" w:color="auto" w:fill="auto"/>
          </w:tcPr>
          <w:p w14:paraId="321AC78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864E71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202833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571E79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4DCDA42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described a less hierarchical relationship with headquarters compared to other firms in the sample</w:t>
            </w:r>
          </w:p>
        </w:tc>
      </w:tr>
      <w:tr w:rsidR="00145B26" w14:paraId="2AFF9DB5"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7F4E640C" w14:textId="77777777" w:rsidR="00145B26" w:rsidRDefault="00000000">
            <w:r>
              <w:rPr>
                <w:sz w:val="13"/>
              </w:rPr>
              <w:t>E28</w:t>
            </w:r>
          </w:p>
        </w:tc>
        <w:tc>
          <w:tcPr>
            <w:tcW w:w="830" w:type="dxa"/>
            <w:tcBorders>
              <w:top w:val="none" w:sz="0" w:space="0" w:color="auto"/>
              <w:left w:val="none" w:sz="0" w:space="0" w:color="auto"/>
              <w:bottom w:val="none" w:sz="0" w:space="0" w:color="auto"/>
              <w:right w:val="none" w:sz="0" w:space="0" w:color="auto"/>
            </w:tcBorders>
          </w:tcPr>
          <w:p w14:paraId="7D610C5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Batteries</w:t>
            </w:r>
          </w:p>
        </w:tc>
        <w:tc>
          <w:tcPr>
            <w:tcW w:w="522" w:type="dxa"/>
            <w:tcBorders>
              <w:top w:val="none" w:sz="0" w:space="0" w:color="auto"/>
              <w:left w:val="none" w:sz="0" w:space="0" w:color="auto"/>
              <w:bottom w:val="none" w:sz="0" w:space="0" w:color="auto"/>
              <w:right w:val="none" w:sz="0" w:space="0" w:color="auto"/>
            </w:tcBorders>
          </w:tcPr>
          <w:p w14:paraId="0F22E8F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49509F6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3500116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tcPr>
          <w:p w14:paraId="5EA968B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China</w:t>
            </w:r>
          </w:p>
        </w:tc>
        <w:tc>
          <w:tcPr>
            <w:tcW w:w="310" w:type="dxa"/>
            <w:tcBorders>
              <w:top w:val="none" w:sz="0" w:space="0" w:color="auto"/>
              <w:left w:val="none" w:sz="0" w:space="0" w:color="auto"/>
              <w:bottom w:val="none" w:sz="0" w:space="0" w:color="auto"/>
              <w:right w:val="none" w:sz="0" w:space="0" w:color="auto"/>
            </w:tcBorders>
          </w:tcPr>
          <w:p w14:paraId="2423712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7EB8A6E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tcPr>
          <w:p w14:paraId="0CE6EB0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1D3CEA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05ABA55A"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4F3288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1F6619F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 xml:space="preserve">Recent investment with a </w:t>
            </w:r>
            <w:proofErr w:type="spellStart"/>
            <w:r>
              <w:rPr>
                <w:sz w:val="13"/>
              </w:rPr>
              <w:t>centralised</w:t>
            </w:r>
            <w:proofErr w:type="spellEnd"/>
            <w:r>
              <w:rPr>
                <w:sz w:val="13"/>
              </w:rPr>
              <w:t xml:space="preserve"> governance approach still being adapted to the local context</w:t>
            </w:r>
          </w:p>
        </w:tc>
      </w:tr>
      <w:tr w:rsidR="00145B26" w14:paraId="0FEF0D09"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2B51F555" w14:textId="77777777" w:rsidR="00145B26" w:rsidRDefault="00000000">
            <w:r>
              <w:rPr>
                <w:sz w:val="13"/>
              </w:rPr>
              <w:t>E29</w:t>
            </w:r>
          </w:p>
        </w:tc>
        <w:tc>
          <w:tcPr>
            <w:tcW w:w="830" w:type="dxa"/>
            <w:tcBorders>
              <w:top w:val="none" w:sz="0" w:space="0" w:color="auto"/>
              <w:left w:val="none" w:sz="0" w:space="0" w:color="auto"/>
              <w:bottom w:val="none" w:sz="0" w:space="0" w:color="auto"/>
              <w:right w:val="none" w:sz="0" w:space="0" w:color="auto"/>
            </w:tcBorders>
            <w:shd w:val="clear" w:color="auto" w:fill="auto"/>
          </w:tcPr>
          <w:p w14:paraId="023D89C9"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Batteries</w:t>
            </w:r>
          </w:p>
        </w:tc>
        <w:tc>
          <w:tcPr>
            <w:tcW w:w="522" w:type="dxa"/>
            <w:tcBorders>
              <w:top w:val="none" w:sz="0" w:space="0" w:color="auto"/>
              <w:left w:val="none" w:sz="0" w:space="0" w:color="auto"/>
              <w:bottom w:val="none" w:sz="0" w:space="0" w:color="auto"/>
              <w:right w:val="none" w:sz="0" w:space="0" w:color="auto"/>
            </w:tcBorders>
            <w:shd w:val="clear" w:color="auto" w:fill="auto"/>
          </w:tcPr>
          <w:p w14:paraId="0DDB979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3C5294A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71EC37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023E319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Japan</w:t>
            </w:r>
          </w:p>
        </w:tc>
        <w:tc>
          <w:tcPr>
            <w:tcW w:w="310" w:type="dxa"/>
            <w:tcBorders>
              <w:top w:val="none" w:sz="0" w:space="0" w:color="auto"/>
              <w:left w:val="none" w:sz="0" w:space="0" w:color="auto"/>
              <w:bottom w:val="none" w:sz="0" w:space="0" w:color="auto"/>
              <w:right w:val="none" w:sz="0" w:space="0" w:color="auto"/>
            </w:tcBorders>
            <w:shd w:val="clear" w:color="auto" w:fill="auto"/>
          </w:tcPr>
          <w:p w14:paraId="2700EA3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6924EAB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shd w:val="clear" w:color="auto" w:fill="auto"/>
          </w:tcPr>
          <w:p w14:paraId="484E2116"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78582D5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69CF84F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92C0FF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0A6CEDE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reported that headquarters associated the Moroccan location with limited capabilities</w:t>
            </w:r>
          </w:p>
        </w:tc>
      </w:tr>
      <w:tr w:rsidR="00145B26" w14:paraId="06890AD4"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60D3D780" w14:textId="77777777" w:rsidR="00145B26" w:rsidRDefault="00000000">
            <w:r>
              <w:rPr>
                <w:sz w:val="13"/>
              </w:rPr>
              <w:t>E30</w:t>
            </w:r>
          </w:p>
        </w:tc>
        <w:tc>
          <w:tcPr>
            <w:tcW w:w="830" w:type="dxa"/>
            <w:tcBorders>
              <w:top w:val="none" w:sz="0" w:space="0" w:color="auto"/>
              <w:left w:val="none" w:sz="0" w:space="0" w:color="auto"/>
              <w:bottom w:val="none" w:sz="0" w:space="0" w:color="auto"/>
              <w:right w:val="none" w:sz="0" w:space="0" w:color="auto"/>
            </w:tcBorders>
          </w:tcPr>
          <w:p w14:paraId="39FF436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Batteries</w:t>
            </w:r>
          </w:p>
        </w:tc>
        <w:tc>
          <w:tcPr>
            <w:tcW w:w="522" w:type="dxa"/>
            <w:tcBorders>
              <w:top w:val="none" w:sz="0" w:space="0" w:color="auto"/>
              <w:left w:val="none" w:sz="0" w:space="0" w:color="auto"/>
              <w:bottom w:val="none" w:sz="0" w:space="0" w:color="auto"/>
              <w:right w:val="none" w:sz="0" w:space="0" w:color="auto"/>
            </w:tcBorders>
          </w:tcPr>
          <w:p w14:paraId="10C9DAE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tcPr>
          <w:p w14:paraId="2AE0906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tcPr>
          <w:p w14:paraId="040FFB1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74203BA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tcPr>
          <w:p w14:paraId="139D6C8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19586E0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tcPr>
          <w:p w14:paraId="7080C75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76D6B65"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BBDBA1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899BBC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5CC4D76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Small site operating under strict compliance requirements with group-level procedures</w:t>
            </w:r>
          </w:p>
        </w:tc>
      </w:tr>
      <w:tr w:rsidR="00145B26" w14:paraId="3FE46B96"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52710A28" w14:textId="77777777" w:rsidR="00145B26" w:rsidRDefault="00000000">
            <w:r>
              <w:rPr>
                <w:sz w:val="13"/>
              </w:rPr>
              <w:t>E31</w:t>
            </w:r>
          </w:p>
        </w:tc>
        <w:tc>
          <w:tcPr>
            <w:tcW w:w="830" w:type="dxa"/>
            <w:tcBorders>
              <w:top w:val="none" w:sz="0" w:space="0" w:color="auto"/>
              <w:left w:val="none" w:sz="0" w:space="0" w:color="auto"/>
              <w:bottom w:val="none" w:sz="0" w:space="0" w:color="auto"/>
              <w:right w:val="none" w:sz="0" w:space="0" w:color="auto"/>
            </w:tcBorders>
            <w:shd w:val="clear" w:color="auto" w:fill="auto"/>
          </w:tcPr>
          <w:p w14:paraId="559F81A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Batteries</w:t>
            </w:r>
          </w:p>
        </w:tc>
        <w:tc>
          <w:tcPr>
            <w:tcW w:w="522" w:type="dxa"/>
            <w:tcBorders>
              <w:top w:val="none" w:sz="0" w:space="0" w:color="auto"/>
              <w:left w:val="none" w:sz="0" w:space="0" w:color="auto"/>
              <w:bottom w:val="none" w:sz="0" w:space="0" w:color="auto"/>
              <w:right w:val="none" w:sz="0" w:space="0" w:color="auto"/>
            </w:tcBorders>
            <w:shd w:val="clear" w:color="auto" w:fill="auto"/>
          </w:tcPr>
          <w:p w14:paraId="633D33A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3DF2E3D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&lt;500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2A1C3B2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&lt;5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18150A0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shd w:val="clear" w:color="auto" w:fill="auto"/>
          </w:tcPr>
          <w:p w14:paraId="7A2F5CE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1</w:t>
            </w:r>
          </w:p>
        </w:tc>
        <w:tc>
          <w:tcPr>
            <w:tcW w:w="699" w:type="dxa"/>
            <w:tcBorders>
              <w:top w:val="none" w:sz="0" w:space="0" w:color="auto"/>
              <w:left w:val="none" w:sz="0" w:space="0" w:color="auto"/>
              <w:bottom w:val="none" w:sz="0" w:space="0" w:color="auto"/>
              <w:right w:val="none" w:sz="0" w:space="0" w:color="auto"/>
            </w:tcBorders>
            <w:shd w:val="clear" w:color="auto" w:fill="auto"/>
          </w:tcPr>
          <w:p w14:paraId="060AFA8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w:t>
            </w:r>
          </w:p>
        </w:tc>
        <w:tc>
          <w:tcPr>
            <w:tcW w:w="375" w:type="dxa"/>
            <w:tcBorders>
              <w:top w:val="none" w:sz="0" w:space="0" w:color="auto"/>
              <w:left w:val="none" w:sz="0" w:space="0" w:color="auto"/>
              <w:bottom w:val="none" w:sz="0" w:space="0" w:color="auto"/>
              <w:right w:val="none" w:sz="0" w:space="0" w:color="auto"/>
            </w:tcBorders>
            <w:shd w:val="clear" w:color="auto" w:fill="auto"/>
          </w:tcPr>
          <w:p w14:paraId="6E390DE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1DD6B44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0CFCB1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EAFC28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47C73260"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New subsidiary; respondent expressed frustration with a role scope that was entirely defined by headquarters</w:t>
            </w:r>
          </w:p>
        </w:tc>
      </w:tr>
      <w:tr w:rsidR="00145B26" w14:paraId="68853D46"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390023BF" w14:textId="77777777" w:rsidR="00145B26" w:rsidRDefault="00000000">
            <w:r>
              <w:rPr>
                <w:sz w:val="13"/>
              </w:rPr>
              <w:t>E32</w:t>
            </w:r>
          </w:p>
        </w:tc>
        <w:tc>
          <w:tcPr>
            <w:tcW w:w="830" w:type="dxa"/>
            <w:tcBorders>
              <w:top w:val="none" w:sz="0" w:space="0" w:color="auto"/>
              <w:left w:val="none" w:sz="0" w:space="0" w:color="auto"/>
              <w:bottom w:val="none" w:sz="0" w:space="0" w:color="auto"/>
              <w:right w:val="none" w:sz="0" w:space="0" w:color="auto"/>
            </w:tcBorders>
          </w:tcPr>
          <w:p w14:paraId="5568307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Powertrain</w:t>
            </w:r>
          </w:p>
        </w:tc>
        <w:tc>
          <w:tcPr>
            <w:tcW w:w="522" w:type="dxa"/>
            <w:tcBorders>
              <w:top w:val="none" w:sz="0" w:space="0" w:color="auto"/>
              <w:left w:val="none" w:sz="0" w:space="0" w:color="auto"/>
              <w:bottom w:val="none" w:sz="0" w:space="0" w:color="auto"/>
              <w:right w:val="none" w:sz="0" w:space="0" w:color="auto"/>
            </w:tcBorders>
          </w:tcPr>
          <w:p w14:paraId="1917925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38567A16"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tcPr>
          <w:p w14:paraId="68966D5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tcPr>
          <w:p w14:paraId="6DED8A27"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France</w:t>
            </w:r>
          </w:p>
        </w:tc>
        <w:tc>
          <w:tcPr>
            <w:tcW w:w="310" w:type="dxa"/>
            <w:tcBorders>
              <w:top w:val="none" w:sz="0" w:space="0" w:color="auto"/>
              <w:left w:val="none" w:sz="0" w:space="0" w:color="auto"/>
              <w:bottom w:val="none" w:sz="0" w:space="0" w:color="auto"/>
              <w:right w:val="none" w:sz="0" w:space="0" w:color="auto"/>
            </w:tcBorders>
          </w:tcPr>
          <w:p w14:paraId="4CD9FB6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618F1E7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SB</w:t>
            </w:r>
          </w:p>
        </w:tc>
        <w:tc>
          <w:tcPr>
            <w:tcW w:w="375" w:type="dxa"/>
            <w:tcBorders>
              <w:top w:val="none" w:sz="0" w:space="0" w:color="auto"/>
              <w:left w:val="none" w:sz="0" w:space="0" w:color="auto"/>
              <w:bottom w:val="none" w:sz="0" w:space="0" w:color="auto"/>
              <w:right w:val="none" w:sz="0" w:space="0" w:color="auto"/>
            </w:tcBorders>
          </w:tcPr>
          <w:p w14:paraId="4A8FEECE"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0EC9243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57E06A0"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ED10303"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136D7098" w14:textId="67A638F3" w:rsidR="00E81BD9" w:rsidRDefault="00000000" w:rsidP="00E81BD9">
            <w:pPr>
              <w:cnfStyle w:val="000000010000" w:firstRow="0" w:lastRow="0" w:firstColumn="0" w:lastColumn="0" w:oddVBand="0" w:evenVBand="0" w:oddHBand="0" w:evenHBand="1" w:firstRowFirstColumn="0" w:firstRowLastColumn="0" w:lastRowFirstColumn="0" w:lastRowLastColumn="0"/>
            </w:pPr>
            <w:r>
              <w:rPr>
                <w:sz w:val="13"/>
              </w:rPr>
              <w:t xml:space="preserve">Long-established subsidiary where </w:t>
            </w:r>
            <w:r w:rsidR="00E81BD9" w:rsidRPr="00E81BD9">
              <w:rPr>
                <w:sz w:val="13"/>
              </w:rPr>
              <w:t>respondents described persistent and recurring situations across different aspects of their work</w:t>
            </w:r>
          </w:p>
        </w:tc>
      </w:tr>
      <w:tr w:rsidR="00145B26" w14:paraId="2BE0B47B"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5A8CA043" w14:textId="77777777" w:rsidR="00145B26" w:rsidRDefault="00000000">
            <w:r>
              <w:rPr>
                <w:sz w:val="13"/>
              </w:rPr>
              <w:t>E33</w:t>
            </w:r>
          </w:p>
        </w:tc>
        <w:tc>
          <w:tcPr>
            <w:tcW w:w="830" w:type="dxa"/>
            <w:tcBorders>
              <w:top w:val="none" w:sz="0" w:space="0" w:color="auto"/>
              <w:left w:val="none" w:sz="0" w:space="0" w:color="auto"/>
              <w:bottom w:val="none" w:sz="0" w:space="0" w:color="auto"/>
              <w:right w:val="none" w:sz="0" w:space="0" w:color="auto"/>
            </w:tcBorders>
            <w:shd w:val="clear" w:color="auto" w:fill="auto"/>
          </w:tcPr>
          <w:p w14:paraId="5FED118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Powertrain</w:t>
            </w:r>
          </w:p>
        </w:tc>
        <w:tc>
          <w:tcPr>
            <w:tcW w:w="522" w:type="dxa"/>
            <w:tcBorders>
              <w:top w:val="none" w:sz="0" w:space="0" w:color="auto"/>
              <w:left w:val="none" w:sz="0" w:space="0" w:color="auto"/>
              <w:bottom w:val="none" w:sz="0" w:space="0" w:color="auto"/>
              <w:right w:val="none" w:sz="0" w:space="0" w:color="auto"/>
            </w:tcBorders>
            <w:shd w:val="clear" w:color="auto" w:fill="auto"/>
          </w:tcPr>
          <w:p w14:paraId="24C5D35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shd w:val="clear" w:color="auto" w:fill="auto"/>
          </w:tcPr>
          <w:p w14:paraId="544A6B8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60C049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5618F9E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shd w:val="clear" w:color="auto" w:fill="auto"/>
          </w:tcPr>
          <w:p w14:paraId="173920F1"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05B16C3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DB</w:t>
            </w:r>
          </w:p>
        </w:tc>
        <w:tc>
          <w:tcPr>
            <w:tcW w:w="375" w:type="dxa"/>
            <w:tcBorders>
              <w:top w:val="none" w:sz="0" w:space="0" w:color="auto"/>
              <w:left w:val="none" w:sz="0" w:space="0" w:color="auto"/>
              <w:bottom w:val="none" w:sz="0" w:space="0" w:color="auto"/>
              <w:right w:val="none" w:sz="0" w:space="0" w:color="auto"/>
            </w:tcBorders>
            <w:shd w:val="clear" w:color="auto" w:fill="auto"/>
          </w:tcPr>
          <w:p w14:paraId="0291F37F"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436FD5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3CA2DBC3"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4ED5A5CD"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75467AC4"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Respondent described actively trying to demonstrate value through concrete initiatives to gain recognition</w:t>
            </w:r>
          </w:p>
        </w:tc>
      </w:tr>
      <w:tr w:rsidR="00145B26" w14:paraId="166B9897"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cPr>
          <w:p w14:paraId="66788F26" w14:textId="77777777" w:rsidR="00145B26" w:rsidRDefault="00000000">
            <w:r>
              <w:rPr>
                <w:sz w:val="13"/>
              </w:rPr>
              <w:t>E34</w:t>
            </w:r>
          </w:p>
        </w:tc>
        <w:tc>
          <w:tcPr>
            <w:tcW w:w="830" w:type="dxa"/>
            <w:tcBorders>
              <w:top w:val="none" w:sz="0" w:space="0" w:color="auto"/>
              <w:left w:val="none" w:sz="0" w:space="0" w:color="auto"/>
              <w:bottom w:val="none" w:sz="0" w:space="0" w:color="auto"/>
              <w:right w:val="none" w:sz="0" w:space="0" w:color="auto"/>
            </w:tcBorders>
          </w:tcPr>
          <w:p w14:paraId="3A18950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Powertrain</w:t>
            </w:r>
          </w:p>
        </w:tc>
        <w:tc>
          <w:tcPr>
            <w:tcW w:w="522" w:type="dxa"/>
            <w:tcBorders>
              <w:top w:val="none" w:sz="0" w:space="0" w:color="auto"/>
              <w:left w:val="none" w:sz="0" w:space="0" w:color="auto"/>
              <w:bottom w:val="none" w:sz="0" w:space="0" w:color="auto"/>
              <w:right w:val="none" w:sz="0" w:space="0" w:color="auto"/>
            </w:tcBorders>
          </w:tcPr>
          <w:p w14:paraId="5C1ACAF2"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Tier 1</w:t>
            </w:r>
          </w:p>
        </w:tc>
        <w:tc>
          <w:tcPr>
            <w:tcW w:w="675" w:type="dxa"/>
            <w:tcBorders>
              <w:top w:val="none" w:sz="0" w:space="0" w:color="auto"/>
              <w:left w:val="none" w:sz="0" w:space="0" w:color="auto"/>
              <w:bottom w:val="none" w:sz="0" w:space="0" w:color="auto"/>
              <w:right w:val="none" w:sz="0" w:space="0" w:color="auto"/>
            </w:tcBorders>
          </w:tcPr>
          <w:p w14:paraId="0AE87ABD"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tcPr>
          <w:p w14:paraId="13B9497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5–10 years</w:t>
            </w:r>
          </w:p>
        </w:tc>
        <w:tc>
          <w:tcPr>
            <w:tcW w:w="757" w:type="dxa"/>
            <w:tcBorders>
              <w:top w:val="none" w:sz="0" w:space="0" w:color="auto"/>
              <w:left w:val="none" w:sz="0" w:space="0" w:color="auto"/>
              <w:bottom w:val="none" w:sz="0" w:space="0" w:color="auto"/>
              <w:right w:val="none" w:sz="0" w:space="0" w:color="auto"/>
            </w:tcBorders>
          </w:tcPr>
          <w:p w14:paraId="4643A1BC"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United States</w:t>
            </w:r>
          </w:p>
        </w:tc>
        <w:tc>
          <w:tcPr>
            <w:tcW w:w="310" w:type="dxa"/>
            <w:tcBorders>
              <w:top w:val="none" w:sz="0" w:space="0" w:color="auto"/>
              <w:left w:val="none" w:sz="0" w:space="0" w:color="auto"/>
              <w:bottom w:val="none" w:sz="0" w:space="0" w:color="auto"/>
              <w:right w:val="none" w:sz="0" w:space="0" w:color="auto"/>
            </w:tcBorders>
          </w:tcPr>
          <w:p w14:paraId="2BA084C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tcPr>
          <w:p w14:paraId="4812E48B"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PM, PB</w:t>
            </w:r>
          </w:p>
        </w:tc>
        <w:tc>
          <w:tcPr>
            <w:tcW w:w="375" w:type="dxa"/>
            <w:tcBorders>
              <w:top w:val="none" w:sz="0" w:space="0" w:color="auto"/>
              <w:left w:val="none" w:sz="0" w:space="0" w:color="auto"/>
              <w:bottom w:val="none" w:sz="0" w:space="0" w:color="auto"/>
              <w:right w:val="none" w:sz="0" w:space="0" w:color="auto"/>
            </w:tcBorders>
          </w:tcPr>
          <w:p w14:paraId="17D673F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192B07B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22D4F564"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tcPr>
          <w:p w14:paraId="5ED6D059"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tcPr>
          <w:p w14:paraId="7203CA0F" w14:textId="77777777" w:rsidR="00145B26" w:rsidRDefault="00000000">
            <w:pPr>
              <w:cnfStyle w:val="000000010000" w:firstRow="0" w:lastRow="0" w:firstColumn="0" w:lastColumn="0" w:oddVBand="0" w:evenVBand="0" w:oddHBand="0" w:evenHBand="1" w:firstRowFirstColumn="0" w:firstRowLastColumn="0" w:lastRowFirstColumn="0" w:lastRowLastColumn="0"/>
            </w:pPr>
            <w:r>
              <w:rPr>
                <w:sz w:val="13"/>
              </w:rPr>
              <w:t>Project buyer reported being brought into projects only at an advanced stage, after key decisions were made</w:t>
            </w:r>
          </w:p>
        </w:tc>
      </w:tr>
      <w:tr w:rsidR="00145B26" w14:paraId="052B1051"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shd w:val="clear" w:color="auto" w:fill="auto"/>
          </w:tcPr>
          <w:p w14:paraId="38C98524" w14:textId="77777777" w:rsidR="00145B26" w:rsidRDefault="00000000">
            <w:r>
              <w:rPr>
                <w:sz w:val="13"/>
              </w:rPr>
              <w:t>E35</w:t>
            </w:r>
          </w:p>
        </w:tc>
        <w:tc>
          <w:tcPr>
            <w:tcW w:w="830" w:type="dxa"/>
            <w:tcBorders>
              <w:top w:val="none" w:sz="0" w:space="0" w:color="auto"/>
              <w:left w:val="none" w:sz="0" w:space="0" w:color="auto"/>
              <w:bottom w:val="none" w:sz="0" w:space="0" w:color="auto"/>
              <w:right w:val="none" w:sz="0" w:space="0" w:color="auto"/>
            </w:tcBorders>
            <w:shd w:val="clear" w:color="auto" w:fill="auto"/>
          </w:tcPr>
          <w:p w14:paraId="260576F8"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Powertrain</w:t>
            </w:r>
          </w:p>
        </w:tc>
        <w:tc>
          <w:tcPr>
            <w:tcW w:w="522" w:type="dxa"/>
            <w:tcBorders>
              <w:top w:val="none" w:sz="0" w:space="0" w:color="auto"/>
              <w:left w:val="none" w:sz="0" w:space="0" w:color="auto"/>
              <w:bottom w:val="none" w:sz="0" w:space="0" w:color="auto"/>
              <w:right w:val="none" w:sz="0" w:space="0" w:color="auto"/>
            </w:tcBorders>
            <w:shd w:val="clear" w:color="auto" w:fill="auto"/>
          </w:tcPr>
          <w:p w14:paraId="3AB1C71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Tier 2</w:t>
            </w:r>
          </w:p>
        </w:tc>
        <w:tc>
          <w:tcPr>
            <w:tcW w:w="675" w:type="dxa"/>
            <w:tcBorders>
              <w:top w:val="none" w:sz="0" w:space="0" w:color="auto"/>
              <w:left w:val="none" w:sz="0" w:space="0" w:color="auto"/>
              <w:bottom w:val="none" w:sz="0" w:space="0" w:color="auto"/>
              <w:right w:val="none" w:sz="0" w:space="0" w:color="auto"/>
            </w:tcBorders>
            <w:shd w:val="clear" w:color="auto" w:fill="auto"/>
          </w:tcPr>
          <w:p w14:paraId="51304DC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500–1,500</w:t>
            </w:r>
          </w:p>
        </w:tc>
        <w:tc>
          <w:tcPr>
            <w:tcW w:w="639" w:type="dxa"/>
            <w:tcBorders>
              <w:top w:val="none" w:sz="0" w:space="0" w:color="auto"/>
              <w:left w:val="none" w:sz="0" w:space="0" w:color="auto"/>
              <w:bottom w:val="none" w:sz="0" w:space="0" w:color="auto"/>
              <w:right w:val="none" w:sz="0" w:space="0" w:color="auto"/>
            </w:tcBorders>
            <w:shd w:val="clear" w:color="auto" w:fill="auto"/>
          </w:tcPr>
          <w:p w14:paraId="45254FA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&gt;10 years</w:t>
            </w:r>
          </w:p>
        </w:tc>
        <w:tc>
          <w:tcPr>
            <w:tcW w:w="757" w:type="dxa"/>
            <w:tcBorders>
              <w:top w:val="none" w:sz="0" w:space="0" w:color="auto"/>
              <w:left w:val="none" w:sz="0" w:space="0" w:color="auto"/>
              <w:bottom w:val="none" w:sz="0" w:space="0" w:color="auto"/>
              <w:right w:val="none" w:sz="0" w:space="0" w:color="auto"/>
            </w:tcBorders>
            <w:shd w:val="clear" w:color="auto" w:fill="auto"/>
          </w:tcPr>
          <w:p w14:paraId="436E34A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Germany</w:t>
            </w:r>
          </w:p>
        </w:tc>
        <w:tc>
          <w:tcPr>
            <w:tcW w:w="310" w:type="dxa"/>
            <w:tcBorders>
              <w:top w:val="none" w:sz="0" w:space="0" w:color="auto"/>
              <w:left w:val="none" w:sz="0" w:space="0" w:color="auto"/>
              <w:bottom w:val="none" w:sz="0" w:space="0" w:color="auto"/>
              <w:right w:val="none" w:sz="0" w:space="0" w:color="auto"/>
            </w:tcBorders>
            <w:shd w:val="clear" w:color="auto" w:fill="auto"/>
          </w:tcPr>
          <w:p w14:paraId="75E7BDB7"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2</w:t>
            </w:r>
          </w:p>
        </w:tc>
        <w:tc>
          <w:tcPr>
            <w:tcW w:w="699" w:type="dxa"/>
            <w:tcBorders>
              <w:top w:val="none" w:sz="0" w:space="0" w:color="auto"/>
              <w:left w:val="none" w:sz="0" w:space="0" w:color="auto"/>
              <w:bottom w:val="none" w:sz="0" w:space="0" w:color="auto"/>
              <w:right w:val="none" w:sz="0" w:space="0" w:color="auto"/>
            </w:tcBorders>
            <w:shd w:val="clear" w:color="auto" w:fill="auto"/>
          </w:tcPr>
          <w:p w14:paraId="566612C2"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PM, IB</w:t>
            </w:r>
          </w:p>
        </w:tc>
        <w:tc>
          <w:tcPr>
            <w:tcW w:w="375" w:type="dxa"/>
            <w:tcBorders>
              <w:top w:val="none" w:sz="0" w:space="0" w:color="auto"/>
              <w:left w:val="none" w:sz="0" w:space="0" w:color="auto"/>
              <w:bottom w:val="none" w:sz="0" w:space="0" w:color="auto"/>
              <w:right w:val="none" w:sz="0" w:space="0" w:color="auto"/>
            </w:tcBorders>
            <w:shd w:val="clear" w:color="auto" w:fill="auto"/>
          </w:tcPr>
          <w:p w14:paraId="24EA914B"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5D4A48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59B9281C"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375" w:type="dxa"/>
            <w:tcBorders>
              <w:top w:val="none" w:sz="0" w:space="0" w:color="auto"/>
              <w:left w:val="none" w:sz="0" w:space="0" w:color="auto"/>
              <w:bottom w:val="none" w:sz="0" w:space="0" w:color="auto"/>
              <w:right w:val="none" w:sz="0" w:space="0" w:color="auto"/>
            </w:tcBorders>
            <w:shd w:val="clear" w:color="auto" w:fill="auto"/>
          </w:tcPr>
          <w:p w14:paraId="2F449C2E"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w:t>
            </w:r>
          </w:p>
        </w:tc>
        <w:tc>
          <w:tcPr>
            <w:tcW w:w="2182" w:type="dxa"/>
            <w:tcBorders>
              <w:top w:val="none" w:sz="0" w:space="0" w:color="auto"/>
              <w:left w:val="none" w:sz="0" w:space="0" w:color="auto"/>
              <w:bottom w:val="none" w:sz="0" w:space="0" w:color="auto"/>
              <w:right w:val="none" w:sz="0" w:space="0" w:color="auto"/>
            </w:tcBorders>
            <w:shd w:val="clear" w:color="auto" w:fill="auto"/>
          </w:tcPr>
          <w:p w14:paraId="76285AAA" w14:textId="77777777" w:rsidR="00145B26" w:rsidRDefault="00000000">
            <w:pPr>
              <w:cnfStyle w:val="000000100000" w:firstRow="0" w:lastRow="0" w:firstColumn="0" w:lastColumn="0" w:oddVBand="0" w:evenVBand="0" w:oddHBand="1" w:evenHBand="0" w:firstRowFirstColumn="0" w:firstRowLastColumn="0" w:lastRowFirstColumn="0" w:lastRowLastColumn="0"/>
            </w:pPr>
            <w:r>
              <w:rPr>
                <w:sz w:val="13"/>
              </w:rPr>
              <w:t>Indirect buyer described having formal responsibilities that did not translate into actual decision-making authority</w:t>
            </w:r>
          </w:p>
        </w:tc>
      </w:tr>
    </w:tbl>
    <w:p w14:paraId="601D9DE9" w14:textId="77777777" w:rsidR="00145B26" w:rsidRDefault="00145B26"/>
    <w:p w14:paraId="6B3FCD1B" w14:textId="77777777" w:rsidR="00145B26" w:rsidRPr="00033519" w:rsidRDefault="00000000">
      <w:pPr>
        <w:pStyle w:val="Titre1"/>
        <w:rPr>
          <w:sz w:val="24"/>
          <w:szCs w:val="24"/>
        </w:rPr>
      </w:pPr>
      <w:r w:rsidRPr="00033519">
        <w:rPr>
          <w:rFonts w:ascii="Times New Roman" w:hAnsi="Times New Roman"/>
          <w:color w:val="000000"/>
          <w:sz w:val="24"/>
          <w:szCs w:val="24"/>
        </w:rPr>
        <w:lastRenderedPageBreak/>
        <w:t>4. Summary of Dimension Salience</w:t>
      </w:r>
    </w:p>
    <w:p w14:paraId="09AC805E" w14:textId="77777777" w:rsidR="00145B26" w:rsidRPr="00033519" w:rsidRDefault="00000000">
      <w:pPr>
        <w:rPr>
          <w:sz w:val="24"/>
          <w:szCs w:val="24"/>
        </w:rPr>
      </w:pPr>
      <w:r w:rsidRPr="00033519">
        <w:rPr>
          <w:b/>
          <w:sz w:val="24"/>
          <w:szCs w:val="24"/>
        </w:rPr>
        <w:t>Table B. Salience of analytical dimensions across the sample (N=35)</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157"/>
        <w:gridCol w:w="2157"/>
        <w:gridCol w:w="2158"/>
      </w:tblGrid>
      <w:tr w:rsidR="00145B26" w14:paraId="2CA7EFF4"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tcPr>
          <w:p w14:paraId="39C55DDB" w14:textId="77777777" w:rsidR="00145B26" w:rsidRDefault="00000000" w:rsidP="00033519">
            <w:pPr>
              <w:jc w:val="center"/>
            </w:pPr>
            <w:r>
              <w:rPr>
                <w:sz w:val="18"/>
              </w:rPr>
              <w:t>Dimension</w:t>
            </w:r>
          </w:p>
        </w:tc>
        <w:tc>
          <w:tcPr>
            <w:tcW w:w="2160" w:type="dxa"/>
            <w:tcBorders>
              <w:top w:val="none" w:sz="0" w:space="0" w:color="auto"/>
              <w:left w:val="none" w:sz="0" w:space="0" w:color="auto"/>
              <w:bottom w:val="none" w:sz="0" w:space="0" w:color="auto"/>
              <w:right w:val="none" w:sz="0" w:space="0" w:color="auto"/>
            </w:tcBorders>
          </w:tcPr>
          <w:p w14:paraId="63AE6DE1"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High (●)</w:t>
            </w:r>
          </w:p>
        </w:tc>
        <w:tc>
          <w:tcPr>
            <w:tcW w:w="2160" w:type="dxa"/>
            <w:tcBorders>
              <w:top w:val="none" w:sz="0" w:space="0" w:color="auto"/>
              <w:left w:val="none" w:sz="0" w:space="0" w:color="auto"/>
              <w:bottom w:val="none" w:sz="0" w:space="0" w:color="auto"/>
              <w:right w:val="none" w:sz="0" w:space="0" w:color="auto"/>
            </w:tcBorders>
          </w:tcPr>
          <w:p w14:paraId="35BA29FB"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Moderate (◐)</w:t>
            </w:r>
          </w:p>
        </w:tc>
        <w:tc>
          <w:tcPr>
            <w:tcW w:w="2160" w:type="dxa"/>
            <w:tcBorders>
              <w:top w:val="none" w:sz="0" w:space="0" w:color="auto"/>
              <w:left w:val="none" w:sz="0" w:space="0" w:color="auto"/>
              <w:bottom w:val="none" w:sz="0" w:space="0" w:color="auto"/>
              <w:right w:val="none" w:sz="0" w:space="0" w:color="auto"/>
            </w:tcBorders>
          </w:tcPr>
          <w:p w14:paraId="41E94279"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Low/Absent (○)</w:t>
            </w:r>
          </w:p>
        </w:tc>
      </w:tr>
      <w:tr w:rsidR="00145B26" w14:paraId="5ADBF029"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auto"/>
          </w:tcPr>
          <w:p w14:paraId="41AD2EDE" w14:textId="77777777" w:rsidR="00145B26" w:rsidRDefault="00000000" w:rsidP="00033519">
            <w:pPr>
              <w:jc w:val="center"/>
            </w:pPr>
            <w:r>
              <w:rPr>
                <w:sz w:val="18"/>
              </w:rPr>
              <w:t>D1: Decision-right asymmetries</w:t>
            </w:r>
          </w:p>
        </w:tc>
        <w:tc>
          <w:tcPr>
            <w:tcW w:w="2160" w:type="dxa"/>
            <w:tcBorders>
              <w:top w:val="none" w:sz="0" w:space="0" w:color="auto"/>
              <w:left w:val="none" w:sz="0" w:space="0" w:color="auto"/>
              <w:bottom w:val="none" w:sz="0" w:space="0" w:color="auto"/>
              <w:right w:val="none" w:sz="0" w:space="0" w:color="auto"/>
            </w:tcBorders>
            <w:shd w:val="clear" w:color="auto" w:fill="auto"/>
          </w:tcPr>
          <w:p w14:paraId="2BEBE293"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25</w:t>
            </w:r>
          </w:p>
        </w:tc>
        <w:tc>
          <w:tcPr>
            <w:tcW w:w="2160" w:type="dxa"/>
            <w:tcBorders>
              <w:top w:val="none" w:sz="0" w:space="0" w:color="auto"/>
              <w:left w:val="none" w:sz="0" w:space="0" w:color="auto"/>
              <w:bottom w:val="none" w:sz="0" w:space="0" w:color="auto"/>
              <w:right w:val="none" w:sz="0" w:space="0" w:color="auto"/>
            </w:tcBorders>
            <w:shd w:val="clear" w:color="auto" w:fill="auto"/>
          </w:tcPr>
          <w:p w14:paraId="135FF8C6"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8</w:t>
            </w:r>
          </w:p>
        </w:tc>
        <w:tc>
          <w:tcPr>
            <w:tcW w:w="2160" w:type="dxa"/>
            <w:tcBorders>
              <w:top w:val="none" w:sz="0" w:space="0" w:color="auto"/>
              <w:left w:val="none" w:sz="0" w:space="0" w:color="auto"/>
              <w:bottom w:val="none" w:sz="0" w:space="0" w:color="auto"/>
              <w:right w:val="none" w:sz="0" w:space="0" w:color="auto"/>
            </w:tcBorders>
            <w:shd w:val="clear" w:color="auto" w:fill="auto"/>
          </w:tcPr>
          <w:p w14:paraId="63D76F76"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w:t>
            </w:r>
          </w:p>
        </w:tc>
      </w:tr>
      <w:tr w:rsidR="00145B26" w14:paraId="6F52A107"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tcPr>
          <w:p w14:paraId="42993D1F" w14:textId="77777777" w:rsidR="00145B26" w:rsidRDefault="00000000" w:rsidP="00033519">
            <w:pPr>
              <w:jc w:val="center"/>
            </w:pPr>
            <w:r>
              <w:rPr>
                <w:sz w:val="18"/>
              </w:rPr>
              <w:t xml:space="preserve">D2: Categorical </w:t>
            </w:r>
            <w:proofErr w:type="spellStart"/>
            <w:r>
              <w:rPr>
                <w:sz w:val="18"/>
              </w:rPr>
              <w:t>delegitimation</w:t>
            </w:r>
            <w:proofErr w:type="spellEnd"/>
          </w:p>
        </w:tc>
        <w:tc>
          <w:tcPr>
            <w:tcW w:w="2160" w:type="dxa"/>
            <w:tcBorders>
              <w:top w:val="none" w:sz="0" w:space="0" w:color="auto"/>
              <w:left w:val="none" w:sz="0" w:space="0" w:color="auto"/>
              <w:bottom w:val="none" w:sz="0" w:space="0" w:color="auto"/>
              <w:right w:val="none" w:sz="0" w:space="0" w:color="auto"/>
            </w:tcBorders>
          </w:tcPr>
          <w:p w14:paraId="0BCA9B24"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16</w:t>
            </w:r>
          </w:p>
        </w:tc>
        <w:tc>
          <w:tcPr>
            <w:tcW w:w="2160" w:type="dxa"/>
            <w:tcBorders>
              <w:top w:val="none" w:sz="0" w:space="0" w:color="auto"/>
              <w:left w:val="none" w:sz="0" w:space="0" w:color="auto"/>
              <w:bottom w:val="none" w:sz="0" w:space="0" w:color="auto"/>
              <w:right w:val="none" w:sz="0" w:space="0" w:color="auto"/>
            </w:tcBorders>
          </w:tcPr>
          <w:p w14:paraId="76AE757D"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16</w:t>
            </w:r>
          </w:p>
        </w:tc>
        <w:tc>
          <w:tcPr>
            <w:tcW w:w="2160" w:type="dxa"/>
            <w:tcBorders>
              <w:top w:val="none" w:sz="0" w:space="0" w:color="auto"/>
              <w:left w:val="none" w:sz="0" w:space="0" w:color="auto"/>
              <w:bottom w:val="none" w:sz="0" w:space="0" w:color="auto"/>
              <w:right w:val="none" w:sz="0" w:space="0" w:color="auto"/>
            </w:tcBorders>
          </w:tcPr>
          <w:p w14:paraId="1DDE2C35"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3</w:t>
            </w:r>
          </w:p>
        </w:tc>
      </w:tr>
      <w:tr w:rsidR="00145B26" w14:paraId="7D2FC227"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shd w:val="clear" w:color="auto" w:fill="auto"/>
          </w:tcPr>
          <w:p w14:paraId="4FF87716" w14:textId="77777777" w:rsidR="00145B26" w:rsidRDefault="00000000" w:rsidP="00033519">
            <w:pPr>
              <w:jc w:val="center"/>
            </w:pPr>
            <w:r>
              <w:rPr>
                <w:sz w:val="18"/>
              </w:rPr>
              <w:t>D3: Metric invisibility</w:t>
            </w:r>
          </w:p>
        </w:tc>
        <w:tc>
          <w:tcPr>
            <w:tcW w:w="2160" w:type="dxa"/>
            <w:tcBorders>
              <w:top w:val="none" w:sz="0" w:space="0" w:color="auto"/>
              <w:left w:val="none" w:sz="0" w:space="0" w:color="auto"/>
              <w:bottom w:val="none" w:sz="0" w:space="0" w:color="auto"/>
              <w:right w:val="none" w:sz="0" w:space="0" w:color="auto"/>
            </w:tcBorders>
            <w:shd w:val="clear" w:color="auto" w:fill="auto"/>
          </w:tcPr>
          <w:p w14:paraId="09FD766A"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21</w:t>
            </w:r>
          </w:p>
        </w:tc>
        <w:tc>
          <w:tcPr>
            <w:tcW w:w="2160" w:type="dxa"/>
            <w:tcBorders>
              <w:top w:val="none" w:sz="0" w:space="0" w:color="auto"/>
              <w:left w:val="none" w:sz="0" w:space="0" w:color="auto"/>
              <w:bottom w:val="none" w:sz="0" w:space="0" w:color="auto"/>
              <w:right w:val="none" w:sz="0" w:space="0" w:color="auto"/>
            </w:tcBorders>
            <w:shd w:val="clear" w:color="auto" w:fill="auto"/>
          </w:tcPr>
          <w:p w14:paraId="5BB477CE"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13</w:t>
            </w:r>
          </w:p>
        </w:tc>
        <w:tc>
          <w:tcPr>
            <w:tcW w:w="2160" w:type="dxa"/>
            <w:tcBorders>
              <w:top w:val="none" w:sz="0" w:space="0" w:color="auto"/>
              <w:left w:val="none" w:sz="0" w:space="0" w:color="auto"/>
              <w:bottom w:val="none" w:sz="0" w:space="0" w:color="auto"/>
              <w:right w:val="none" w:sz="0" w:space="0" w:color="auto"/>
            </w:tcBorders>
            <w:shd w:val="clear" w:color="auto" w:fill="auto"/>
          </w:tcPr>
          <w:p w14:paraId="3564F5A0"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w:t>
            </w:r>
          </w:p>
        </w:tc>
      </w:tr>
      <w:tr w:rsidR="00145B26" w14:paraId="60F4385B"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tcBorders>
              <w:top w:val="none" w:sz="0" w:space="0" w:color="auto"/>
              <w:left w:val="none" w:sz="0" w:space="0" w:color="auto"/>
              <w:bottom w:val="none" w:sz="0" w:space="0" w:color="auto"/>
              <w:right w:val="none" w:sz="0" w:space="0" w:color="auto"/>
            </w:tcBorders>
          </w:tcPr>
          <w:p w14:paraId="2C3859DD" w14:textId="77777777" w:rsidR="00145B26" w:rsidRDefault="00000000" w:rsidP="00033519">
            <w:pPr>
              <w:jc w:val="center"/>
            </w:pPr>
            <w:r>
              <w:rPr>
                <w:sz w:val="18"/>
              </w:rPr>
              <w:t xml:space="preserve">D4: </w:t>
            </w:r>
            <w:proofErr w:type="spellStart"/>
            <w:r>
              <w:rPr>
                <w:sz w:val="18"/>
              </w:rPr>
              <w:t>Organisational</w:t>
            </w:r>
            <w:proofErr w:type="spellEnd"/>
            <w:r>
              <w:rPr>
                <w:sz w:val="18"/>
              </w:rPr>
              <w:t xml:space="preserve"> reproduction</w:t>
            </w:r>
          </w:p>
        </w:tc>
        <w:tc>
          <w:tcPr>
            <w:tcW w:w="2160" w:type="dxa"/>
            <w:tcBorders>
              <w:top w:val="none" w:sz="0" w:space="0" w:color="auto"/>
              <w:left w:val="none" w:sz="0" w:space="0" w:color="auto"/>
              <w:bottom w:val="none" w:sz="0" w:space="0" w:color="auto"/>
              <w:right w:val="none" w:sz="0" w:space="0" w:color="auto"/>
            </w:tcBorders>
          </w:tcPr>
          <w:p w14:paraId="08DC4B54"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15</w:t>
            </w:r>
          </w:p>
        </w:tc>
        <w:tc>
          <w:tcPr>
            <w:tcW w:w="2160" w:type="dxa"/>
            <w:tcBorders>
              <w:top w:val="none" w:sz="0" w:space="0" w:color="auto"/>
              <w:left w:val="none" w:sz="0" w:space="0" w:color="auto"/>
              <w:bottom w:val="none" w:sz="0" w:space="0" w:color="auto"/>
              <w:right w:val="none" w:sz="0" w:space="0" w:color="auto"/>
            </w:tcBorders>
          </w:tcPr>
          <w:p w14:paraId="06429968"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15</w:t>
            </w:r>
          </w:p>
        </w:tc>
        <w:tc>
          <w:tcPr>
            <w:tcW w:w="2160" w:type="dxa"/>
            <w:tcBorders>
              <w:top w:val="none" w:sz="0" w:space="0" w:color="auto"/>
              <w:left w:val="none" w:sz="0" w:space="0" w:color="auto"/>
              <w:bottom w:val="none" w:sz="0" w:space="0" w:color="auto"/>
              <w:right w:val="none" w:sz="0" w:space="0" w:color="auto"/>
            </w:tcBorders>
          </w:tcPr>
          <w:p w14:paraId="4403CD9F"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5</w:t>
            </w:r>
          </w:p>
        </w:tc>
      </w:tr>
    </w:tbl>
    <w:p w14:paraId="1C1C95E1" w14:textId="77777777" w:rsidR="00145B26" w:rsidRPr="00033519" w:rsidRDefault="00000000">
      <w:pPr>
        <w:pStyle w:val="Titre1"/>
        <w:rPr>
          <w:sz w:val="24"/>
          <w:szCs w:val="24"/>
        </w:rPr>
      </w:pPr>
      <w:r w:rsidRPr="00033519">
        <w:rPr>
          <w:rFonts w:ascii="Times New Roman" w:hAnsi="Times New Roman"/>
          <w:color w:val="000000"/>
          <w:sz w:val="24"/>
          <w:szCs w:val="24"/>
        </w:rPr>
        <w:t>5. Cross-Tabulation of Salience by Sample Characteristics</w:t>
      </w:r>
    </w:p>
    <w:p w14:paraId="0FAE8CAB" w14:textId="3683E302" w:rsidR="00145B26" w:rsidRPr="00033519" w:rsidRDefault="00000000" w:rsidP="00033519">
      <w:pPr>
        <w:jc w:val="both"/>
        <w:rPr>
          <w:sz w:val="24"/>
          <w:szCs w:val="24"/>
        </w:rPr>
      </w:pPr>
      <w:r w:rsidRPr="00033519">
        <w:rPr>
          <w:sz w:val="24"/>
          <w:szCs w:val="24"/>
        </w:rPr>
        <w:t xml:space="preserve">This section presents the distribution of high-salience ratings across key sample characteristics to identify potential patterns. These cross-tabulations are presented for descriptive purposes only and do not imply statistical </w:t>
      </w:r>
      <w:proofErr w:type="spellStart"/>
      <w:r w:rsidRPr="00033519">
        <w:rPr>
          <w:sz w:val="24"/>
          <w:szCs w:val="24"/>
        </w:rPr>
        <w:t>generalisation</w:t>
      </w:r>
      <w:proofErr w:type="spellEnd"/>
      <w:r w:rsidRPr="00033519">
        <w:rPr>
          <w:sz w:val="24"/>
          <w:szCs w:val="24"/>
        </w:rPr>
        <w:t>. Given the qualitative nature of the study and the limited number of cases in each sub-category, these figures should be interpreted as indicative rather than definitive.</w:t>
      </w:r>
      <w:r w:rsidR="00E81BD9" w:rsidRPr="00033519">
        <w:rPr>
          <w:sz w:val="24"/>
          <w:szCs w:val="24"/>
        </w:rPr>
        <w:t xml:space="preserve"> These descriptive comparisons are intended to support analytical interpretation rather than to establish causal relationships.</w:t>
      </w:r>
    </w:p>
    <w:p w14:paraId="4914BA67" w14:textId="77777777" w:rsidR="00145B26" w:rsidRPr="00033519" w:rsidRDefault="00000000">
      <w:pPr>
        <w:rPr>
          <w:sz w:val="24"/>
          <w:szCs w:val="24"/>
        </w:rPr>
      </w:pPr>
      <w:r w:rsidRPr="00033519">
        <w:rPr>
          <w:b/>
          <w:sz w:val="24"/>
          <w:szCs w:val="24"/>
        </w:rPr>
        <w:t>Table C. Proportion of high-salience cases by tier level</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726"/>
        <w:gridCol w:w="1726"/>
        <w:gridCol w:w="1726"/>
        <w:gridCol w:w="1726"/>
      </w:tblGrid>
      <w:tr w:rsidR="00145B26" w14:paraId="0B6BBDCE"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tcPr>
          <w:p w14:paraId="3B3FD1E4" w14:textId="77777777" w:rsidR="00145B26" w:rsidRDefault="00000000" w:rsidP="00033519">
            <w:pPr>
              <w:jc w:val="center"/>
            </w:pPr>
            <w:r>
              <w:rPr>
                <w:sz w:val="18"/>
              </w:rPr>
              <w:t>Tier level</w:t>
            </w:r>
          </w:p>
        </w:tc>
        <w:tc>
          <w:tcPr>
            <w:tcW w:w="1728" w:type="dxa"/>
            <w:tcBorders>
              <w:top w:val="none" w:sz="0" w:space="0" w:color="auto"/>
              <w:left w:val="none" w:sz="0" w:space="0" w:color="auto"/>
              <w:bottom w:val="none" w:sz="0" w:space="0" w:color="auto"/>
              <w:right w:val="none" w:sz="0" w:space="0" w:color="auto"/>
            </w:tcBorders>
          </w:tcPr>
          <w:p w14:paraId="1A63F4D1"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D1 High %</w:t>
            </w:r>
          </w:p>
        </w:tc>
        <w:tc>
          <w:tcPr>
            <w:tcW w:w="1728" w:type="dxa"/>
            <w:tcBorders>
              <w:top w:val="none" w:sz="0" w:space="0" w:color="auto"/>
              <w:left w:val="none" w:sz="0" w:space="0" w:color="auto"/>
              <w:bottom w:val="none" w:sz="0" w:space="0" w:color="auto"/>
              <w:right w:val="none" w:sz="0" w:space="0" w:color="auto"/>
            </w:tcBorders>
          </w:tcPr>
          <w:p w14:paraId="07B3B95D"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D2 High %</w:t>
            </w:r>
          </w:p>
        </w:tc>
        <w:tc>
          <w:tcPr>
            <w:tcW w:w="1728" w:type="dxa"/>
            <w:tcBorders>
              <w:top w:val="none" w:sz="0" w:space="0" w:color="auto"/>
              <w:left w:val="none" w:sz="0" w:space="0" w:color="auto"/>
              <w:bottom w:val="none" w:sz="0" w:space="0" w:color="auto"/>
              <w:right w:val="none" w:sz="0" w:space="0" w:color="auto"/>
            </w:tcBorders>
          </w:tcPr>
          <w:p w14:paraId="14DAEA8C"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D3 High %</w:t>
            </w:r>
          </w:p>
        </w:tc>
        <w:tc>
          <w:tcPr>
            <w:tcW w:w="1728" w:type="dxa"/>
            <w:tcBorders>
              <w:top w:val="none" w:sz="0" w:space="0" w:color="auto"/>
              <w:left w:val="none" w:sz="0" w:space="0" w:color="auto"/>
              <w:bottom w:val="none" w:sz="0" w:space="0" w:color="auto"/>
              <w:right w:val="none" w:sz="0" w:space="0" w:color="auto"/>
            </w:tcBorders>
          </w:tcPr>
          <w:p w14:paraId="2D64B475"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D4 High %</w:t>
            </w:r>
          </w:p>
        </w:tc>
      </w:tr>
      <w:tr w:rsidR="00145B26" w14:paraId="13882904"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shd w:val="clear" w:color="auto" w:fill="auto"/>
          </w:tcPr>
          <w:p w14:paraId="3F5D3E62" w14:textId="77777777" w:rsidR="00145B26" w:rsidRDefault="00000000" w:rsidP="00033519">
            <w:pPr>
              <w:jc w:val="center"/>
            </w:pPr>
            <w:r>
              <w:rPr>
                <w:sz w:val="18"/>
              </w:rPr>
              <w:t>Tier 1</w:t>
            </w:r>
          </w:p>
        </w:tc>
        <w:tc>
          <w:tcPr>
            <w:tcW w:w="1728" w:type="dxa"/>
            <w:tcBorders>
              <w:top w:val="none" w:sz="0" w:space="0" w:color="auto"/>
              <w:left w:val="none" w:sz="0" w:space="0" w:color="auto"/>
              <w:bottom w:val="none" w:sz="0" w:space="0" w:color="auto"/>
              <w:right w:val="none" w:sz="0" w:space="0" w:color="auto"/>
            </w:tcBorders>
            <w:shd w:val="clear" w:color="auto" w:fill="auto"/>
          </w:tcPr>
          <w:p w14:paraId="772F186E"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21/22 (95%)</w:t>
            </w:r>
          </w:p>
        </w:tc>
        <w:tc>
          <w:tcPr>
            <w:tcW w:w="1728" w:type="dxa"/>
            <w:tcBorders>
              <w:top w:val="none" w:sz="0" w:space="0" w:color="auto"/>
              <w:left w:val="none" w:sz="0" w:space="0" w:color="auto"/>
              <w:bottom w:val="none" w:sz="0" w:space="0" w:color="auto"/>
              <w:right w:val="none" w:sz="0" w:space="0" w:color="auto"/>
            </w:tcBorders>
            <w:shd w:val="clear" w:color="auto" w:fill="auto"/>
          </w:tcPr>
          <w:p w14:paraId="64C92434"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12/22 (54%)</w:t>
            </w:r>
          </w:p>
        </w:tc>
        <w:tc>
          <w:tcPr>
            <w:tcW w:w="1728" w:type="dxa"/>
            <w:tcBorders>
              <w:top w:val="none" w:sz="0" w:space="0" w:color="auto"/>
              <w:left w:val="none" w:sz="0" w:space="0" w:color="auto"/>
              <w:bottom w:val="none" w:sz="0" w:space="0" w:color="auto"/>
              <w:right w:val="none" w:sz="0" w:space="0" w:color="auto"/>
            </w:tcBorders>
            <w:shd w:val="clear" w:color="auto" w:fill="auto"/>
          </w:tcPr>
          <w:p w14:paraId="137EBCA1"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12/22 (54%)</w:t>
            </w:r>
          </w:p>
        </w:tc>
        <w:tc>
          <w:tcPr>
            <w:tcW w:w="1728" w:type="dxa"/>
            <w:tcBorders>
              <w:top w:val="none" w:sz="0" w:space="0" w:color="auto"/>
              <w:left w:val="none" w:sz="0" w:space="0" w:color="auto"/>
              <w:bottom w:val="none" w:sz="0" w:space="0" w:color="auto"/>
              <w:right w:val="none" w:sz="0" w:space="0" w:color="auto"/>
            </w:tcBorders>
            <w:shd w:val="clear" w:color="auto" w:fill="auto"/>
          </w:tcPr>
          <w:p w14:paraId="001728E2"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15/22 (68%)</w:t>
            </w:r>
          </w:p>
        </w:tc>
      </w:tr>
      <w:tr w:rsidR="00145B26" w14:paraId="44AAA677"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tcPr>
          <w:p w14:paraId="699A39CC" w14:textId="77777777" w:rsidR="00145B26" w:rsidRDefault="00000000" w:rsidP="00033519">
            <w:pPr>
              <w:jc w:val="center"/>
            </w:pPr>
            <w:r>
              <w:rPr>
                <w:sz w:val="18"/>
              </w:rPr>
              <w:t>Tier 2</w:t>
            </w:r>
          </w:p>
        </w:tc>
        <w:tc>
          <w:tcPr>
            <w:tcW w:w="1728" w:type="dxa"/>
            <w:tcBorders>
              <w:top w:val="none" w:sz="0" w:space="0" w:color="auto"/>
              <w:left w:val="none" w:sz="0" w:space="0" w:color="auto"/>
              <w:bottom w:val="none" w:sz="0" w:space="0" w:color="auto"/>
              <w:right w:val="none" w:sz="0" w:space="0" w:color="auto"/>
            </w:tcBorders>
          </w:tcPr>
          <w:p w14:paraId="5CA82935"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4/13 (30%)</w:t>
            </w:r>
          </w:p>
        </w:tc>
        <w:tc>
          <w:tcPr>
            <w:tcW w:w="1728" w:type="dxa"/>
            <w:tcBorders>
              <w:top w:val="none" w:sz="0" w:space="0" w:color="auto"/>
              <w:left w:val="none" w:sz="0" w:space="0" w:color="auto"/>
              <w:bottom w:val="none" w:sz="0" w:space="0" w:color="auto"/>
              <w:right w:val="none" w:sz="0" w:space="0" w:color="auto"/>
            </w:tcBorders>
          </w:tcPr>
          <w:p w14:paraId="3A41C5AC"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4/13 (30%)</w:t>
            </w:r>
          </w:p>
        </w:tc>
        <w:tc>
          <w:tcPr>
            <w:tcW w:w="1728" w:type="dxa"/>
            <w:tcBorders>
              <w:top w:val="none" w:sz="0" w:space="0" w:color="auto"/>
              <w:left w:val="none" w:sz="0" w:space="0" w:color="auto"/>
              <w:bottom w:val="none" w:sz="0" w:space="0" w:color="auto"/>
              <w:right w:val="none" w:sz="0" w:space="0" w:color="auto"/>
            </w:tcBorders>
          </w:tcPr>
          <w:p w14:paraId="08493526"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9/13 (69%)</w:t>
            </w:r>
          </w:p>
        </w:tc>
        <w:tc>
          <w:tcPr>
            <w:tcW w:w="1728" w:type="dxa"/>
            <w:tcBorders>
              <w:top w:val="none" w:sz="0" w:space="0" w:color="auto"/>
              <w:left w:val="none" w:sz="0" w:space="0" w:color="auto"/>
              <w:bottom w:val="none" w:sz="0" w:space="0" w:color="auto"/>
              <w:right w:val="none" w:sz="0" w:space="0" w:color="auto"/>
            </w:tcBorders>
          </w:tcPr>
          <w:p w14:paraId="7B88A83A"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0/13 (0%)</w:t>
            </w:r>
          </w:p>
        </w:tc>
      </w:tr>
    </w:tbl>
    <w:p w14:paraId="61C10490" w14:textId="77777777" w:rsidR="00145B26" w:rsidRDefault="00145B26"/>
    <w:p w14:paraId="2D2839BA" w14:textId="4494B195" w:rsidR="00E81BD9" w:rsidRPr="00033519" w:rsidRDefault="00E81BD9" w:rsidP="00033519">
      <w:pPr>
        <w:jc w:val="both"/>
        <w:rPr>
          <w:sz w:val="24"/>
          <w:szCs w:val="24"/>
        </w:rPr>
      </w:pPr>
      <w:r w:rsidRPr="00033519">
        <w:rPr>
          <w:sz w:val="24"/>
          <w:szCs w:val="24"/>
        </w:rPr>
        <w:t>This distribution should be interpreted cautiously, as the identification of D4 depends on the co-occurrence of multiple mechanisms rather than on a single observable feature.</w:t>
      </w:r>
    </w:p>
    <w:p w14:paraId="44D8E047" w14:textId="77777777" w:rsidR="00145B26" w:rsidRPr="00033519" w:rsidRDefault="00000000">
      <w:pPr>
        <w:rPr>
          <w:sz w:val="24"/>
          <w:szCs w:val="24"/>
        </w:rPr>
      </w:pPr>
      <w:r w:rsidRPr="00033519">
        <w:rPr>
          <w:b/>
          <w:sz w:val="24"/>
          <w:szCs w:val="24"/>
        </w:rPr>
        <w:t>Table D. Proportion of high-salience cases by ecosystem</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726"/>
        <w:gridCol w:w="1726"/>
        <w:gridCol w:w="1726"/>
        <w:gridCol w:w="1726"/>
      </w:tblGrid>
      <w:tr w:rsidR="00145B26" w14:paraId="29FD0A45"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tcPr>
          <w:p w14:paraId="4F20E713" w14:textId="77777777" w:rsidR="00145B26" w:rsidRDefault="00000000" w:rsidP="00033519">
            <w:pPr>
              <w:jc w:val="center"/>
            </w:pPr>
            <w:r>
              <w:rPr>
                <w:sz w:val="18"/>
              </w:rPr>
              <w:t>Ecosystem</w:t>
            </w:r>
          </w:p>
        </w:tc>
        <w:tc>
          <w:tcPr>
            <w:tcW w:w="1728" w:type="dxa"/>
            <w:tcBorders>
              <w:top w:val="none" w:sz="0" w:space="0" w:color="auto"/>
              <w:left w:val="none" w:sz="0" w:space="0" w:color="auto"/>
              <w:bottom w:val="none" w:sz="0" w:space="0" w:color="auto"/>
              <w:right w:val="none" w:sz="0" w:space="0" w:color="auto"/>
            </w:tcBorders>
          </w:tcPr>
          <w:p w14:paraId="3C4D913B"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D1 High %</w:t>
            </w:r>
          </w:p>
        </w:tc>
        <w:tc>
          <w:tcPr>
            <w:tcW w:w="1728" w:type="dxa"/>
            <w:tcBorders>
              <w:top w:val="none" w:sz="0" w:space="0" w:color="auto"/>
              <w:left w:val="none" w:sz="0" w:space="0" w:color="auto"/>
              <w:bottom w:val="none" w:sz="0" w:space="0" w:color="auto"/>
              <w:right w:val="none" w:sz="0" w:space="0" w:color="auto"/>
            </w:tcBorders>
          </w:tcPr>
          <w:p w14:paraId="06C9494C"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D2 High %</w:t>
            </w:r>
          </w:p>
        </w:tc>
        <w:tc>
          <w:tcPr>
            <w:tcW w:w="1728" w:type="dxa"/>
            <w:tcBorders>
              <w:top w:val="none" w:sz="0" w:space="0" w:color="auto"/>
              <w:left w:val="none" w:sz="0" w:space="0" w:color="auto"/>
              <w:bottom w:val="none" w:sz="0" w:space="0" w:color="auto"/>
              <w:right w:val="none" w:sz="0" w:space="0" w:color="auto"/>
            </w:tcBorders>
          </w:tcPr>
          <w:p w14:paraId="730D994F"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D3 High %</w:t>
            </w:r>
          </w:p>
        </w:tc>
        <w:tc>
          <w:tcPr>
            <w:tcW w:w="1728" w:type="dxa"/>
            <w:tcBorders>
              <w:top w:val="none" w:sz="0" w:space="0" w:color="auto"/>
              <w:left w:val="none" w:sz="0" w:space="0" w:color="auto"/>
              <w:bottom w:val="none" w:sz="0" w:space="0" w:color="auto"/>
              <w:right w:val="none" w:sz="0" w:space="0" w:color="auto"/>
            </w:tcBorders>
          </w:tcPr>
          <w:p w14:paraId="6BBF6E72"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D4 High %</w:t>
            </w:r>
          </w:p>
        </w:tc>
      </w:tr>
      <w:tr w:rsidR="00145B26" w14:paraId="71004ACC"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shd w:val="clear" w:color="auto" w:fill="auto"/>
          </w:tcPr>
          <w:p w14:paraId="6B7FC079" w14:textId="77777777" w:rsidR="00145B26" w:rsidRDefault="00000000" w:rsidP="00033519">
            <w:pPr>
              <w:jc w:val="center"/>
            </w:pPr>
            <w:r>
              <w:rPr>
                <w:sz w:val="18"/>
              </w:rPr>
              <w:t>Wiring</w:t>
            </w:r>
          </w:p>
        </w:tc>
        <w:tc>
          <w:tcPr>
            <w:tcW w:w="1728" w:type="dxa"/>
            <w:tcBorders>
              <w:top w:val="none" w:sz="0" w:space="0" w:color="auto"/>
              <w:left w:val="none" w:sz="0" w:space="0" w:color="auto"/>
              <w:bottom w:val="none" w:sz="0" w:space="0" w:color="auto"/>
              <w:right w:val="none" w:sz="0" w:space="0" w:color="auto"/>
            </w:tcBorders>
            <w:shd w:val="clear" w:color="auto" w:fill="auto"/>
          </w:tcPr>
          <w:p w14:paraId="1F07BFC5"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10/12 (83%)</w:t>
            </w:r>
          </w:p>
        </w:tc>
        <w:tc>
          <w:tcPr>
            <w:tcW w:w="1728" w:type="dxa"/>
            <w:tcBorders>
              <w:top w:val="none" w:sz="0" w:space="0" w:color="auto"/>
              <w:left w:val="none" w:sz="0" w:space="0" w:color="auto"/>
              <w:bottom w:val="none" w:sz="0" w:space="0" w:color="auto"/>
              <w:right w:val="none" w:sz="0" w:space="0" w:color="auto"/>
            </w:tcBorders>
            <w:shd w:val="clear" w:color="auto" w:fill="auto"/>
          </w:tcPr>
          <w:p w14:paraId="0754ABEE"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5/12 (41%)</w:t>
            </w:r>
          </w:p>
        </w:tc>
        <w:tc>
          <w:tcPr>
            <w:tcW w:w="1728" w:type="dxa"/>
            <w:tcBorders>
              <w:top w:val="none" w:sz="0" w:space="0" w:color="auto"/>
              <w:left w:val="none" w:sz="0" w:space="0" w:color="auto"/>
              <w:bottom w:val="none" w:sz="0" w:space="0" w:color="auto"/>
              <w:right w:val="none" w:sz="0" w:space="0" w:color="auto"/>
            </w:tcBorders>
            <w:shd w:val="clear" w:color="auto" w:fill="auto"/>
          </w:tcPr>
          <w:p w14:paraId="56548840"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6/12 (50%)</w:t>
            </w:r>
          </w:p>
        </w:tc>
        <w:tc>
          <w:tcPr>
            <w:tcW w:w="1728" w:type="dxa"/>
            <w:tcBorders>
              <w:top w:val="none" w:sz="0" w:space="0" w:color="auto"/>
              <w:left w:val="none" w:sz="0" w:space="0" w:color="auto"/>
              <w:bottom w:val="none" w:sz="0" w:space="0" w:color="auto"/>
              <w:right w:val="none" w:sz="0" w:space="0" w:color="auto"/>
            </w:tcBorders>
            <w:shd w:val="clear" w:color="auto" w:fill="auto"/>
          </w:tcPr>
          <w:p w14:paraId="03FBE156"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6/12 (50%)</w:t>
            </w:r>
          </w:p>
        </w:tc>
      </w:tr>
      <w:tr w:rsidR="00145B26" w14:paraId="67743A33"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tcPr>
          <w:p w14:paraId="33427AE8" w14:textId="77777777" w:rsidR="00145B26" w:rsidRDefault="00000000" w:rsidP="00033519">
            <w:pPr>
              <w:jc w:val="center"/>
            </w:pPr>
            <w:r>
              <w:rPr>
                <w:sz w:val="18"/>
              </w:rPr>
              <w:t>Interiors</w:t>
            </w:r>
          </w:p>
        </w:tc>
        <w:tc>
          <w:tcPr>
            <w:tcW w:w="1728" w:type="dxa"/>
            <w:tcBorders>
              <w:top w:val="none" w:sz="0" w:space="0" w:color="auto"/>
              <w:left w:val="none" w:sz="0" w:space="0" w:color="auto"/>
              <w:bottom w:val="none" w:sz="0" w:space="0" w:color="auto"/>
              <w:right w:val="none" w:sz="0" w:space="0" w:color="auto"/>
            </w:tcBorders>
          </w:tcPr>
          <w:p w14:paraId="1871E76E"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6/9 (66%)</w:t>
            </w:r>
          </w:p>
        </w:tc>
        <w:tc>
          <w:tcPr>
            <w:tcW w:w="1728" w:type="dxa"/>
            <w:tcBorders>
              <w:top w:val="none" w:sz="0" w:space="0" w:color="auto"/>
              <w:left w:val="none" w:sz="0" w:space="0" w:color="auto"/>
              <w:bottom w:val="none" w:sz="0" w:space="0" w:color="auto"/>
              <w:right w:val="none" w:sz="0" w:space="0" w:color="auto"/>
            </w:tcBorders>
          </w:tcPr>
          <w:p w14:paraId="64C835EF"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4/9 (44%)</w:t>
            </w:r>
          </w:p>
        </w:tc>
        <w:tc>
          <w:tcPr>
            <w:tcW w:w="1728" w:type="dxa"/>
            <w:tcBorders>
              <w:top w:val="none" w:sz="0" w:space="0" w:color="auto"/>
              <w:left w:val="none" w:sz="0" w:space="0" w:color="auto"/>
              <w:bottom w:val="none" w:sz="0" w:space="0" w:color="auto"/>
              <w:right w:val="none" w:sz="0" w:space="0" w:color="auto"/>
            </w:tcBorders>
          </w:tcPr>
          <w:p w14:paraId="6FC9FCE5"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6/9 (66%)</w:t>
            </w:r>
          </w:p>
        </w:tc>
        <w:tc>
          <w:tcPr>
            <w:tcW w:w="1728" w:type="dxa"/>
            <w:tcBorders>
              <w:top w:val="none" w:sz="0" w:space="0" w:color="auto"/>
              <w:left w:val="none" w:sz="0" w:space="0" w:color="auto"/>
              <w:bottom w:val="none" w:sz="0" w:space="0" w:color="auto"/>
              <w:right w:val="none" w:sz="0" w:space="0" w:color="auto"/>
            </w:tcBorders>
          </w:tcPr>
          <w:p w14:paraId="32F7CCB0"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4/9 (44%)</w:t>
            </w:r>
          </w:p>
        </w:tc>
      </w:tr>
      <w:tr w:rsidR="00145B26" w14:paraId="05BC300C"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shd w:val="clear" w:color="auto" w:fill="auto"/>
          </w:tcPr>
          <w:p w14:paraId="70E9B48E" w14:textId="77777777" w:rsidR="00145B26" w:rsidRDefault="00000000" w:rsidP="00033519">
            <w:pPr>
              <w:jc w:val="center"/>
            </w:pPr>
            <w:r>
              <w:rPr>
                <w:sz w:val="18"/>
              </w:rPr>
              <w:t>Metal</w:t>
            </w:r>
          </w:p>
        </w:tc>
        <w:tc>
          <w:tcPr>
            <w:tcW w:w="1728" w:type="dxa"/>
            <w:tcBorders>
              <w:top w:val="none" w:sz="0" w:space="0" w:color="auto"/>
              <w:left w:val="none" w:sz="0" w:space="0" w:color="auto"/>
              <w:bottom w:val="none" w:sz="0" w:space="0" w:color="auto"/>
              <w:right w:val="none" w:sz="0" w:space="0" w:color="auto"/>
            </w:tcBorders>
            <w:shd w:val="clear" w:color="auto" w:fill="auto"/>
          </w:tcPr>
          <w:p w14:paraId="50C0995B"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3/6 (50%)</w:t>
            </w:r>
          </w:p>
        </w:tc>
        <w:tc>
          <w:tcPr>
            <w:tcW w:w="1728" w:type="dxa"/>
            <w:tcBorders>
              <w:top w:val="none" w:sz="0" w:space="0" w:color="auto"/>
              <w:left w:val="none" w:sz="0" w:space="0" w:color="auto"/>
              <w:bottom w:val="none" w:sz="0" w:space="0" w:color="auto"/>
              <w:right w:val="none" w:sz="0" w:space="0" w:color="auto"/>
            </w:tcBorders>
            <w:shd w:val="clear" w:color="auto" w:fill="auto"/>
          </w:tcPr>
          <w:p w14:paraId="07C815F3"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2/6 (33%)</w:t>
            </w:r>
          </w:p>
        </w:tc>
        <w:tc>
          <w:tcPr>
            <w:tcW w:w="1728" w:type="dxa"/>
            <w:tcBorders>
              <w:top w:val="none" w:sz="0" w:space="0" w:color="auto"/>
              <w:left w:val="none" w:sz="0" w:space="0" w:color="auto"/>
              <w:bottom w:val="none" w:sz="0" w:space="0" w:color="auto"/>
              <w:right w:val="none" w:sz="0" w:space="0" w:color="auto"/>
            </w:tcBorders>
            <w:shd w:val="clear" w:color="auto" w:fill="auto"/>
          </w:tcPr>
          <w:p w14:paraId="21FEAF3F"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4/6 (66%)</w:t>
            </w:r>
          </w:p>
        </w:tc>
        <w:tc>
          <w:tcPr>
            <w:tcW w:w="1728" w:type="dxa"/>
            <w:tcBorders>
              <w:top w:val="none" w:sz="0" w:space="0" w:color="auto"/>
              <w:left w:val="none" w:sz="0" w:space="0" w:color="auto"/>
              <w:bottom w:val="none" w:sz="0" w:space="0" w:color="auto"/>
              <w:right w:val="none" w:sz="0" w:space="0" w:color="auto"/>
            </w:tcBorders>
            <w:shd w:val="clear" w:color="auto" w:fill="auto"/>
          </w:tcPr>
          <w:p w14:paraId="4295BE8E"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2/6 (33%)</w:t>
            </w:r>
          </w:p>
        </w:tc>
      </w:tr>
      <w:tr w:rsidR="00145B26" w14:paraId="3D2EC3A7"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tcPr>
          <w:p w14:paraId="1F8BE366" w14:textId="77777777" w:rsidR="00145B26" w:rsidRDefault="00000000" w:rsidP="00033519">
            <w:pPr>
              <w:jc w:val="center"/>
            </w:pPr>
            <w:r>
              <w:rPr>
                <w:sz w:val="18"/>
              </w:rPr>
              <w:t>Batteries</w:t>
            </w:r>
          </w:p>
        </w:tc>
        <w:tc>
          <w:tcPr>
            <w:tcW w:w="1728" w:type="dxa"/>
            <w:tcBorders>
              <w:top w:val="none" w:sz="0" w:space="0" w:color="auto"/>
              <w:left w:val="none" w:sz="0" w:space="0" w:color="auto"/>
              <w:bottom w:val="none" w:sz="0" w:space="0" w:color="auto"/>
              <w:right w:val="none" w:sz="0" w:space="0" w:color="auto"/>
            </w:tcBorders>
          </w:tcPr>
          <w:p w14:paraId="549F8BE2"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3/4 (75%)</w:t>
            </w:r>
          </w:p>
        </w:tc>
        <w:tc>
          <w:tcPr>
            <w:tcW w:w="1728" w:type="dxa"/>
            <w:tcBorders>
              <w:top w:val="none" w:sz="0" w:space="0" w:color="auto"/>
              <w:left w:val="none" w:sz="0" w:space="0" w:color="auto"/>
              <w:bottom w:val="none" w:sz="0" w:space="0" w:color="auto"/>
              <w:right w:val="none" w:sz="0" w:space="0" w:color="auto"/>
            </w:tcBorders>
          </w:tcPr>
          <w:p w14:paraId="07C6300D"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2/4 (50%)</w:t>
            </w:r>
          </w:p>
        </w:tc>
        <w:tc>
          <w:tcPr>
            <w:tcW w:w="1728" w:type="dxa"/>
            <w:tcBorders>
              <w:top w:val="none" w:sz="0" w:space="0" w:color="auto"/>
              <w:left w:val="none" w:sz="0" w:space="0" w:color="auto"/>
              <w:bottom w:val="none" w:sz="0" w:space="0" w:color="auto"/>
              <w:right w:val="none" w:sz="0" w:space="0" w:color="auto"/>
            </w:tcBorders>
          </w:tcPr>
          <w:p w14:paraId="592E191F"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2/4 (50%)</w:t>
            </w:r>
          </w:p>
        </w:tc>
        <w:tc>
          <w:tcPr>
            <w:tcW w:w="1728" w:type="dxa"/>
            <w:tcBorders>
              <w:top w:val="none" w:sz="0" w:space="0" w:color="auto"/>
              <w:left w:val="none" w:sz="0" w:space="0" w:color="auto"/>
              <w:bottom w:val="none" w:sz="0" w:space="0" w:color="auto"/>
              <w:right w:val="none" w:sz="0" w:space="0" w:color="auto"/>
            </w:tcBorders>
          </w:tcPr>
          <w:p w14:paraId="58868F28"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1/4 (25%)</w:t>
            </w:r>
          </w:p>
        </w:tc>
      </w:tr>
      <w:tr w:rsidR="00145B26" w14:paraId="01A3C49E"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28" w:type="dxa"/>
            <w:tcBorders>
              <w:top w:val="none" w:sz="0" w:space="0" w:color="auto"/>
              <w:left w:val="none" w:sz="0" w:space="0" w:color="auto"/>
              <w:bottom w:val="none" w:sz="0" w:space="0" w:color="auto"/>
              <w:right w:val="none" w:sz="0" w:space="0" w:color="auto"/>
            </w:tcBorders>
            <w:shd w:val="clear" w:color="auto" w:fill="auto"/>
          </w:tcPr>
          <w:p w14:paraId="4614BA81" w14:textId="77777777" w:rsidR="00145B26" w:rsidRDefault="00000000" w:rsidP="00033519">
            <w:pPr>
              <w:jc w:val="center"/>
            </w:pPr>
            <w:r>
              <w:rPr>
                <w:sz w:val="18"/>
              </w:rPr>
              <w:t>Powertrain</w:t>
            </w:r>
          </w:p>
        </w:tc>
        <w:tc>
          <w:tcPr>
            <w:tcW w:w="1728" w:type="dxa"/>
            <w:tcBorders>
              <w:top w:val="none" w:sz="0" w:space="0" w:color="auto"/>
              <w:left w:val="none" w:sz="0" w:space="0" w:color="auto"/>
              <w:bottom w:val="none" w:sz="0" w:space="0" w:color="auto"/>
              <w:right w:val="none" w:sz="0" w:space="0" w:color="auto"/>
            </w:tcBorders>
            <w:shd w:val="clear" w:color="auto" w:fill="auto"/>
          </w:tcPr>
          <w:p w14:paraId="2443C2BA"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3/4 (75%)</w:t>
            </w:r>
          </w:p>
        </w:tc>
        <w:tc>
          <w:tcPr>
            <w:tcW w:w="1728" w:type="dxa"/>
            <w:tcBorders>
              <w:top w:val="none" w:sz="0" w:space="0" w:color="auto"/>
              <w:left w:val="none" w:sz="0" w:space="0" w:color="auto"/>
              <w:bottom w:val="none" w:sz="0" w:space="0" w:color="auto"/>
              <w:right w:val="none" w:sz="0" w:space="0" w:color="auto"/>
            </w:tcBorders>
            <w:shd w:val="clear" w:color="auto" w:fill="auto"/>
          </w:tcPr>
          <w:p w14:paraId="56922792"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3/4 (75%)</w:t>
            </w:r>
          </w:p>
        </w:tc>
        <w:tc>
          <w:tcPr>
            <w:tcW w:w="1728" w:type="dxa"/>
            <w:tcBorders>
              <w:top w:val="none" w:sz="0" w:space="0" w:color="auto"/>
              <w:left w:val="none" w:sz="0" w:space="0" w:color="auto"/>
              <w:bottom w:val="none" w:sz="0" w:space="0" w:color="auto"/>
              <w:right w:val="none" w:sz="0" w:space="0" w:color="auto"/>
            </w:tcBorders>
            <w:shd w:val="clear" w:color="auto" w:fill="auto"/>
          </w:tcPr>
          <w:p w14:paraId="4004E940"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3/4 (75%)</w:t>
            </w:r>
          </w:p>
        </w:tc>
        <w:tc>
          <w:tcPr>
            <w:tcW w:w="1728" w:type="dxa"/>
            <w:tcBorders>
              <w:top w:val="none" w:sz="0" w:space="0" w:color="auto"/>
              <w:left w:val="none" w:sz="0" w:space="0" w:color="auto"/>
              <w:bottom w:val="none" w:sz="0" w:space="0" w:color="auto"/>
              <w:right w:val="none" w:sz="0" w:space="0" w:color="auto"/>
            </w:tcBorders>
            <w:shd w:val="clear" w:color="auto" w:fill="auto"/>
          </w:tcPr>
          <w:p w14:paraId="17751498"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2/4 (50%)</w:t>
            </w:r>
          </w:p>
        </w:tc>
      </w:tr>
    </w:tbl>
    <w:p w14:paraId="4BB75DFF" w14:textId="77777777" w:rsidR="00145B26" w:rsidRPr="00033519" w:rsidRDefault="00000000">
      <w:pPr>
        <w:rPr>
          <w:sz w:val="24"/>
          <w:szCs w:val="24"/>
        </w:rPr>
      </w:pPr>
      <w:r w:rsidRPr="00033519">
        <w:rPr>
          <w:b/>
          <w:sz w:val="24"/>
          <w:szCs w:val="24"/>
        </w:rPr>
        <w:t>Table E. Proportion of high-salience cases by headquarters region</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38"/>
        <w:gridCol w:w="1438"/>
        <w:gridCol w:w="1438"/>
        <w:gridCol w:w="1438"/>
        <w:gridCol w:w="1438"/>
      </w:tblGrid>
      <w:tr w:rsidR="00145B26" w14:paraId="3CC85808" w14:textId="77777777" w:rsidTr="000335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549DD098" w14:textId="77777777" w:rsidR="00145B26" w:rsidRDefault="00000000" w:rsidP="00033519">
            <w:pPr>
              <w:jc w:val="center"/>
            </w:pPr>
            <w:r>
              <w:rPr>
                <w:sz w:val="18"/>
              </w:rPr>
              <w:t>HQ Region</w:t>
            </w:r>
          </w:p>
        </w:tc>
        <w:tc>
          <w:tcPr>
            <w:tcW w:w="1440" w:type="dxa"/>
            <w:tcBorders>
              <w:top w:val="none" w:sz="0" w:space="0" w:color="auto"/>
              <w:left w:val="none" w:sz="0" w:space="0" w:color="auto"/>
              <w:bottom w:val="none" w:sz="0" w:space="0" w:color="auto"/>
              <w:right w:val="none" w:sz="0" w:space="0" w:color="auto"/>
            </w:tcBorders>
          </w:tcPr>
          <w:p w14:paraId="4558375A"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N</w:t>
            </w:r>
          </w:p>
        </w:tc>
        <w:tc>
          <w:tcPr>
            <w:tcW w:w="1440" w:type="dxa"/>
            <w:tcBorders>
              <w:top w:val="none" w:sz="0" w:space="0" w:color="auto"/>
              <w:left w:val="none" w:sz="0" w:space="0" w:color="auto"/>
              <w:bottom w:val="none" w:sz="0" w:space="0" w:color="auto"/>
              <w:right w:val="none" w:sz="0" w:space="0" w:color="auto"/>
            </w:tcBorders>
          </w:tcPr>
          <w:p w14:paraId="64505341"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D1 High %</w:t>
            </w:r>
          </w:p>
        </w:tc>
        <w:tc>
          <w:tcPr>
            <w:tcW w:w="1440" w:type="dxa"/>
            <w:tcBorders>
              <w:top w:val="none" w:sz="0" w:space="0" w:color="auto"/>
              <w:left w:val="none" w:sz="0" w:space="0" w:color="auto"/>
              <w:bottom w:val="none" w:sz="0" w:space="0" w:color="auto"/>
              <w:right w:val="none" w:sz="0" w:space="0" w:color="auto"/>
            </w:tcBorders>
          </w:tcPr>
          <w:p w14:paraId="7896E377"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D2 High %</w:t>
            </w:r>
          </w:p>
        </w:tc>
        <w:tc>
          <w:tcPr>
            <w:tcW w:w="1440" w:type="dxa"/>
            <w:tcBorders>
              <w:top w:val="none" w:sz="0" w:space="0" w:color="auto"/>
              <w:left w:val="none" w:sz="0" w:space="0" w:color="auto"/>
              <w:bottom w:val="none" w:sz="0" w:space="0" w:color="auto"/>
              <w:right w:val="none" w:sz="0" w:space="0" w:color="auto"/>
            </w:tcBorders>
          </w:tcPr>
          <w:p w14:paraId="4FA139ED"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D3 High %</w:t>
            </w:r>
          </w:p>
        </w:tc>
        <w:tc>
          <w:tcPr>
            <w:tcW w:w="1440" w:type="dxa"/>
            <w:tcBorders>
              <w:top w:val="none" w:sz="0" w:space="0" w:color="auto"/>
              <w:left w:val="none" w:sz="0" w:space="0" w:color="auto"/>
              <w:bottom w:val="none" w:sz="0" w:space="0" w:color="auto"/>
              <w:right w:val="none" w:sz="0" w:space="0" w:color="auto"/>
            </w:tcBorders>
          </w:tcPr>
          <w:p w14:paraId="77380FF0" w14:textId="77777777" w:rsidR="00145B26" w:rsidRDefault="00000000" w:rsidP="00033519">
            <w:pPr>
              <w:jc w:val="center"/>
              <w:cnfStyle w:val="100000000000" w:firstRow="1" w:lastRow="0" w:firstColumn="0" w:lastColumn="0" w:oddVBand="0" w:evenVBand="0" w:oddHBand="0" w:evenHBand="0" w:firstRowFirstColumn="0" w:firstRowLastColumn="0" w:lastRowFirstColumn="0" w:lastRowLastColumn="0"/>
            </w:pPr>
            <w:r>
              <w:rPr>
                <w:sz w:val="18"/>
              </w:rPr>
              <w:t>D4 High %</w:t>
            </w:r>
          </w:p>
        </w:tc>
      </w:tr>
      <w:tr w:rsidR="00145B26" w14:paraId="12A3545F"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auto"/>
          </w:tcPr>
          <w:p w14:paraId="6CE60FD5" w14:textId="77777777" w:rsidR="00145B26" w:rsidRDefault="00000000" w:rsidP="00033519">
            <w:pPr>
              <w:jc w:val="center"/>
            </w:pPr>
            <w:r>
              <w:rPr>
                <w:sz w:val="18"/>
              </w:rPr>
              <w:t>Western Europe</w:t>
            </w:r>
          </w:p>
        </w:tc>
        <w:tc>
          <w:tcPr>
            <w:tcW w:w="1440" w:type="dxa"/>
            <w:tcBorders>
              <w:top w:val="none" w:sz="0" w:space="0" w:color="auto"/>
              <w:left w:val="none" w:sz="0" w:space="0" w:color="auto"/>
              <w:bottom w:val="none" w:sz="0" w:space="0" w:color="auto"/>
              <w:right w:val="none" w:sz="0" w:space="0" w:color="auto"/>
            </w:tcBorders>
            <w:shd w:val="clear" w:color="auto" w:fill="auto"/>
          </w:tcPr>
          <w:p w14:paraId="50FA51EB"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22</w:t>
            </w:r>
          </w:p>
        </w:tc>
        <w:tc>
          <w:tcPr>
            <w:tcW w:w="1440" w:type="dxa"/>
            <w:tcBorders>
              <w:top w:val="none" w:sz="0" w:space="0" w:color="auto"/>
              <w:left w:val="none" w:sz="0" w:space="0" w:color="auto"/>
              <w:bottom w:val="none" w:sz="0" w:space="0" w:color="auto"/>
              <w:right w:val="none" w:sz="0" w:space="0" w:color="auto"/>
            </w:tcBorders>
            <w:shd w:val="clear" w:color="auto" w:fill="auto"/>
          </w:tcPr>
          <w:p w14:paraId="2E2581CF"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15/22 (68%)</w:t>
            </w:r>
          </w:p>
        </w:tc>
        <w:tc>
          <w:tcPr>
            <w:tcW w:w="1440" w:type="dxa"/>
            <w:tcBorders>
              <w:top w:val="none" w:sz="0" w:space="0" w:color="auto"/>
              <w:left w:val="none" w:sz="0" w:space="0" w:color="auto"/>
              <w:bottom w:val="none" w:sz="0" w:space="0" w:color="auto"/>
              <w:right w:val="none" w:sz="0" w:space="0" w:color="auto"/>
            </w:tcBorders>
            <w:shd w:val="clear" w:color="auto" w:fill="auto"/>
          </w:tcPr>
          <w:p w14:paraId="6FF1A914"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8/22 (36%)</w:t>
            </w:r>
          </w:p>
        </w:tc>
        <w:tc>
          <w:tcPr>
            <w:tcW w:w="1440" w:type="dxa"/>
            <w:tcBorders>
              <w:top w:val="none" w:sz="0" w:space="0" w:color="auto"/>
              <w:left w:val="none" w:sz="0" w:space="0" w:color="auto"/>
              <w:bottom w:val="none" w:sz="0" w:space="0" w:color="auto"/>
              <w:right w:val="none" w:sz="0" w:space="0" w:color="auto"/>
            </w:tcBorders>
            <w:shd w:val="clear" w:color="auto" w:fill="auto"/>
          </w:tcPr>
          <w:p w14:paraId="24F05E07"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17/22 (77%)</w:t>
            </w:r>
          </w:p>
        </w:tc>
        <w:tc>
          <w:tcPr>
            <w:tcW w:w="1440" w:type="dxa"/>
            <w:tcBorders>
              <w:top w:val="none" w:sz="0" w:space="0" w:color="auto"/>
              <w:left w:val="none" w:sz="0" w:space="0" w:color="auto"/>
              <w:bottom w:val="none" w:sz="0" w:space="0" w:color="auto"/>
              <w:right w:val="none" w:sz="0" w:space="0" w:color="auto"/>
            </w:tcBorders>
            <w:shd w:val="clear" w:color="auto" w:fill="auto"/>
          </w:tcPr>
          <w:p w14:paraId="3453EC77"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8/22 (36%)</w:t>
            </w:r>
          </w:p>
        </w:tc>
      </w:tr>
      <w:tr w:rsidR="00145B26" w14:paraId="62D4D82E"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1EE86A66" w14:textId="77777777" w:rsidR="00145B26" w:rsidRDefault="00000000" w:rsidP="00033519">
            <w:pPr>
              <w:jc w:val="center"/>
            </w:pPr>
            <w:r>
              <w:rPr>
                <w:sz w:val="18"/>
              </w:rPr>
              <w:t>North America</w:t>
            </w:r>
          </w:p>
        </w:tc>
        <w:tc>
          <w:tcPr>
            <w:tcW w:w="1440" w:type="dxa"/>
            <w:tcBorders>
              <w:top w:val="none" w:sz="0" w:space="0" w:color="auto"/>
              <w:left w:val="none" w:sz="0" w:space="0" w:color="auto"/>
              <w:bottom w:val="none" w:sz="0" w:space="0" w:color="auto"/>
              <w:right w:val="none" w:sz="0" w:space="0" w:color="auto"/>
            </w:tcBorders>
          </w:tcPr>
          <w:p w14:paraId="55469322"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5</w:t>
            </w:r>
          </w:p>
        </w:tc>
        <w:tc>
          <w:tcPr>
            <w:tcW w:w="1440" w:type="dxa"/>
            <w:tcBorders>
              <w:top w:val="none" w:sz="0" w:space="0" w:color="auto"/>
              <w:left w:val="none" w:sz="0" w:space="0" w:color="auto"/>
              <w:bottom w:val="none" w:sz="0" w:space="0" w:color="auto"/>
              <w:right w:val="none" w:sz="0" w:space="0" w:color="auto"/>
            </w:tcBorders>
          </w:tcPr>
          <w:p w14:paraId="0F877584"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4/5 (80%)</w:t>
            </w:r>
          </w:p>
        </w:tc>
        <w:tc>
          <w:tcPr>
            <w:tcW w:w="1440" w:type="dxa"/>
            <w:tcBorders>
              <w:top w:val="none" w:sz="0" w:space="0" w:color="auto"/>
              <w:left w:val="none" w:sz="0" w:space="0" w:color="auto"/>
              <w:bottom w:val="none" w:sz="0" w:space="0" w:color="auto"/>
              <w:right w:val="none" w:sz="0" w:space="0" w:color="auto"/>
            </w:tcBorders>
          </w:tcPr>
          <w:p w14:paraId="5AB40D96"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4/5 (80%)</w:t>
            </w:r>
          </w:p>
        </w:tc>
        <w:tc>
          <w:tcPr>
            <w:tcW w:w="1440" w:type="dxa"/>
            <w:tcBorders>
              <w:top w:val="none" w:sz="0" w:space="0" w:color="auto"/>
              <w:left w:val="none" w:sz="0" w:space="0" w:color="auto"/>
              <w:bottom w:val="none" w:sz="0" w:space="0" w:color="auto"/>
              <w:right w:val="none" w:sz="0" w:space="0" w:color="auto"/>
            </w:tcBorders>
          </w:tcPr>
          <w:p w14:paraId="487A1C04"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2/5 (40%)</w:t>
            </w:r>
          </w:p>
        </w:tc>
        <w:tc>
          <w:tcPr>
            <w:tcW w:w="1440" w:type="dxa"/>
            <w:tcBorders>
              <w:top w:val="none" w:sz="0" w:space="0" w:color="auto"/>
              <w:left w:val="none" w:sz="0" w:space="0" w:color="auto"/>
              <w:bottom w:val="none" w:sz="0" w:space="0" w:color="auto"/>
              <w:right w:val="none" w:sz="0" w:space="0" w:color="auto"/>
            </w:tcBorders>
          </w:tcPr>
          <w:p w14:paraId="0F91AE35"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2/5 (40%)</w:t>
            </w:r>
          </w:p>
        </w:tc>
      </w:tr>
      <w:tr w:rsidR="00145B26" w14:paraId="7D50DC5B" w14:textId="77777777" w:rsidTr="000335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auto"/>
          </w:tcPr>
          <w:p w14:paraId="1A764E01" w14:textId="77777777" w:rsidR="00145B26" w:rsidRDefault="00000000" w:rsidP="00033519">
            <w:pPr>
              <w:jc w:val="center"/>
            </w:pPr>
            <w:r>
              <w:rPr>
                <w:sz w:val="18"/>
              </w:rPr>
              <w:lastRenderedPageBreak/>
              <w:t>East Asia</w:t>
            </w:r>
          </w:p>
        </w:tc>
        <w:tc>
          <w:tcPr>
            <w:tcW w:w="1440" w:type="dxa"/>
            <w:tcBorders>
              <w:top w:val="none" w:sz="0" w:space="0" w:color="auto"/>
              <w:left w:val="none" w:sz="0" w:space="0" w:color="auto"/>
              <w:bottom w:val="none" w:sz="0" w:space="0" w:color="auto"/>
              <w:right w:val="none" w:sz="0" w:space="0" w:color="auto"/>
            </w:tcBorders>
            <w:shd w:val="clear" w:color="auto" w:fill="auto"/>
          </w:tcPr>
          <w:p w14:paraId="479B486A"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7</w:t>
            </w:r>
          </w:p>
        </w:tc>
        <w:tc>
          <w:tcPr>
            <w:tcW w:w="1440" w:type="dxa"/>
            <w:tcBorders>
              <w:top w:val="none" w:sz="0" w:space="0" w:color="auto"/>
              <w:left w:val="none" w:sz="0" w:space="0" w:color="auto"/>
              <w:bottom w:val="none" w:sz="0" w:space="0" w:color="auto"/>
              <w:right w:val="none" w:sz="0" w:space="0" w:color="auto"/>
            </w:tcBorders>
            <w:shd w:val="clear" w:color="auto" w:fill="auto"/>
          </w:tcPr>
          <w:p w14:paraId="2B35F25C"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6/7 (85%)</w:t>
            </w:r>
          </w:p>
        </w:tc>
        <w:tc>
          <w:tcPr>
            <w:tcW w:w="1440" w:type="dxa"/>
            <w:tcBorders>
              <w:top w:val="none" w:sz="0" w:space="0" w:color="auto"/>
              <w:left w:val="none" w:sz="0" w:space="0" w:color="auto"/>
              <w:bottom w:val="none" w:sz="0" w:space="0" w:color="auto"/>
              <w:right w:val="none" w:sz="0" w:space="0" w:color="auto"/>
            </w:tcBorders>
            <w:shd w:val="clear" w:color="auto" w:fill="auto"/>
          </w:tcPr>
          <w:p w14:paraId="4F9F83D2"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4/7 (57%)</w:t>
            </w:r>
          </w:p>
        </w:tc>
        <w:tc>
          <w:tcPr>
            <w:tcW w:w="1440" w:type="dxa"/>
            <w:tcBorders>
              <w:top w:val="none" w:sz="0" w:space="0" w:color="auto"/>
              <w:left w:val="none" w:sz="0" w:space="0" w:color="auto"/>
              <w:bottom w:val="none" w:sz="0" w:space="0" w:color="auto"/>
              <w:right w:val="none" w:sz="0" w:space="0" w:color="auto"/>
            </w:tcBorders>
            <w:shd w:val="clear" w:color="auto" w:fill="auto"/>
          </w:tcPr>
          <w:p w14:paraId="3590E54F"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2/7 (28%)</w:t>
            </w:r>
          </w:p>
        </w:tc>
        <w:tc>
          <w:tcPr>
            <w:tcW w:w="1440" w:type="dxa"/>
            <w:tcBorders>
              <w:top w:val="none" w:sz="0" w:space="0" w:color="auto"/>
              <w:left w:val="none" w:sz="0" w:space="0" w:color="auto"/>
              <w:bottom w:val="none" w:sz="0" w:space="0" w:color="auto"/>
              <w:right w:val="none" w:sz="0" w:space="0" w:color="auto"/>
            </w:tcBorders>
            <w:shd w:val="clear" w:color="auto" w:fill="auto"/>
          </w:tcPr>
          <w:p w14:paraId="12B9CF42" w14:textId="77777777" w:rsidR="00145B26" w:rsidRDefault="00000000" w:rsidP="00033519">
            <w:pPr>
              <w:jc w:val="center"/>
              <w:cnfStyle w:val="000000100000" w:firstRow="0" w:lastRow="0" w:firstColumn="0" w:lastColumn="0" w:oddVBand="0" w:evenVBand="0" w:oddHBand="1" w:evenHBand="0" w:firstRowFirstColumn="0" w:firstRowLastColumn="0" w:lastRowFirstColumn="0" w:lastRowLastColumn="0"/>
            </w:pPr>
            <w:r>
              <w:rPr>
                <w:sz w:val="18"/>
              </w:rPr>
              <w:t>5/7 (71%)</w:t>
            </w:r>
          </w:p>
        </w:tc>
      </w:tr>
      <w:tr w:rsidR="00145B26" w14:paraId="3A190831" w14:textId="77777777" w:rsidTr="0003351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222296E8" w14:textId="77777777" w:rsidR="00145B26" w:rsidRDefault="00000000" w:rsidP="00033519">
            <w:pPr>
              <w:jc w:val="center"/>
            </w:pPr>
            <w:r>
              <w:rPr>
                <w:sz w:val="18"/>
              </w:rPr>
              <w:t>Other</w:t>
            </w:r>
          </w:p>
        </w:tc>
        <w:tc>
          <w:tcPr>
            <w:tcW w:w="1440" w:type="dxa"/>
            <w:tcBorders>
              <w:top w:val="none" w:sz="0" w:space="0" w:color="auto"/>
              <w:left w:val="none" w:sz="0" w:space="0" w:color="auto"/>
              <w:bottom w:val="none" w:sz="0" w:space="0" w:color="auto"/>
              <w:right w:val="none" w:sz="0" w:space="0" w:color="auto"/>
            </w:tcBorders>
          </w:tcPr>
          <w:p w14:paraId="240401E6"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1</w:t>
            </w:r>
          </w:p>
        </w:tc>
        <w:tc>
          <w:tcPr>
            <w:tcW w:w="1440" w:type="dxa"/>
            <w:tcBorders>
              <w:top w:val="none" w:sz="0" w:space="0" w:color="auto"/>
              <w:left w:val="none" w:sz="0" w:space="0" w:color="auto"/>
              <w:bottom w:val="none" w:sz="0" w:space="0" w:color="auto"/>
              <w:right w:val="none" w:sz="0" w:space="0" w:color="auto"/>
            </w:tcBorders>
          </w:tcPr>
          <w:p w14:paraId="48C99033"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0/1 (0%)</w:t>
            </w:r>
          </w:p>
        </w:tc>
        <w:tc>
          <w:tcPr>
            <w:tcW w:w="1440" w:type="dxa"/>
            <w:tcBorders>
              <w:top w:val="none" w:sz="0" w:space="0" w:color="auto"/>
              <w:left w:val="none" w:sz="0" w:space="0" w:color="auto"/>
              <w:bottom w:val="none" w:sz="0" w:space="0" w:color="auto"/>
              <w:right w:val="none" w:sz="0" w:space="0" w:color="auto"/>
            </w:tcBorders>
          </w:tcPr>
          <w:p w14:paraId="77ADBE7A"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0/1 (0%)</w:t>
            </w:r>
          </w:p>
        </w:tc>
        <w:tc>
          <w:tcPr>
            <w:tcW w:w="1440" w:type="dxa"/>
            <w:tcBorders>
              <w:top w:val="none" w:sz="0" w:space="0" w:color="auto"/>
              <w:left w:val="none" w:sz="0" w:space="0" w:color="auto"/>
              <w:bottom w:val="none" w:sz="0" w:space="0" w:color="auto"/>
              <w:right w:val="none" w:sz="0" w:space="0" w:color="auto"/>
            </w:tcBorders>
          </w:tcPr>
          <w:p w14:paraId="5F71593C"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0/1 (0%)</w:t>
            </w:r>
          </w:p>
        </w:tc>
        <w:tc>
          <w:tcPr>
            <w:tcW w:w="1440" w:type="dxa"/>
            <w:tcBorders>
              <w:top w:val="none" w:sz="0" w:space="0" w:color="auto"/>
              <w:left w:val="none" w:sz="0" w:space="0" w:color="auto"/>
              <w:bottom w:val="none" w:sz="0" w:space="0" w:color="auto"/>
              <w:right w:val="none" w:sz="0" w:space="0" w:color="auto"/>
            </w:tcBorders>
          </w:tcPr>
          <w:p w14:paraId="1A794A03" w14:textId="77777777" w:rsidR="00145B26" w:rsidRDefault="00000000" w:rsidP="00033519">
            <w:pPr>
              <w:jc w:val="center"/>
              <w:cnfStyle w:val="000000010000" w:firstRow="0" w:lastRow="0" w:firstColumn="0" w:lastColumn="0" w:oddVBand="0" w:evenVBand="0" w:oddHBand="0" w:evenHBand="1" w:firstRowFirstColumn="0" w:firstRowLastColumn="0" w:lastRowFirstColumn="0" w:lastRowLastColumn="0"/>
            </w:pPr>
            <w:r>
              <w:rPr>
                <w:sz w:val="18"/>
              </w:rPr>
              <w:t>0/1 (0%)</w:t>
            </w:r>
          </w:p>
        </w:tc>
      </w:tr>
    </w:tbl>
    <w:p w14:paraId="6D5C14FE" w14:textId="77777777" w:rsidR="00145B26" w:rsidRPr="00033519" w:rsidRDefault="00000000" w:rsidP="00033519">
      <w:pPr>
        <w:jc w:val="both"/>
        <w:rPr>
          <w:iCs/>
        </w:rPr>
      </w:pPr>
      <w:r w:rsidRPr="00033519">
        <w:rPr>
          <w:b/>
          <w:iCs/>
          <w:sz w:val="20"/>
        </w:rPr>
        <w:t xml:space="preserve">Note: </w:t>
      </w:r>
      <w:r w:rsidRPr="00033519">
        <w:rPr>
          <w:iCs/>
          <w:sz w:val="20"/>
        </w:rPr>
        <w:t>These patterns should be interpreted with caution given the limited number of cases in each regional category. The sample was designed for analytical depth within the Moroccan automotive context, not for cross-national comparison.</w:t>
      </w:r>
    </w:p>
    <w:p w14:paraId="52611D6B" w14:textId="77777777" w:rsidR="00145B26" w:rsidRPr="00033519" w:rsidRDefault="00000000" w:rsidP="00033519">
      <w:pPr>
        <w:pStyle w:val="Titre1"/>
        <w:jc w:val="both"/>
        <w:rPr>
          <w:sz w:val="24"/>
          <w:szCs w:val="24"/>
        </w:rPr>
      </w:pPr>
      <w:r w:rsidRPr="00033519">
        <w:rPr>
          <w:rFonts w:ascii="Times New Roman" w:hAnsi="Times New Roman"/>
          <w:color w:val="000000"/>
          <w:sz w:val="24"/>
          <w:szCs w:val="24"/>
        </w:rPr>
        <w:t>6. Emerging Patterns</w:t>
      </w:r>
    </w:p>
    <w:p w14:paraId="72B26F3B" w14:textId="77777777" w:rsidR="00145B26" w:rsidRPr="00033519" w:rsidRDefault="00000000" w:rsidP="00033519">
      <w:pPr>
        <w:jc w:val="both"/>
        <w:rPr>
          <w:sz w:val="24"/>
          <w:szCs w:val="24"/>
        </w:rPr>
      </w:pPr>
      <w:r w:rsidRPr="00033519">
        <w:rPr>
          <w:b/>
          <w:sz w:val="24"/>
          <w:szCs w:val="24"/>
        </w:rPr>
        <w:t xml:space="preserve">Dimension 1 (decision-right asymmetries) </w:t>
      </w:r>
      <w:r w:rsidRPr="00033519">
        <w:rPr>
          <w:sz w:val="24"/>
          <w:szCs w:val="24"/>
        </w:rPr>
        <w:t xml:space="preserve">was the most pervasive mechanism across the sample. This reflects the structural </w:t>
      </w:r>
      <w:proofErr w:type="spellStart"/>
      <w:r w:rsidRPr="00033519">
        <w:rPr>
          <w:sz w:val="24"/>
          <w:szCs w:val="24"/>
        </w:rPr>
        <w:t>centralisation</w:t>
      </w:r>
      <w:proofErr w:type="spellEnd"/>
      <w:r w:rsidRPr="00033519">
        <w:rPr>
          <w:sz w:val="24"/>
          <w:szCs w:val="24"/>
        </w:rPr>
        <w:t xml:space="preserve"> of purchasing decisions in multinational automotive supply chains rather than a coding artefact. The automotive industry is </w:t>
      </w:r>
      <w:proofErr w:type="spellStart"/>
      <w:r w:rsidRPr="00033519">
        <w:rPr>
          <w:sz w:val="24"/>
          <w:szCs w:val="24"/>
        </w:rPr>
        <w:t>characterised</w:t>
      </w:r>
      <w:proofErr w:type="spellEnd"/>
      <w:r w:rsidRPr="00033519">
        <w:rPr>
          <w:sz w:val="24"/>
          <w:szCs w:val="24"/>
        </w:rPr>
        <w:t xml:space="preserve"> by tightly controlled supplier relationships and group-level contract management, which structurally concentrates decision rights at headquarters level. The few cases where D1 salience was low (E10, E25) corresponded to recently established or smaller subsidiaries with lighter governance frameworks, consistent with the observation that </w:t>
      </w:r>
      <w:proofErr w:type="spellStart"/>
      <w:r w:rsidRPr="00033519">
        <w:rPr>
          <w:sz w:val="24"/>
          <w:szCs w:val="24"/>
        </w:rPr>
        <w:t>centralisation</w:t>
      </w:r>
      <w:proofErr w:type="spellEnd"/>
      <w:r w:rsidRPr="00033519">
        <w:rPr>
          <w:sz w:val="24"/>
          <w:szCs w:val="24"/>
        </w:rPr>
        <w:t xml:space="preserve"> intensifies as subsidiaries mature and become more integrated into group processes.</w:t>
      </w:r>
    </w:p>
    <w:p w14:paraId="42621C2D" w14:textId="77777777" w:rsidR="00145B26" w:rsidRPr="00033519" w:rsidRDefault="00000000" w:rsidP="00033519">
      <w:pPr>
        <w:jc w:val="both"/>
        <w:rPr>
          <w:sz w:val="24"/>
          <w:szCs w:val="24"/>
        </w:rPr>
      </w:pPr>
      <w:r w:rsidRPr="00033519">
        <w:rPr>
          <w:b/>
          <w:sz w:val="24"/>
          <w:szCs w:val="24"/>
        </w:rPr>
        <w:t xml:space="preserve">Dimension 2 (categorical </w:t>
      </w:r>
      <w:proofErr w:type="spellStart"/>
      <w:r w:rsidRPr="00033519">
        <w:rPr>
          <w:b/>
          <w:sz w:val="24"/>
          <w:szCs w:val="24"/>
        </w:rPr>
        <w:t>delegitimation</w:t>
      </w:r>
      <w:proofErr w:type="spellEnd"/>
      <w:r w:rsidRPr="00033519">
        <w:rPr>
          <w:b/>
          <w:sz w:val="24"/>
          <w:szCs w:val="24"/>
        </w:rPr>
        <w:t xml:space="preserve">) </w:t>
      </w:r>
      <w:r w:rsidRPr="00033519">
        <w:rPr>
          <w:sz w:val="24"/>
          <w:szCs w:val="24"/>
        </w:rPr>
        <w:t>showed more variation across firms. Low salience was observed in cases where respondents described a less hierarchical relationship with headquarters (E27) or where the subsidiary was too recently established for clear patterns to have formed (E06, E18). The data suggest possible variation across headquarters origins, though this observation should be treated with caution given the small number of cases per category.</w:t>
      </w:r>
    </w:p>
    <w:p w14:paraId="48DFB9FF" w14:textId="77777777" w:rsidR="00145B26" w:rsidRPr="00033519" w:rsidRDefault="00000000" w:rsidP="00033519">
      <w:pPr>
        <w:jc w:val="both"/>
        <w:rPr>
          <w:sz w:val="24"/>
          <w:szCs w:val="24"/>
        </w:rPr>
      </w:pPr>
      <w:r w:rsidRPr="00033519">
        <w:rPr>
          <w:b/>
          <w:sz w:val="24"/>
          <w:szCs w:val="24"/>
        </w:rPr>
        <w:t xml:space="preserve">Dimension 3 (metric invisibility) </w:t>
      </w:r>
      <w:r w:rsidRPr="00033519">
        <w:rPr>
          <w:sz w:val="24"/>
          <w:szCs w:val="24"/>
        </w:rPr>
        <w:t xml:space="preserve">was widespread but showed variation linked to the sophistication of local evaluation systems. The single low-salience case (E20) corresponded to a small firm with a less </w:t>
      </w:r>
      <w:proofErr w:type="spellStart"/>
      <w:r w:rsidRPr="00033519">
        <w:rPr>
          <w:sz w:val="24"/>
          <w:szCs w:val="24"/>
        </w:rPr>
        <w:t>formalised</w:t>
      </w:r>
      <w:proofErr w:type="spellEnd"/>
      <w:r w:rsidRPr="00033519">
        <w:rPr>
          <w:sz w:val="24"/>
          <w:szCs w:val="24"/>
        </w:rPr>
        <w:t xml:space="preserve"> evaluation framework, where the absence of metrics was less problematic because expectations were also lower.</w:t>
      </w:r>
    </w:p>
    <w:p w14:paraId="49EF48B3" w14:textId="77777777" w:rsidR="00145B26" w:rsidRPr="00033519" w:rsidRDefault="00000000" w:rsidP="00033519">
      <w:pPr>
        <w:jc w:val="both"/>
        <w:rPr>
          <w:sz w:val="24"/>
          <w:szCs w:val="24"/>
        </w:rPr>
      </w:pPr>
      <w:r w:rsidRPr="00033519">
        <w:rPr>
          <w:b/>
          <w:sz w:val="24"/>
          <w:szCs w:val="24"/>
        </w:rPr>
        <w:t>Dimension 4 (</w:t>
      </w:r>
      <w:proofErr w:type="spellStart"/>
      <w:r w:rsidRPr="00033519">
        <w:rPr>
          <w:b/>
          <w:sz w:val="24"/>
          <w:szCs w:val="24"/>
        </w:rPr>
        <w:t>organisational</w:t>
      </w:r>
      <w:proofErr w:type="spellEnd"/>
      <w:r w:rsidRPr="00033519">
        <w:rPr>
          <w:b/>
          <w:sz w:val="24"/>
          <w:szCs w:val="24"/>
        </w:rPr>
        <w:t xml:space="preserve"> reproduction) </w:t>
      </w:r>
      <w:r w:rsidRPr="00033519">
        <w:rPr>
          <w:sz w:val="24"/>
          <w:szCs w:val="24"/>
        </w:rPr>
        <w:t xml:space="preserve">was most salient in firms where the other three dimensions were simultaneously present at high levels, consistent with the interpretation that </w:t>
      </w:r>
      <w:proofErr w:type="spellStart"/>
      <w:r w:rsidRPr="00033519">
        <w:rPr>
          <w:sz w:val="24"/>
          <w:szCs w:val="24"/>
        </w:rPr>
        <w:t>organisational</w:t>
      </w:r>
      <w:proofErr w:type="spellEnd"/>
      <w:r w:rsidRPr="00033519">
        <w:rPr>
          <w:sz w:val="24"/>
          <w:szCs w:val="24"/>
        </w:rPr>
        <w:t xml:space="preserve"> reproduction may operate as a reinforcing mechanism. Low-salience cases (E06, E10, E18, E25, E31) were typically recently established subsidiaries where recurring patterns had not yet had time to consolidate.</w:t>
      </w:r>
    </w:p>
    <w:p w14:paraId="39604952" w14:textId="4B7D7D47" w:rsidR="00E81BD9" w:rsidRPr="00033519" w:rsidRDefault="00E81BD9" w:rsidP="00033519">
      <w:pPr>
        <w:jc w:val="both"/>
        <w:rPr>
          <w:sz w:val="24"/>
          <w:szCs w:val="24"/>
        </w:rPr>
      </w:pPr>
      <w:r w:rsidRPr="00033519">
        <w:rPr>
          <w:sz w:val="24"/>
          <w:szCs w:val="24"/>
        </w:rPr>
        <w:t>These observations remain indicative and should be interpreted in light of the qualitative and context-specific nature of the study.</w:t>
      </w:r>
    </w:p>
    <w:p w14:paraId="7BC4C56E" w14:textId="77777777" w:rsidR="00145B26" w:rsidRPr="00033519" w:rsidRDefault="00000000" w:rsidP="00033519">
      <w:pPr>
        <w:jc w:val="both"/>
        <w:rPr>
          <w:sz w:val="24"/>
          <w:szCs w:val="24"/>
        </w:rPr>
      </w:pPr>
      <w:r w:rsidRPr="00033519">
        <w:rPr>
          <w:b/>
          <w:sz w:val="24"/>
          <w:szCs w:val="24"/>
        </w:rPr>
        <w:t xml:space="preserve">Tier level </w:t>
      </w:r>
      <w:r w:rsidRPr="00033519">
        <w:rPr>
          <w:sz w:val="24"/>
          <w:szCs w:val="24"/>
        </w:rPr>
        <w:t xml:space="preserve">appeared to be associated with variation in the intensity of all four dimensions. Tier 1 suppliers tended to show higher salience across D1–D4, possibly reflecting more </w:t>
      </w:r>
      <w:proofErr w:type="spellStart"/>
      <w:r w:rsidRPr="00033519">
        <w:rPr>
          <w:sz w:val="24"/>
          <w:szCs w:val="24"/>
        </w:rPr>
        <w:t>formalised</w:t>
      </w:r>
      <w:proofErr w:type="spellEnd"/>
      <w:r w:rsidRPr="00033519">
        <w:rPr>
          <w:sz w:val="24"/>
          <w:szCs w:val="24"/>
        </w:rPr>
        <w:t xml:space="preserve"> governance structures associated with direct relationships with OEMs. However, this observation should be interpreted cautiously given other co-varying factors (size, age).</w:t>
      </w:r>
    </w:p>
    <w:p w14:paraId="46D6F4F6" w14:textId="77777777" w:rsidR="00145B26" w:rsidRPr="00033519" w:rsidRDefault="00000000" w:rsidP="00033519">
      <w:pPr>
        <w:jc w:val="both"/>
        <w:rPr>
          <w:sz w:val="24"/>
          <w:szCs w:val="24"/>
        </w:rPr>
      </w:pPr>
      <w:r w:rsidRPr="00033519">
        <w:rPr>
          <w:b/>
          <w:sz w:val="24"/>
          <w:szCs w:val="24"/>
        </w:rPr>
        <w:lastRenderedPageBreak/>
        <w:t xml:space="preserve">Subsidiary age </w:t>
      </w:r>
      <w:r w:rsidRPr="00033519">
        <w:rPr>
          <w:sz w:val="24"/>
          <w:szCs w:val="24"/>
        </w:rPr>
        <w:t xml:space="preserve">was associated with higher D4 salience, consistent with the expectation that recurring </w:t>
      </w:r>
      <w:proofErr w:type="spellStart"/>
      <w:r w:rsidRPr="00033519">
        <w:rPr>
          <w:sz w:val="24"/>
          <w:szCs w:val="24"/>
        </w:rPr>
        <w:t>organisational</w:t>
      </w:r>
      <w:proofErr w:type="spellEnd"/>
      <w:r w:rsidRPr="00033519">
        <w:rPr>
          <w:sz w:val="24"/>
          <w:szCs w:val="24"/>
        </w:rPr>
        <w:t xml:space="preserve"> patterns require time to develop and consolidate. This observation remains tentative given the cross-sectional design of the study.</w:t>
      </w:r>
    </w:p>
    <w:p w14:paraId="3F805FB4" w14:textId="77777777" w:rsidR="00145B26" w:rsidRPr="00033519" w:rsidRDefault="00000000">
      <w:pPr>
        <w:pStyle w:val="Titre1"/>
        <w:rPr>
          <w:sz w:val="24"/>
          <w:szCs w:val="24"/>
        </w:rPr>
      </w:pPr>
      <w:r w:rsidRPr="00033519">
        <w:rPr>
          <w:rFonts w:ascii="Times New Roman" w:hAnsi="Times New Roman"/>
          <w:color w:val="000000"/>
          <w:sz w:val="24"/>
          <w:szCs w:val="24"/>
        </w:rPr>
        <w:t>7. Methodological Notes</w:t>
      </w:r>
    </w:p>
    <w:p w14:paraId="3AE44A2B" w14:textId="77777777" w:rsidR="00145B26" w:rsidRPr="00033519" w:rsidRDefault="00000000" w:rsidP="00033519">
      <w:pPr>
        <w:jc w:val="both"/>
        <w:rPr>
          <w:sz w:val="24"/>
          <w:szCs w:val="24"/>
        </w:rPr>
      </w:pPr>
      <w:r w:rsidRPr="00033519">
        <w:rPr>
          <w:sz w:val="24"/>
          <w:szCs w:val="24"/>
        </w:rPr>
        <w:t>Salience ratings were assigned based on the analytical coding conducted in NVivo 14 (see Supplementary File 2 for the complete codebook). The assessment reflects the density and depth of relevant codes identified in each firm’s interview data, interpreted in the context of the respondent’s accounts. These ratings are inherently interpretive and should be understood as analytical summaries rather than precise measurements.</w:t>
      </w:r>
    </w:p>
    <w:p w14:paraId="62FE1BED" w14:textId="77777777" w:rsidR="00145B26" w:rsidRPr="00033519" w:rsidRDefault="00000000" w:rsidP="00033519">
      <w:pPr>
        <w:jc w:val="both"/>
        <w:rPr>
          <w:sz w:val="24"/>
          <w:szCs w:val="24"/>
        </w:rPr>
      </w:pPr>
      <w:r w:rsidRPr="00033519">
        <w:rPr>
          <w:sz w:val="24"/>
          <w:szCs w:val="24"/>
        </w:rPr>
        <w:t>Headquarters countries are reported in aggregated form to preserve anonymity while reflecting the international diversity of the sample. The combination of ecosystem, tier level, size, and headquarters country could potentially enable identification of specific firms in Morocco’s automotive sector; accordingly, these characteristics are presented at a level of generality that balances transparency with confidentiality.</w:t>
      </w:r>
    </w:p>
    <w:p w14:paraId="498237CD" w14:textId="77777777" w:rsidR="00145B26" w:rsidRPr="00033519" w:rsidRDefault="00000000" w:rsidP="00033519">
      <w:pPr>
        <w:jc w:val="both"/>
        <w:rPr>
          <w:sz w:val="24"/>
          <w:szCs w:val="24"/>
        </w:rPr>
      </w:pPr>
      <w:r w:rsidRPr="00033519">
        <w:rPr>
          <w:sz w:val="24"/>
          <w:szCs w:val="24"/>
        </w:rPr>
        <w:t xml:space="preserve">The number of interviews per firm ranged from 1 to 2 (average: 1.8). Firms with a single interview were typically smaller </w:t>
      </w:r>
      <w:proofErr w:type="spellStart"/>
      <w:r w:rsidRPr="00033519">
        <w:rPr>
          <w:sz w:val="24"/>
          <w:szCs w:val="24"/>
        </w:rPr>
        <w:t>organisations</w:t>
      </w:r>
      <w:proofErr w:type="spellEnd"/>
      <w:r w:rsidRPr="00033519">
        <w:rPr>
          <w:sz w:val="24"/>
          <w:szCs w:val="24"/>
        </w:rPr>
        <w:t xml:space="preserve"> (fewer than 500 employees) or more recently established subsidiaries where only one purchasing professional was available. Respondent profiles are indicated using abbreviations (PM = Purchasing Manager; SB = Senior Buyer; PB = Project Buyer; IB = Indirect Buyer; DB = Direct Buyer) to reflect the diversity of purchasing roles captured across the sample.</w:t>
      </w:r>
    </w:p>
    <w:p w14:paraId="23A3921C" w14:textId="77777777" w:rsidR="00145B26" w:rsidRPr="00033519" w:rsidRDefault="00000000" w:rsidP="00033519">
      <w:pPr>
        <w:jc w:val="both"/>
        <w:rPr>
          <w:sz w:val="24"/>
          <w:szCs w:val="24"/>
        </w:rPr>
      </w:pPr>
      <w:r w:rsidRPr="00033519">
        <w:rPr>
          <w:sz w:val="24"/>
          <w:szCs w:val="24"/>
        </w:rPr>
        <w:t>The qualitative notes in the “Key observation” column are intended to provide a brief, non-exhaustive summary of the most analytically distinctive feature of each case. They are derived from the coded interview data and should be read in conjunction with the detailed findings presented in the manuscript.</w:t>
      </w:r>
    </w:p>
    <w:p w14:paraId="6BEB12C2" w14:textId="1BDB8C45" w:rsidR="00E81BD9" w:rsidRPr="00033519" w:rsidRDefault="00E81BD9" w:rsidP="00033519">
      <w:pPr>
        <w:jc w:val="both"/>
        <w:rPr>
          <w:sz w:val="24"/>
          <w:szCs w:val="24"/>
        </w:rPr>
      </w:pPr>
      <w:r w:rsidRPr="00033519">
        <w:rPr>
          <w:sz w:val="24"/>
          <w:szCs w:val="24"/>
        </w:rPr>
        <w:t>The case-level summaries presented in this file are descriptive in nature and do not constitute independent analytical claims beyond those developed in the main manuscript.</w:t>
      </w:r>
    </w:p>
    <w:sectPr w:rsidR="00E81BD9" w:rsidRPr="0003351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97077745">
    <w:abstractNumId w:val="8"/>
  </w:num>
  <w:num w:numId="2" w16cid:durableId="1260791242">
    <w:abstractNumId w:val="6"/>
  </w:num>
  <w:num w:numId="3" w16cid:durableId="15423280">
    <w:abstractNumId w:val="5"/>
  </w:num>
  <w:num w:numId="4" w16cid:durableId="189075590">
    <w:abstractNumId w:val="4"/>
  </w:num>
  <w:num w:numId="5" w16cid:durableId="88820843">
    <w:abstractNumId w:val="7"/>
  </w:num>
  <w:num w:numId="6" w16cid:durableId="961495168">
    <w:abstractNumId w:val="3"/>
  </w:num>
  <w:num w:numId="7" w16cid:durableId="174004853">
    <w:abstractNumId w:val="2"/>
  </w:num>
  <w:num w:numId="8" w16cid:durableId="1748073465">
    <w:abstractNumId w:val="1"/>
  </w:num>
  <w:num w:numId="9" w16cid:durableId="34833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519"/>
    <w:rsid w:val="00034616"/>
    <w:rsid w:val="00060547"/>
    <w:rsid w:val="0006063C"/>
    <w:rsid w:val="00145B26"/>
    <w:rsid w:val="0015074B"/>
    <w:rsid w:val="0029639D"/>
    <w:rsid w:val="00326F90"/>
    <w:rsid w:val="00844D10"/>
    <w:rsid w:val="00AA1D8D"/>
    <w:rsid w:val="00B47730"/>
    <w:rsid w:val="00CB0664"/>
    <w:rsid w:val="00E81B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EBB4A1"/>
  <w14:defaultImageDpi w14:val="300"/>
  <w15:docId w15:val="{BCEB84ED-1F02-41AE-8B1D-D2129715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2290</Words>
  <Characters>12596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212707445572</cp:lastModifiedBy>
  <cp:revision>4</cp:revision>
  <dcterms:created xsi:type="dcterms:W3CDTF">2026-04-09T16:50:00Z</dcterms:created>
  <dcterms:modified xsi:type="dcterms:W3CDTF">2026-04-09T21:41:00Z</dcterms:modified>
  <cp:category/>
</cp:coreProperties>
</file>