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8A38C" w14:textId="77777777" w:rsidR="009B71FB" w:rsidRPr="000461AB" w:rsidRDefault="009B71FB" w:rsidP="009B71FB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7103B">
        <w:rPr>
          <w:rFonts w:ascii="Times New Roman" w:hAnsi="Times New Roman" w:cs="Times New Roman"/>
          <w:b/>
          <w:sz w:val="24"/>
          <w:szCs w:val="24"/>
          <w:lang w:val="en-US"/>
        </w:rPr>
        <w:t>Supplementary material</w:t>
      </w:r>
    </w:p>
    <w:p w14:paraId="2DDB8845" w14:textId="3862C364" w:rsidR="00432177" w:rsidRDefault="009B71FB" w:rsidP="009B71FB">
      <w:pPr>
        <w:rPr>
          <w:rFonts w:ascii="Times New Roman" w:hAnsi="Times New Roman" w:cs="Times New Roman"/>
          <w:sz w:val="24"/>
          <w:szCs w:val="24"/>
        </w:rPr>
      </w:pPr>
      <w:r w:rsidRPr="000155E4">
        <w:rPr>
          <w:rFonts w:ascii="Times New Roman" w:hAnsi="Times New Roman" w:cs="Times New Roman"/>
          <w:bCs/>
          <w:sz w:val="24"/>
          <w:szCs w:val="24"/>
          <w:lang w:val="en-US"/>
        </w:rPr>
        <w:t>Supplementary Table S1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-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296C66">
        <w:rPr>
          <w:rFonts w:ascii="Times New Roman" w:hAnsi="Times New Roman" w:cs="Times New Roman"/>
          <w:sz w:val="24"/>
          <w:szCs w:val="24"/>
        </w:rPr>
        <w:t>Predominant qualitative trait states across eco-geographical regions.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4"/>
        <w:gridCol w:w="1386"/>
        <w:gridCol w:w="733"/>
        <w:gridCol w:w="1146"/>
        <w:gridCol w:w="959"/>
        <w:gridCol w:w="866"/>
        <w:gridCol w:w="1212"/>
      </w:tblGrid>
      <w:tr w:rsidR="009B71FB" w:rsidRPr="001C04A6" w14:paraId="197AA915" w14:textId="77777777" w:rsidTr="0005585F">
        <w:trPr>
          <w:trHeight w:val="20"/>
        </w:trPr>
        <w:tc>
          <w:tcPr>
            <w:tcW w:w="1528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D40D803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Trait</w:t>
            </w:r>
          </w:p>
        </w:tc>
        <w:tc>
          <w:tcPr>
            <w:tcW w:w="768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BABB352" w14:textId="77777777" w:rsidR="009B71FB" w:rsidRPr="001C04A6" w:rsidRDefault="009B71FB" w:rsidP="0005585F">
            <w:pPr>
              <w:ind w:left="-5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Predominant state</w:t>
            </w:r>
          </w:p>
        </w:tc>
        <w:tc>
          <w:tcPr>
            <w:tcW w:w="397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50B2E86" w14:textId="77777777" w:rsidR="009B71FB" w:rsidRPr="001C04A6" w:rsidRDefault="009B71FB" w:rsidP="0005585F">
            <w:pPr>
              <w:ind w:left="-5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Tamil Nadu</w:t>
            </w:r>
          </w:p>
        </w:tc>
        <w:tc>
          <w:tcPr>
            <w:tcW w:w="635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904AD6F" w14:textId="77777777" w:rsidR="009B71FB" w:rsidRPr="001C04A6" w:rsidRDefault="009B71FB" w:rsidP="0005585F">
            <w:pPr>
              <w:ind w:left="-5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Karnataka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37E6499" w14:textId="77777777" w:rsidR="009B71FB" w:rsidRPr="001C04A6" w:rsidRDefault="009B71FB" w:rsidP="0005585F">
            <w:pPr>
              <w:ind w:left="-5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Western Ghats</w:t>
            </w:r>
          </w:p>
        </w:tc>
        <w:tc>
          <w:tcPr>
            <w:tcW w:w="480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2E6235D" w14:textId="77777777" w:rsidR="009B71FB" w:rsidRPr="001C04A6" w:rsidRDefault="009B71FB" w:rsidP="0005585F">
            <w:pPr>
              <w:ind w:left="-5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Central India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1E78233" w14:textId="77777777" w:rsidR="009B71FB" w:rsidRPr="001C04A6" w:rsidRDefault="009B71FB" w:rsidP="0005585F">
            <w:pPr>
              <w:ind w:left="-57" w:right="-113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Himalayan region</w:t>
            </w:r>
          </w:p>
        </w:tc>
      </w:tr>
      <w:tr w:rsidR="009B71FB" w:rsidRPr="001C04A6" w14:paraId="13BB3911" w14:textId="77777777" w:rsidTr="0005585F">
        <w:trPr>
          <w:trHeight w:val="20"/>
        </w:trPr>
        <w:tc>
          <w:tcPr>
            <w:tcW w:w="1528" w:type="pct"/>
            <w:tcBorders>
              <w:top w:val="single" w:sz="4" w:space="0" w:color="auto"/>
            </w:tcBorders>
          </w:tcPr>
          <w:p w14:paraId="11B55A35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Plant type</w:t>
            </w:r>
          </w:p>
        </w:tc>
        <w:tc>
          <w:tcPr>
            <w:tcW w:w="768" w:type="pct"/>
            <w:tcBorders>
              <w:top w:val="single" w:sz="4" w:space="0" w:color="auto"/>
            </w:tcBorders>
          </w:tcPr>
          <w:p w14:paraId="755252FB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397" w:type="pct"/>
            <w:tcBorders>
              <w:top w:val="single" w:sz="4" w:space="0" w:color="auto"/>
            </w:tcBorders>
          </w:tcPr>
          <w:p w14:paraId="72465C12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35" w:type="pct"/>
            <w:tcBorders>
              <w:top w:val="single" w:sz="4" w:space="0" w:color="auto"/>
            </w:tcBorders>
          </w:tcPr>
          <w:p w14:paraId="1047062B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521" w:type="pct"/>
            <w:tcBorders>
              <w:top w:val="single" w:sz="4" w:space="0" w:color="auto"/>
            </w:tcBorders>
          </w:tcPr>
          <w:p w14:paraId="0FC45B31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480" w:type="pct"/>
            <w:tcBorders>
              <w:top w:val="single" w:sz="4" w:space="0" w:color="auto"/>
            </w:tcBorders>
          </w:tcPr>
          <w:p w14:paraId="7AEB29C9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71" w:type="pct"/>
            <w:tcBorders>
              <w:top w:val="single" w:sz="4" w:space="0" w:color="auto"/>
            </w:tcBorders>
          </w:tcPr>
          <w:p w14:paraId="2AAEECB2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</w:tr>
      <w:tr w:rsidR="009B71FB" w:rsidRPr="001C04A6" w14:paraId="00DDB76C" w14:textId="77777777" w:rsidTr="0005585F">
        <w:trPr>
          <w:trHeight w:val="20"/>
        </w:trPr>
        <w:tc>
          <w:tcPr>
            <w:tcW w:w="1528" w:type="pct"/>
          </w:tcPr>
          <w:p w14:paraId="1088F0D5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Trunk surface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texture</w:t>
            </w:r>
          </w:p>
        </w:tc>
        <w:tc>
          <w:tcPr>
            <w:tcW w:w="768" w:type="pct"/>
          </w:tcPr>
          <w:p w14:paraId="708BE2EF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Rough</w:t>
            </w:r>
          </w:p>
        </w:tc>
        <w:tc>
          <w:tcPr>
            <w:tcW w:w="397" w:type="pct"/>
          </w:tcPr>
          <w:p w14:paraId="418DD692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35" w:type="pct"/>
          </w:tcPr>
          <w:p w14:paraId="796D80AB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521" w:type="pct"/>
          </w:tcPr>
          <w:p w14:paraId="78EE13F5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480" w:type="pct"/>
          </w:tcPr>
          <w:p w14:paraId="60809750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71" w:type="pct"/>
          </w:tcPr>
          <w:p w14:paraId="4039B4E6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</w:tr>
      <w:tr w:rsidR="009B71FB" w:rsidRPr="001C04A6" w14:paraId="2C912A0B" w14:textId="77777777" w:rsidTr="0005585F">
        <w:trPr>
          <w:trHeight w:val="20"/>
        </w:trPr>
        <w:tc>
          <w:tcPr>
            <w:tcW w:w="1528" w:type="pct"/>
          </w:tcPr>
          <w:p w14:paraId="54D251DF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Young leaf pigmentation</w:t>
            </w:r>
          </w:p>
        </w:tc>
        <w:tc>
          <w:tcPr>
            <w:tcW w:w="768" w:type="pct"/>
          </w:tcPr>
          <w:p w14:paraId="239BB53A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397" w:type="pct"/>
          </w:tcPr>
          <w:p w14:paraId="27842F83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35" w:type="pct"/>
          </w:tcPr>
          <w:p w14:paraId="151F8C55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521" w:type="pct"/>
          </w:tcPr>
          <w:p w14:paraId="76576740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480" w:type="pct"/>
          </w:tcPr>
          <w:p w14:paraId="1221024E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71" w:type="pct"/>
          </w:tcPr>
          <w:p w14:paraId="17622E26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9B71FB" w:rsidRPr="001C04A6" w14:paraId="57D682E0" w14:textId="77777777" w:rsidTr="0005585F">
        <w:trPr>
          <w:trHeight w:val="20"/>
        </w:trPr>
        <w:tc>
          <w:tcPr>
            <w:tcW w:w="1528" w:type="pct"/>
          </w:tcPr>
          <w:p w14:paraId="5806B15A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Leaf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let</w:t>
            </w: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 xml:space="preserve"> shape</w:t>
            </w:r>
          </w:p>
        </w:tc>
        <w:tc>
          <w:tcPr>
            <w:tcW w:w="768" w:type="pct"/>
          </w:tcPr>
          <w:p w14:paraId="13CE9CDE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Falcate</w:t>
            </w:r>
          </w:p>
        </w:tc>
        <w:tc>
          <w:tcPr>
            <w:tcW w:w="397" w:type="pct"/>
          </w:tcPr>
          <w:p w14:paraId="7864BBF3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35" w:type="pct"/>
          </w:tcPr>
          <w:p w14:paraId="4B8B482C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521" w:type="pct"/>
          </w:tcPr>
          <w:p w14:paraId="395C933B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480" w:type="pct"/>
          </w:tcPr>
          <w:p w14:paraId="2F8910B5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671" w:type="pct"/>
          </w:tcPr>
          <w:p w14:paraId="3852B42A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9B71FB" w:rsidRPr="001C04A6" w14:paraId="7A3693ED" w14:textId="77777777" w:rsidTr="0005585F">
        <w:trPr>
          <w:trHeight w:val="20"/>
        </w:trPr>
        <w:tc>
          <w:tcPr>
            <w:tcW w:w="1528" w:type="pct"/>
          </w:tcPr>
          <w:p w14:paraId="5B67C07D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Leaflet base shape</w:t>
            </w:r>
          </w:p>
        </w:tc>
        <w:tc>
          <w:tcPr>
            <w:tcW w:w="768" w:type="pct"/>
          </w:tcPr>
          <w:p w14:paraId="36505194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Acute</w:t>
            </w:r>
          </w:p>
        </w:tc>
        <w:tc>
          <w:tcPr>
            <w:tcW w:w="397" w:type="pct"/>
          </w:tcPr>
          <w:p w14:paraId="42567042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35" w:type="pct"/>
          </w:tcPr>
          <w:p w14:paraId="091D777C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521" w:type="pct"/>
          </w:tcPr>
          <w:p w14:paraId="4A7D8BEA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480" w:type="pct"/>
          </w:tcPr>
          <w:p w14:paraId="4D6D6EDE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71" w:type="pct"/>
          </w:tcPr>
          <w:p w14:paraId="7A4312D6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</w:tr>
      <w:tr w:rsidR="009B71FB" w:rsidRPr="001C04A6" w14:paraId="2F59BB8F" w14:textId="77777777" w:rsidTr="0005585F">
        <w:trPr>
          <w:trHeight w:val="20"/>
        </w:trPr>
        <w:tc>
          <w:tcPr>
            <w:tcW w:w="1528" w:type="pct"/>
          </w:tcPr>
          <w:p w14:paraId="1AD5D26D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Leaflet tip shape</w:t>
            </w:r>
          </w:p>
        </w:tc>
        <w:tc>
          <w:tcPr>
            <w:tcW w:w="768" w:type="pct"/>
          </w:tcPr>
          <w:p w14:paraId="17F665A9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Acuminate</w:t>
            </w:r>
          </w:p>
        </w:tc>
        <w:tc>
          <w:tcPr>
            <w:tcW w:w="397" w:type="pct"/>
          </w:tcPr>
          <w:p w14:paraId="62A6B180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35" w:type="pct"/>
          </w:tcPr>
          <w:p w14:paraId="2FF462AD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521" w:type="pct"/>
          </w:tcPr>
          <w:p w14:paraId="4D7A6542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480" w:type="pct"/>
          </w:tcPr>
          <w:p w14:paraId="6B8B69B8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671" w:type="pct"/>
          </w:tcPr>
          <w:p w14:paraId="5E63A264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9B71FB" w:rsidRPr="001C04A6" w14:paraId="238DFBE7" w14:textId="77777777" w:rsidTr="0005585F">
        <w:trPr>
          <w:trHeight w:val="20"/>
        </w:trPr>
        <w:tc>
          <w:tcPr>
            <w:tcW w:w="1528" w:type="pct"/>
          </w:tcPr>
          <w:p w14:paraId="207D1FA3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Leaflet margin</w:t>
            </w:r>
          </w:p>
        </w:tc>
        <w:tc>
          <w:tcPr>
            <w:tcW w:w="768" w:type="pct"/>
          </w:tcPr>
          <w:p w14:paraId="7B337D03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Crenate</w:t>
            </w:r>
          </w:p>
        </w:tc>
        <w:tc>
          <w:tcPr>
            <w:tcW w:w="397" w:type="pct"/>
          </w:tcPr>
          <w:p w14:paraId="014FE344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35" w:type="pct"/>
          </w:tcPr>
          <w:p w14:paraId="70CE4EE3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521" w:type="pct"/>
          </w:tcPr>
          <w:p w14:paraId="35B55A98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480" w:type="pct"/>
          </w:tcPr>
          <w:p w14:paraId="09614F77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71" w:type="pct"/>
          </w:tcPr>
          <w:p w14:paraId="75323E53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9B71FB" w:rsidRPr="001C04A6" w14:paraId="12BC959F" w14:textId="77777777" w:rsidTr="0005585F">
        <w:trPr>
          <w:trHeight w:val="20"/>
        </w:trPr>
        <w:tc>
          <w:tcPr>
            <w:tcW w:w="1528" w:type="pct"/>
          </w:tcPr>
          <w:p w14:paraId="1905893D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Leaflet orientation</w:t>
            </w:r>
          </w:p>
        </w:tc>
        <w:tc>
          <w:tcPr>
            <w:tcW w:w="768" w:type="pct"/>
          </w:tcPr>
          <w:p w14:paraId="046EA51B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Horizontal</w:t>
            </w:r>
          </w:p>
        </w:tc>
        <w:tc>
          <w:tcPr>
            <w:tcW w:w="397" w:type="pct"/>
          </w:tcPr>
          <w:p w14:paraId="23C0BC46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35" w:type="pct"/>
          </w:tcPr>
          <w:p w14:paraId="34039D80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521" w:type="pct"/>
          </w:tcPr>
          <w:p w14:paraId="09BE09B3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480" w:type="pct"/>
          </w:tcPr>
          <w:p w14:paraId="5A86D578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71" w:type="pct"/>
          </w:tcPr>
          <w:p w14:paraId="01B83457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</w:tr>
      <w:tr w:rsidR="009B71FB" w:rsidRPr="001C04A6" w14:paraId="018191B9" w14:textId="77777777" w:rsidTr="0005585F">
        <w:trPr>
          <w:trHeight w:val="20"/>
        </w:trPr>
        <w:tc>
          <w:tcPr>
            <w:tcW w:w="1528" w:type="pct"/>
          </w:tcPr>
          <w:p w14:paraId="67C4A816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 xml:space="preserve">Leaflet </w:t>
            </w:r>
            <w:proofErr w:type="spellStart"/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bullation</w:t>
            </w:r>
            <w:proofErr w:type="spellEnd"/>
            <w:r w:rsidRPr="001C04A6">
              <w:rPr>
                <w:rFonts w:ascii="Times New Roman" w:hAnsi="Times New Roman" w:cs="Times New Roman"/>
                <w:sz w:val="24"/>
                <w:szCs w:val="24"/>
              </w:rPr>
              <w:t xml:space="preserve"> (adaxial)</w:t>
            </w:r>
          </w:p>
        </w:tc>
        <w:tc>
          <w:tcPr>
            <w:tcW w:w="768" w:type="pct"/>
          </w:tcPr>
          <w:p w14:paraId="7E715517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397" w:type="pct"/>
          </w:tcPr>
          <w:p w14:paraId="5CDA5248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35" w:type="pct"/>
          </w:tcPr>
          <w:p w14:paraId="3E9388F8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521" w:type="pct"/>
          </w:tcPr>
          <w:p w14:paraId="3CFA72C0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480" w:type="pct"/>
          </w:tcPr>
          <w:p w14:paraId="6F1115BA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71" w:type="pct"/>
          </w:tcPr>
          <w:p w14:paraId="7D7B6293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</w:tr>
      <w:tr w:rsidR="009B71FB" w:rsidRPr="001C04A6" w14:paraId="114AB275" w14:textId="77777777" w:rsidTr="0005585F">
        <w:trPr>
          <w:trHeight w:val="20"/>
        </w:trPr>
        <w:tc>
          <w:tcPr>
            <w:tcW w:w="1528" w:type="pct"/>
          </w:tcPr>
          <w:p w14:paraId="62C02478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 xml:space="preserve">Leaflet </w:t>
            </w:r>
            <w:proofErr w:type="spellStart"/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bullation</w:t>
            </w:r>
            <w:proofErr w:type="spellEnd"/>
            <w:r w:rsidRPr="001C04A6">
              <w:rPr>
                <w:rFonts w:ascii="Times New Roman" w:hAnsi="Times New Roman" w:cs="Times New Roman"/>
                <w:sz w:val="24"/>
                <w:szCs w:val="24"/>
              </w:rPr>
              <w:t xml:space="preserve"> (abaxial)</w:t>
            </w:r>
          </w:p>
        </w:tc>
        <w:tc>
          <w:tcPr>
            <w:tcW w:w="768" w:type="pct"/>
          </w:tcPr>
          <w:p w14:paraId="00440DA1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397" w:type="pct"/>
          </w:tcPr>
          <w:p w14:paraId="4DCB85FF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35" w:type="pct"/>
          </w:tcPr>
          <w:p w14:paraId="13E05D6F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521" w:type="pct"/>
          </w:tcPr>
          <w:p w14:paraId="216D2C5D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480" w:type="pct"/>
          </w:tcPr>
          <w:p w14:paraId="744BB8BC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71" w:type="pct"/>
          </w:tcPr>
          <w:p w14:paraId="17FAF30B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</w:tr>
      <w:tr w:rsidR="009B71FB" w:rsidRPr="001C04A6" w14:paraId="7BC9406D" w14:textId="77777777" w:rsidTr="0005585F">
        <w:trPr>
          <w:trHeight w:val="20"/>
        </w:trPr>
        <w:tc>
          <w:tcPr>
            <w:tcW w:w="1528" w:type="pct"/>
          </w:tcPr>
          <w:p w14:paraId="79ACF496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Rachis pigmentation</w:t>
            </w:r>
          </w:p>
        </w:tc>
        <w:tc>
          <w:tcPr>
            <w:tcW w:w="768" w:type="pct"/>
          </w:tcPr>
          <w:p w14:paraId="7B3026A2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397" w:type="pct"/>
          </w:tcPr>
          <w:p w14:paraId="014716B5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35" w:type="pct"/>
          </w:tcPr>
          <w:p w14:paraId="1F3EC8FD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521" w:type="pct"/>
          </w:tcPr>
          <w:p w14:paraId="46B16455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480" w:type="pct"/>
          </w:tcPr>
          <w:p w14:paraId="1E62EEBB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671" w:type="pct"/>
          </w:tcPr>
          <w:p w14:paraId="546D2FA2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9B71FB" w:rsidRPr="001C04A6" w14:paraId="5717E52B" w14:textId="77777777" w:rsidTr="0005585F">
        <w:trPr>
          <w:trHeight w:val="20"/>
        </w:trPr>
        <w:tc>
          <w:tcPr>
            <w:tcW w:w="1528" w:type="pct"/>
            <w:hideMark/>
          </w:tcPr>
          <w:p w14:paraId="72B988FC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Leaflet waxiness</w:t>
            </w:r>
          </w:p>
        </w:tc>
        <w:tc>
          <w:tcPr>
            <w:tcW w:w="768" w:type="pct"/>
            <w:hideMark/>
          </w:tcPr>
          <w:p w14:paraId="52C92142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397" w:type="pct"/>
            <w:hideMark/>
          </w:tcPr>
          <w:p w14:paraId="090DC89B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35" w:type="pct"/>
            <w:hideMark/>
          </w:tcPr>
          <w:p w14:paraId="70D59DCD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521" w:type="pct"/>
            <w:hideMark/>
          </w:tcPr>
          <w:p w14:paraId="4E13A3DA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480" w:type="pct"/>
            <w:hideMark/>
          </w:tcPr>
          <w:p w14:paraId="6281CF10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71" w:type="pct"/>
            <w:hideMark/>
          </w:tcPr>
          <w:p w14:paraId="28F19618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9B71FB" w:rsidRPr="001C04A6" w14:paraId="62A04516" w14:textId="77777777" w:rsidTr="0005585F">
        <w:trPr>
          <w:trHeight w:val="20"/>
        </w:trPr>
        <w:tc>
          <w:tcPr>
            <w:tcW w:w="1528" w:type="pct"/>
          </w:tcPr>
          <w:p w14:paraId="4ABF8347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Pubescence on rachis &amp; petiole</w:t>
            </w:r>
          </w:p>
        </w:tc>
        <w:tc>
          <w:tcPr>
            <w:tcW w:w="768" w:type="pct"/>
          </w:tcPr>
          <w:p w14:paraId="301C20C6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Sparse</w:t>
            </w:r>
          </w:p>
        </w:tc>
        <w:tc>
          <w:tcPr>
            <w:tcW w:w="397" w:type="pct"/>
          </w:tcPr>
          <w:p w14:paraId="42220793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35" w:type="pct"/>
          </w:tcPr>
          <w:p w14:paraId="2E895C5C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521" w:type="pct"/>
          </w:tcPr>
          <w:p w14:paraId="66A8F39C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480" w:type="pct"/>
          </w:tcPr>
          <w:p w14:paraId="7A969EBB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71" w:type="pct"/>
          </w:tcPr>
          <w:p w14:paraId="7F545DD2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9B71FB" w:rsidRPr="001C04A6" w14:paraId="0F64C7A1" w14:textId="77777777" w:rsidTr="0005585F">
        <w:trPr>
          <w:trHeight w:val="20"/>
        </w:trPr>
        <w:tc>
          <w:tcPr>
            <w:tcW w:w="1528" w:type="pct"/>
          </w:tcPr>
          <w:p w14:paraId="39874A50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Pubescence on leaflet (abaxial)</w:t>
            </w:r>
          </w:p>
        </w:tc>
        <w:tc>
          <w:tcPr>
            <w:tcW w:w="768" w:type="pct"/>
          </w:tcPr>
          <w:p w14:paraId="163AB96E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Dense</w:t>
            </w:r>
          </w:p>
        </w:tc>
        <w:tc>
          <w:tcPr>
            <w:tcW w:w="397" w:type="pct"/>
          </w:tcPr>
          <w:p w14:paraId="65E866AF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635" w:type="pct"/>
          </w:tcPr>
          <w:p w14:paraId="1FB82A7B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521" w:type="pct"/>
          </w:tcPr>
          <w:p w14:paraId="77428187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480" w:type="pct"/>
          </w:tcPr>
          <w:p w14:paraId="4D7017DF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671" w:type="pct"/>
          </w:tcPr>
          <w:p w14:paraId="60509B5A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</w:tr>
      <w:tr w:rsidR="009B71FB" w:rsidRPr="001C04A6" w14:paraId="7F589176" w14:textId="77777777" w:rsidTr="0005585F">
        <w:trPr>
          <w:trHeight w:val="20"/>
        </w:trPr>
        <w:tc>
          <w:tcPr>
            <w:tcW w:w="1528" w:type="pct"/>
          </w:tcPr>
          <w:p w14:paraId="284B2F9A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Mature leaf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let</w:t>
            </w: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 xml:space="preserve"> colour</w:t>
            </w:r>
          </w:p>
        </w:tc>
        <w:tc>
          <w:tcPr>
            <w:tcW w:w="768" w:type="pct"/>
          </w:tcPr>
          <w:p w14:paraId="676DDEB1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Green</w:t>
            </w:r>
          </w:p>
        </w:tc>
        <w:tc>
          <w:tcPr>
            <w:tcW w:w="397" w:type="pct"/>
          </w:tcPr>
          <w:p w14:paraId="7D050B88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35" w:type="pct"/>
          </w:tcPr>
          <w:p w14:paraId="45985B70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521" w:type="pct"/>
          </w:tcPr>
          <w:p w14:paraId="00F8BB6C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480" w:type="pct"/>
          </w:tcPr>
          <w:p w14:paraId="613AC8A4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71" w:type="pct"/>
          </w:tcPr>
          <w:p w14:paraId="27303471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9B71FB" w:rsidRPr="001C04A6" w14:paraId="392355CF" w14:textId="77777777" w:rsidTr="0005585F">
        <w:trPr>
          <w:trHeight w:val="20"/>
        </w:trPr>
        <w:tc>
          <w:tcPr>
            <w:tcW w:w="1528" w:type="pct"/>
          </w:tcPr>
          <w:p w14:paraId="03D167D6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Leaflet fragrance</w:t>
            </w:r>
          </w:p>
        </w:tc>
        <w:tc>
          <w:tcPr>
            <w:tcW w:w="768" w:type="pct"/>
          </w:tcPr>
          <w:p w14:paraId="13893BE9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Strong</w:t>
            </w:r>
          </w:p>
        </w:tc>
        <w:tc>
          <w:tcPr>
            <w:tcW w:w="397" w:type="pct"/>
          </w:tcPr>
          <w:p w14:paraId="12CC11D8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35" w:type="pct"/>
          </w:tcPr>
          <w:p w14:paraId="39D547C9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521" w:type="pct"/>
          </w:tcPr>
          <w:p w14:paraId="462FCC53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480" w:type="pct"/>
          </w:tcPr>
          <w:p w14:paraId="32BE71FB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671" w:type="pct"/>
          </w:tcPr>
          <w:p w14:paraId="4F277E41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9B71FB" w:rsidRPr="001C04A6" w14:paraId="0872DB27" w14:textId="77777777" w:rsidTr="0005585F">
        <w:trPr>
          <w:trHeight w:val="20"/>
        </w:trPr>
        <w:tc>
          <w:tcPr>
            <w:tcW w:w="1528" w:type="pct"/>
          </w:tcPr>
          <w:p w14:paraId="1B9FCA02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Calyx pigmentation</w:t>
            </w:r>
          </w:p>
        </w:tc>
        <w:tc>
          <w:tcPr>
            <w:tcW w:w="768" w:type="pct"/>
          </w:tcPr>
          <w:p w14:paraId="5C15601A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397" w:type="pct"/>
          </w:tcPr>
          <w:p w14:paraId="3B14BA2F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35" w:type="pct"/>
          </w:tcPr>
          <w:p w14:paraId="253776C4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521" w:type="pct"/>
          </w:tcPr>
          <w:p w14:paraId="5BD400F0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480" w:type="pct"/>
          </w:tcPr>
          <w:p w14:paraId="6F34D8D1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71" w:type="pct"/>
          </w:tcPr>
          <w:p w14:paraId="596EBDC4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9B71FB" w:rsidRPr="001C04A6" w14:paraId="56777FD0" w14:textId="77777777" w:rsidTr="0005585F">
        <w:trPr>
          <w:trHeight w:val="20"/>
        </w:trPr>
        <w:tc>
          <w:tcPr>
            <w:tcW w:w="1528" w:type="pct"/>
          </w:tcPr>
          <w:p w14:paraId="394E1D91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Young fruit pigmentation</w:t>
            </w:r>
          </w:p>
        </w:tc>
        <w:tc>
          <w:tcPr>
            <w:tcW w:w="768" w:type="pct"/>
          </w:tcPr>
          <w:p w14:paraId="04D11893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397" w:type="pct"/>
          </w:tcPr>
          <w:p w14:paraId="64A86B29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35" w:type="pct"/>
          </w:tcPr>
          <w:p w14:paraId="2C23E0BB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521" w:type="pct"/>
          </w:tcPr>
          <w:p w14:paraId="777141CB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480" w:type="pct"/>
          </w:tcPr>
          <w:p w14:paraId="4EF5FD1C" w14:textId="77777777" w:rsidR="009B71FB" w:rsidRPr="001C04A6" w:rsidRDefault="009B71FB" w:rsidP="0005585F">
            <w:pPr>
              <w:jc w:val="center"/>
              <w:rPr>
                <w:rFonts w:ascii="Segoe UI Symbol" w:hAnsi="Segoe UI Symbol" w:cs="Segoe UI Symbol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71" w:type="pct"/>
          </w:tcPr>
          <w:p w14:paraId="4DFBF875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  <w:tr w:rsidR="009B71FB" w:rsidRPr="001C04A6" w14:paraId="417E7D16" w14:textId="77777777" w:rsidTr="0005585F">
        <w:trPr>
          <w:trHeight w:val="20"/>
        </w:trPr>
        <w:tc>
          <w:tcPr>
            <w:tcW w:w="1528" w:type="pct"/>
            <w:hideMark/>
          </w:tcPr>
          <w:p w14:paraId="416F2A33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Fruit beak</w:t>
            </w:r>
          </w:p>
        </w:tc>
        <w:tc>
          <w:tcPr>
            <w:tcW w:w="768" w:type="pct"/>
            <w:hideMark/>
          </w:tcPr>
          <w:p w14:paraId="60B2C5FC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Absent</w:t>
            </w:r>
          </w:p>
        </w:tc>
        <w:tc>
          <w:tcPr>
            <w:tcW w:w="397" w:type="pct"/>
            <w:hideMark/>
          </w:tcPr>
          <w:p w14:paraId="45623E1F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35" w:type="pct"/>
            <w:hideMark/>
          </w:tcPr>
          <w:p w14:paraId="64F6027A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521" w:type="pct"/>
            <w:hideMark/>
          </w:tcPr>
          <w:p w14:paraId="4CC9ECA5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480" w:type="pct"/>
            <w:hideMark/>
          </w:tcPr>
          <w:p w14:paraId="7988461D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71" w:type="pct"/>
            <w:hideMark/>
          </w:tcPr>
          <w:p w14:paraId="7BF6AE02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</w:tr>
      <w:tr w:rsidR="009B71FB" w:rsidRPr="001C04A6" w14:paraId="192C3534" w14:textId="77777777" w:rsidTr="0005585F">
        <w:trPr>
          <w:trHeight w:val="20"/>
        </w:trPr>
        <w:tc>
          <w:tcPr>
            <w:tcW w:w="1528" w:type="pct"/>
            <w:tcBorders>
              <w:bottom w:val="single" w:sz="4" w:space="0" w:color="auto"/>
            </w:tcBorders>
            <w:hideMark/>
          </w:tcPr>
          <w:p w14:paraId="2C91804C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Fruit shape</w:t>
            </w:r>
          </w:p>
        </w:tc>
        <w:tc>
          <w:tcPr>
            <w:tcW w:w="768" w:type="pct"/>
            <w:tcBorders>
              <w:bottom w:val="single" w:sz="4" w:space="0" w:color="auto"/>
            </w:tcBorders>
            <w:hideMark/>
          </w:tcPr>
          <w:p w14:paraId="64F3AC23" w14:textId="77777777" w:rsidR="009B71FB" w:rsidRPr="001C04A6" w:rsidRDefault="009B71FB" w:rsidP="000558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Oval</w:t>
            </w:r>
          </w:p>
        </w:tc>
        <w:tc>
          <w:tcPr>
            <w:tcW w:w="397" w:type="pct"/>
            <w:tcBorders>
              <w:bottom w:val="single" w:sz="4" w:space="0" w:color="auto"/>
            </w:tcBorders>
            <w:hideMark/>
          </w:tcPr>
          <w:p w14:paraId="731FB452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635" w:type="pct"/>
            <w:tcBorders>
              <w:bottom w:val="single" w:sz="4" w:space="0" w:color="auto"/>
            </w:tcBorders>
            <w:hideMark/>
          </w:tcPr>
          <w:p w14:paraId="2255A66D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521" w:type="pct"/>
            <w:tcBorders>
              <w:bottom w:val="single" w:sz="4" w:space="0" w:color="auto"/>
            </w:tcBorders>
            <w:hideMark/>
          </w:tcPr>
          <w:p w14:paraId="4ADE6828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Segoe UI Symbol" w:hAnsi="Segoe UI Symbol" w:cs="Segoe UI Symbol"/>
                <w:sz w:val="24"/>
                <w:szCs w:val="24"/>
              </w:rPr>
              <w:t>✓</w:t>
            </w:r>
          </w:p>
        </w:tc>
        <w:tc>
          <w:tcPr>
            <w:tcW w:w="480" w:type="pct"/>
            <w:tcBorders>
              <w:bottom w:val="single" w:sz="4" w:space="0" w:color="auto"/>
            </w:tcBorders>
            <w:hideMark/>
          </w:tcPr>
          <w:p w14:paraId="514EA816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671" w:type="pct"/>
            <w:tcBorders>
              <w:bottom w:val="single" w:sz="4" w:space="0" w:color="auto"/>
            </w:tcBorders>
            <w:hideMark/>
          </w:tcPr>
          <w:p w14:paraId="519340DD" w14:textId="77777777" w:rsidR="009B71FB" w:rsidRPr="001C04A6" w:rsidRDefault="009B71FB" w:rsidP="000558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4A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</w:tbl>
    <w:p w14:paraId="5001DA57" w14:textId="77777777" w:rsidR="009B71FB" w:rsidRPr="00296C66" w:rsidRDefault="009B71FB" w:rsidP="009B71FB">
      <w:pPr>
        <w:rPr>
          <w:rFonts w:ascii="Times New Roman" w:hAnsi="Times New Roman" w:cs="Times New Roman"/>
          <w:sz w:val="24"/>
          <w:szCs w:val="24"/>
        </w:rPr>
      </w:pPr>
      <w:r w:rsidRPr="00FE7B46">
        <w:rPr>
          <w:rFonts w:ascii="Segoe UI Symbol" w:hAnsi="Segoe UI Symbol" w:cs="Segoe UI Symbol"/>
          <w:sz w:val="24"/>
          <w:szCs w:val="24"/>
        </w:rPr>
        <w:t>✓</w:t>
      </w:r>
      <w:r w:rsidRPr="00FE7B46">
        <w:rPr>
          <w:rFonts w:ascii="Times New Roman" w:hAnsi="Times New Roman" w:cs="Times New Roman"/>
          <w:sz w:val="24"/>
          <w:szCs w:val="24"/>
        </w:rPr>
        <w:t xml:space="preserve"> indicates the predominant (most frequent) descriptor state for a given trait within a region; – indicates non-predominant state.</w:t>
      </w:r>
    </w:p>
    <w:p w14:paraId="326F23A3" w14:textId="77777777" w:rsidR="009B71FB" w:rsidRDefault="009B71FB" w:rsidP="009B71FB"/>
    <w:sectPr w:rsidR="009B71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D50"/>
    <w:rsid w:val="00066D50"/>
    <w:rsid w:val="00432177"/>
    <w:rsid w:val="0050689E"/>
    <w:rsid w:val="007B4C1E"/>
    <w:rsid w:val="009A5412"/>
    <w:rsid w:val="009B71FB"/>
    <w:rsid w:val="00C967D6"/>
    <w:rsid w:val="00D8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0F05B"/>
  <w15:chartTrackingRefBased/>
  <w15:docId w15:val="{2F834CB1-DA64-4C54-BC29-E975AF51F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1FB"/>
    <w:pPr>
      <w:spacing w:line="259" w:lineRule="auto"/>
      <w:jc w:val="left"/>
    </w:pPr>
    <w:rPr>
      <w:kern w:val="0"/>
      <w:lang w:bidi="k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6D50"/>
    <w:pPr>
      <w:keepNext/>
      <w:keepLines/>
      <w:spacing w:before="360" w:after="80" w:line="276" w:lineRule="auto"/>
      <w:jc w:val="both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6D50"/>
    <w:pPr>
      <w:keepNext/>
      <w:keepLines/>
      <w:spacing w:before="160" w:after="80" w:line="276" w:lineRule="auto"/>
      <w:jc w:val="both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6D50"/>
    <w:pPr>
      <w:keepNext/>
      <w:keepLines/>
      <w:spacing w:before="160" w:after="80" w:line="276" w:lineRule="auto"/>
      <w:jc w:val="both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6D50"/>
    <w:pPr>
      <w:keepNext/>
      <w:keepLines/>
      <w:spacing w:before="80" w:after="40" w:line="276" w:lineRule="auto"/>
      <w:jc w:val="both"/>
      <w:outlineLvl w:val="3"/>
    </w:pPr>
    <w:rPr>
      <w:rFonts w:eastAsiaTheme="majorEastAsia" w:cstheme="majorBidi"/>
      <w:i/>
      <w:iCs/>
      <w:color w:val="2F5496" w:themeColor="accent1" w:themeShade="BF"/>
      <w:kern w:val="2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6D50"/>
    <w:pPr>
      <w:keepNext/>
      <w:keepLines/>
      <w:spacing w:before="80" w:after="40" w:line="276" w:lineRule="auto"/>
      <w:jc w:val="both"/>
      <w:outlineLvl w:val="4"/>
    </w:pPr>
    <w:rPr>
      <w:rFonts w:eastAsiaTheme="majorEastAsia" w:cstheme="majorBidi"/>
      <w:color w:val="2F5496" w:themeColor="accent1" w:themeShade="BF"/>
      <w:kern w:val="2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6D50"/>
    <w:pPr>
      <w:keepNext/>
      <w:keepLines/>
      <w:spacing w:before="40" w:after="0" w:line="276" w:lineRule="auto"/>
      <w:jc w:val="both"/>
      <w:outlineLvl w:val="5"/>
    </w:pPr>
    <w:rPr>
      <w:rFonts w:eastAsiaTheme="majorEastAsia" w:cstheme="majorBidi"/>
      <w:i/>
      <w:iCs/>
      <w:color w:val="595959" w:themeColor="text1" w:themeTint="A6"/>
      <w:kern w:val="2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6D50"/>
    <w:pPr>
      <w:keepNext/>
      <w:keepLines/>
      <w:spacing w:before="40" w:after="0" w:line="276" w:lineRule="auto"/>
      <w:jc w:val="both"/>
      <w:outlineLvl w:val="6"/>
    </w:pPr>
    <w:rPr>
      <w:rFonts w:eastAsiaTheme="majorEastAsia" w:cstheme="majorBidi"/>
      <w:color w:val="595959" w:themeColor="text1" w:themeTint="A6"/>
      <w:kern w:val="2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6D50"/>
    <w:pPr>
      <w:keepNext/>
      <w:keepLines/>
      <w:spacing w:after="0" w:line="276" w:lineRule="auto"/>
      <w:jc w:val="both"/>
      <w:outlineLvl w:val="7"/>
    </w:pPr>
    <w:rPr>
      <w:rFonts w:eastAsiaTheme="majorEastAsia" w:cstheme="majorBidi"/>
      <w:i/>
      <w:iCs/>
      <w:color w:val="272727" w:themeColor="text1" w:themeTint="D8"/>
      <w:kern w:val="2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6D50"/>
    <w:pPr>
      <w:keepNext/>
      <w:keepLines/>
      <w:spacing w:after="0" w:line="276" w:lineRule="auto"/>
      <w:jc w:val="both"/>
      <w:outlineLvl w:val="8"/>
    </w:pPr>
    <w:rPr>
      <w:rFonts w:eastAsiaTheme="majorEastAsia" w:cstheme="majorBidi"/>
      <w:color w:val="272727" w:themeColor="text1" w:themeTint="D8"/>
      <w:kern w:val="2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6D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6D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6D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6D5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6D5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6D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6D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6D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6D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6D50"/>
    <w:pPr>
      <w:spacing w:after="80" w:line="240" w:lineRule="auto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66D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6D50"/>
    <w:pPr>
      <w:numPr>
        <w:ilvl w:val="1"/>
      </w:numPr>
      <w:spacing w:line="276" w:lineRule="auto"/>
      <w:jc w:val="both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66D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6D50"/>
    <w:pPr>
      <w:spacing w:before="160" w:line="276" w:lineRule="auto"/>
      <w:jc w:val="center"/>
    </w:pPr>
    <w:rPr>
      <w:i/>
      <w:iCs/>
      <w:color w:val="404040" w:themeColor="text1" w:themeTint="BF"/>
      <w:kern w:val="2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66D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6D50"/>
    <w:pPr>
      <w:spacing w:line="276" w:lineRule="auto"/>
      <w:ind w:left="720"/>
      <w:contextualSpacing/>
      <w:jc w:val="both"/>
    </w:pPr>
    <w:rPr>
      <w:kern w:val="2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66D5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6D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6" w:lineRule="auto"/>
      <w:ind w:left="864" w:right="864"/>
      <w:jc w:val="center"/>
    </w:pPr>
    <w:rPr>
      <w:i/>
      <w:iCs/>
      <w:color w:val="2F5496" w:themeColor="accent1" w:themeShade="BF"/>
      <w:kern w:val="2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6D5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6D50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B71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945</Characters>
  <Application>Microsoft Office Word</Application>
  <DocSecurity>0</DocSecurity>
  <Lines>7</Lines>
  <Paragraphs>2</Paragraphs>
  <ScaleCrop>false</ScaleCrop>
  <Company>HP</Company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 B R</dc:creator>
  <cp:keywords/>
  <dc:description/>
  <cp:lastModifiedBy>Raghu B R</cp:lastModifiedBy>
  <cp:revision>2</cp:revision>
  <dcterms:created xsi:type="dcterms:W3CDTF">2026-01-24T06:10:00Z</dcterms:created>
  <dcterms:modified xsi:type="dcterms:W3CDTF">2026-01-24T06:10:00Z</dcterms:modified>
</cp:coreProperties>
</file>