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44CCE3">
      <w:pPr>
        <w:rPr>
          <w:b/>
          <w:bCs/>
        </w:rPr>
      </w:pPr>
      <w:r>
        <w:rPr>
          <w:b/>
          <w:bCs/>
        </w:rPr>
        <w:t>The file includes:</w:t>
      </w:r>
    </w:p>
    <w:p w14:paraId="27D4431C">
      <w:pPr>
        <w:rPr>
          <w:b/>
          <w:bCs/>
        </w:rPr>
      </w:pPr>
      <w:r>
        <w:rPr>
          <w:b/>
          <w:bCs/>
        </w:rPr>
        <w:t xml:space="preserve">Figures S1 to </w:t>
      </w:r>
      <w:r>
        <w:rPr>
          <w:rFonts w:hint="eastAsia"/>
          <w:b/>
          <w:bCs/>
        </w:rPr>
        <w:t>6</w:t>
      </w:r>
    </w:p>
    <w:p w14:paraId="74905AF4">
      <w:pPr>
        <w:pStyle w:val="19"/>
        <w:ind w:left="0" w:leftChars="0" w:firstLine="0" w:firstLineChars="0"/>
        <w:rPr>
          <w:rFonts w:hint="eastAsia" w:eastAsia="等线"/>
          <w:lang w:eastAsia="zh-CN"/>
        </w:rPr>
      </w:pPr>
      <w:r>
        <w:rPr>
          <w:rFonts w:hint="eastAsia" w:eastAsia="等线"/>
          <w:lang w:eastAsia="zh-CN"/>
        </w:rPr>
        <w:drawing>
          <wp:inline distT="0" distB="0" distL="114300" distR="114300">
            <wp:extent cx="5273040" cy="5831840"/>
            <wp:effectExtent l="0" t="0" r="0" b="5080"/>
            <wp:docPr id="1" name="图片 1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83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4B13">
      <w:r>
        <w:rPr>
          <w:b/>
          <w:bCs/>
        </w:rPr>
        <w:t>Figures S1: JQ1-induced cellular senescence is accompanied by p21 upregulation.</w:t>
      </w:r>
    </w:p>
    <w:p w14:paraId="75D182DE">
      <w:pPr>
        <w:rPr>
          <w:rFonts w:hint="default" w:eastAsia="Times New Roman"/>
          <w:lang w:val="en-US" w:eastAsia="zh-CN"/>
        </w:rPr>
      </w:pPr>
      <w:r>
        <w:rPr>
          <w:rFonts w:hint="eastAsia"/>
          <w:b/>
          <w:bCs/>
          <w:lang w:val="en-US" w:eastAsia="zh-CN"/>
        </w:rPr>
        <w:t>A)</w:t>
      </w:r>
      <w:r>
        <w:t xml:space="preserve"> Representative flow-cytometry evaluation of cell death in </w:t>
      </w:r>
      <w:bookmarkStart w:id="0" w:name="_Hlk124263260"/>
      <w:r>
        <w:t>SCC15 and SCC25 cells</w:t>
      </w:r>
      <w:bookmarkEnd w:id="0"/>
      <w:r>
        <w:t xml:space="preserve"> after treatment with increasing doses of JQ1 (n = 3). </w:t>
      </w:r>
      <w:r>
        <w:rPr>
          <w:rFonts w:hint="eastAsia"/>
          <w:b/>
          <w:bCs/>
          <w:lang w:val="en-US" w:eastAsia="zh-CN"/>
        </w:rPr>
        <w:t>B)</w:t>
      </w:r>
      <w:r>
        <w:t xml:space="preserve"> Western blotting of two cell lines after treatment with JQ1 for the indicated time periods. Jurkat cells were treated with 25 μM etoposide as positive control. S, short exposure; L, long exposure. </w:t>
      </w:r>
      <w:r>
        <w:rPr>
          <w:rFonts w:hint="eastAsia"/>
          <w:b/>
          <w:bCs/>
          <w:lang w:val="en-US" w:eastAsia="zh-CN"/>
        </w:rPr>
        <w:t>C)</w:t>
      </w:r>
      <w:r>
        <w:t xml:space="preserve"> Flow-cytometry of PI incorporation to determine 2N (G0/G1) and 4N (G2/M) DNA content in the two cell lines after treatment with the indicated concentrations of JQ1 (n = 3). Representative experimental results are shown. </w:t>
      </w:r>
      <w:r>
        <w:rPr>
          <w:rFonts w:hint="eastAsia"/>
          <w:b/>
          <w:bCs/>
          <w:lang w:val="en-US" w:eastAsia="zh-CN"/>
        </w:rPr>
        <w:t>D)</w:t>
      </w:r>
      <w:r>
        <w:t xml:space="preserve"> Western blotting analysis of the two cell lines after treatment with JQ1. </w:t>
      </w:r>
      <w:r>
        <w:rPr>
          <w:rFonts w:hint="eastAsia"/>
          <w:b/>
          <w:bCs/>
          <w:lang w:val="en-US" w:eastAsia="zh-CN"/>
        </w:rPr>
        <w:t>E, F)</w:t>
      </w:r>
      <w:r>
        <w:t xml:space="preserve"> Representative immunofluorescence images of p21 and p16 (left) and the levels (right) in the two cell lines after JQ1 treatment (n = 3, paired two-tailed </w:t>
      </w:r>
      <w:r>
        <w:rPr>
          <w:i/>
          <w:iCs/>
        </w:rPr>
        <w:t>t</w:t>
      </w:r>
      <w:r>
        <w:t>-test). Scale bar = 20 μm. Percentages of p21 positive cells were scored in &gt; 100 cells from randomly selected fields, and the p16 relative mean intensity was calculated from 3 randomly selected fields, by Image J.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b/>
          <w:bCs/>
          <w:lang w:val="en-US" w:eastAsia="zh-CN"/>
        </w:rPr>
        <w:t>G)</w:t>
      </w:r>
      <w:r>
        <w:rPr>
          <w:rFonts w:hint="eastAsia"/>
          <w:lang w:val="en-US" w:eastAsia="zh-CN"/>
        </w:rPr>
        <w:t xml:space="preserve"> Western blotting of p53 and phosphorylated p53 (p-p53) in SCC15 and SCC25 cells treated with 0.5 </w:t>
      </w:r>
      <w:r>
        <w:rPr>
          <w:rFonts w:hint="eastAsia" w:eastAsia="Times New Roman"/>
          <w:sz w:val="24"/>
          <w:lang w:val="en-US" w:eastAsia="zh-CN"/>
        </w:rPr>
        <w:t>μM JQ1 for the indicated time periods (6 h, 48 h and 6 d). 293FT cells treated with 0.5 μM</w:t>
      </w:r>
      <w:r>
        <w:rPr>
          <w:rFonts w:hint="eastAsia" w:eastAsia="Times New Roman"/>
          <w:lang w:val="en-US" w:eastAsia="zh-CN"/>
        </w:rPr>
        <w:t xml:space="preserve"> prexasertib dihydrochloride (PD) for 48 h were included as control. </w:t>
      </w:r>
      <w:r>
        <w:rPr>
          <w:rFonts w:hint="eastAsia" w:eastAsia="Times New Roman"/>
          <w:b/>
          <w:bCs/>
          <w:lang w:val="en-US" w:eastAsia="zh-CN"/>
        </w:rPr>
        <w:t>H)</w:t>
      </w:r>
      <w:r>
        <w:rPr>
          <w:rFonts w:hint="eastAsia" w:eastAsia="Times New Roman"/>
          <w:lang w:val="en-US" w:eastAsia="zh-CN"/>
        </w:rPr>
        <w:t xml:space="preserve"> Western blotting of BRD2, BRD3 or BRD4 and p21 in SCC15 and SCC25 cells transfected with negative control siRNA (NC) or three independent siRNAs (#1–#3) targeting BRD2, BRD3 or BRD4.</w:t>
      </w:r>
    </w:p>
    <w:p w14:paraId="69B1BBC6">
      <w:pPr>
        <w:rPr>
          <w:rFonts w:hint="default" w:eastAsia="Times New Roman"/>
          <w:lang w:val="en-US" w:eastAsia="zh-CN"/>
        </w:rPr>
      </w:pPr>
    </w:p>
    <w:p w14:paraId="159518F2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8595" cy="6613525"/>
            <wp:effectExtent l="0" t="0" r="4445" b="635"/>
            <wp:docPr id="7" name="图片 7" descr="260419-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60419-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61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9F052">
      <w:pPr>
        <w:rPr>
          <w:rFonts w:eastAsia="Times New Roman"/>
          <w:b/>
          <w:bCs/>
          <w:szCs w:val="28"/>
        </w:rPr>
      </w:pPr>
      <w:r>
        <w:rPr>
          <w:rFonts w:eastAsia="Times New Roman"/>
          <w:b/>
          <w:bCs/>
          <w:szCs w:val="28"/>
        </w:rPr>
        <w:t>Fig</w:t>
      </w:r>
      <w:r>
        <w:rPr>
          <w:rFonts w:hint="eastAsia" w:eastAsia="Times New Roman"/>
          <w:b/>
          <w:bCs/>
          <w:szCs w:val="28"/>
        </w:rPr>
        <w:t>ure S</w:t>
      </w:r>
      <w:r>
        <w:rPr>
          <w:rFonts w:eastAsia="Times New Roman"/>
          <w:b/>
          <w:bCs/>
          <w:szCs w:val="28"/>
        </w:rPr>
        <w:t>2 BRD4 inhibition is correlated with senescence-associated transcriptome profiles without triggering an inflammatory response.</w:t>
      </w:r>
    </w:p>
    <w:p w14:paraId="18E60D93">
      <w:pPr>
        <w:widowControl/>
        <w:rPr>
          <w:rFonts w:hint="eastAsia" w:eastAsia="Times New Roman"/>
          <w:lang w:val="en-US" w:eastAsia="zh-CN"/>
        </w:rPr>
      </w:pPr>
      <w:r>
        <w:rPr>
          <w:rFonts w:hint="eastAsia" w:eastAsia="Times New Roman"/>
          <w:b/>
          <w:bCs/>
          <w:szCs w:val="21"/>
          <w:lang w:val="en-US" w:eastAsia="zh-CN"/>
        </w:rPr>
        <w:t>A)</w:t>
      </w:r>
      <w:r>
        <w:rPr>
          <w:rFonts w:eastAsia="Times New Roman"/>
          <w:szCs w:val="21"/>
        </w:rPr>
        <w:t xml:space="preserve"> Scatter plot showing the correlation of gene-expression changes between SCC15 and SCC25 cells treated with 0.5 μM JQ1 for 48 h (RNA-seq). </w:t>
      </w:r>
      <w:r>
        <w:rPr>
          <w:rFonts w:eastAsia="Times New Roman"/>
          <w:b/>
          <w:bCs/>
          <w:szCs w:val="21"/>
        </w:rPr>
        <w:t>B</w:t>
      </w:r>
      <w:r>
        <w:rPr>
          <w:rFonts w:hint="eastAsia" w:eastAsia="Times New Roman"/>
          <w:b/>
          <w:bCs/>
          <w:szCs w:val="21"/>
          <w:lang w:val="en-US" w:eastAsia="zh-CN"/>
        </w:rPr>
        <w:t>)</w:t>
      </w:r>
      <w:r>
        <w:rPr>
          <w:rFonts w:eastAsia="Times New Roman"/>
          <w:szCs w:val="21"/>
        </w:rPr>
        <w:t xml:space="preserve"> Heatmap of scaled FPKM values for selected inflammatory/SASP-related genes and regulators in SCC15 and SCC25 cells treated with DMSO or 0.5 μM JQ1. Green arrowheads indicate representative regulators (e.g., NF-κB/C/EBPβ- and senescence-related factors), and red arrowheads indicate key inflammatory SASP factors (e.g., TGFB1, CXCL1/2, IL1A/IL6/IL1B)</w:t>
      </w:r>
      <w:r>
        <w:rPr>
          <w:rFonts w:eastAsia="Times New Roman"/>
          <w:b/>
          <w:bCs/>
          <w:szCs w:val="21"/>
        </w:rPr>
        <w:t>C</w:t>
      </w:r>
      <w:r>
        <w:rPr>
          <w:rFonts w:eastAsia="Times New Roman"/>
          <w:szCs w:val="21"/>
        </w:rPr>
        <w:t>)</w:t>
      </w:r>
      <w:r>
        <w:rPr>
          <w:rFonts w:hint="eastAsia" w:eastAsia="Times New Roman"/>
          <w:szCs w:val="21"/>
        </w:rPr>
        <w:t xml:space="preserve"> Representative images of SA-β-gal staining assays (left) and quantification (right) of SA-β-gal–positive cells in MKN-45 cells treated with 5 μM JQ1 and MDA-MB-231 cells treated with 3 μM JQ1 compared with DMSO control.</w:t>
      </w:r>
      <w:r>
        <w:rPr>
          <w:rFonts w:eastAsia="Times New Roman"/>
        </w:rPr>
        <w:t xml:space="preserve"> Scale bar = 100 μm.</w:t>
      </w:r>
      <w:r>
        <w:rPr>
          <w:rFonts w:eastAsia="Times New Roman"/>
          <w:szCs w:val="21"/>
        </w:rPr>
        <w:t xml:space="preserve"> </w:t>
      </w:r>
      <w:r>
        <w:rPr>
          <w:rFonts w:eastAsia="Times New Roman"/>
          <w:b/>
          <w:bCs/>
          <w:szCs w:val="21"/>
        </w:rPr>
        <w:t>D</w:t>
      </w:r>
      <w:r>
        <w:rPr>
          <w:rFonts w:hint="eastAsia" w:eastAsia="Times New Roman"/>
          <w:b/>
          <w:bCs/>
          <w:szCs w:val="21"/>
        </w:rPr>
        <w:t>)</w:t>
      </w:r>
      <w:r>
        <w:rPr>
          <w:rFonts w:eastAsia="Times New Roman"/>
          <w:b/>
          <w:bCs/>
          <w:szCs w:val="21"/>
        </w:rPr>
        <w:t xml:space="preserve"> </w:t>
      </w:r>
      <w:r>
        <w:rPr>
          <w:rFonts w:eastAsia="Times New Roman"/>
        </w:rPr>
        <w:t>RT–qPCR analysis of IL-1α, IL-6 and CXCL8 mRNA levels in gastric cancer cell line (MKN-45; 5 μM JQ1) and breast cancer cell line (MDA-MB-231; 3 μM JQ1)</w:t>
      </w:r>
      <w:r>
        <w:rPr>
          <w:rFonts w:hint="eastAsia" w:eastAsia="宋体"/>
          <w:lang w:val="en-US" w:eastAsia="zh-CN"/>
        </w:rPr>
        <w:t>.</w:t>
      </w:r>
      <w:r>
        <w:rPr>
          <w:rFonts w:hint="eastAsia" w:eastAsia="Times New Roman"/>
          <w:lang w:val="en-US" w:eastAsia="zh-CN"/>
        </w:rPr>
        <w:t xml:space="preserve"> (n = 3, mean ± s.d., two-tailed unpaired Student</w:t>
      </w:r>
      <w:r>
        <w:rPr>
          <w:rFonts w:hint="default" w:eastAsia="Times New Roman"/>
          <w:lang w:val="en-US" w:eastAsia="zh-CN"/>
        </w:rPr>
        <w:t>’</w:t>
      </w:r>
      <w:r>
        <w:rPr>
          <w:rFonts w:hint="eastAsia" w:eastAsia="Times New Roman"/>
          <w:lang w:val="en-US" w:eastAsia="zh-CN"/>
        </w:rPr>
        <w:t>s t-test.</w:t>
      </w:r>
    </w:p>
    <w:p w14:paraId="2F6C037D">
      <w:pPr>
        <w:widowControl/>
        <w:rPr>
          <w:rFonts w:hint="eastAsia" w:eastAsia="宋体"/>
        </w:rPr>
      </w:pPr>
      <w:r>
        <w:rPr>
          <w:rFonts w:hint="eastAsia" w:eastAsia="宋体"/>
        </w:rPr>
        <w:drawing>
          <wp:inline distT="0" distB="0" distL="114300" distR="114300">
            <wp:extent cx="5273040" cy="6445885"/>
            <wp:effectExtent l="0" t="0" r="0" b="635"/>
            <wp:docPr id="4" name="图片 4" descr="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44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C4455">
      <w:pPr>
        <w:rPr>
          <w:rFonts w:hint="eastAsia" w:eastAsia="Times New Roman"/>
        </w:rPr>
      </w:pPr>
      <w:r>
        <w:rPr>
          <w:rFonts w:hint="eastAsia" w:eastAsia="Times New Roman"/>
        </w:rPr>
        <w:t xml:space="preserve">Figure S3.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 Top 10 enriched KEGG pathway terms of the commonly upregulated DEGs (described in Fig. 3B) in JQ1-induced senescent SCC15 and SCC25 cells.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Representative images (left) and quantification (right) of the mRFP</w:t>
      </w:r>
      <w:r>
        <w:rPr>
          <w:rFonts w:hint="eastAsia" w:eastAsia="宋体"/>
          <w:lang w:val="en-US" w:eastAsia="zh-CN"/>
        </w:rPr>
        <w:t>-</w:t>
      </w:r>
      <w:r>
        <w:rPr>
          <w:rFonts w:hint="eastAsia" w:eastAsia="Times New Roman"/>
        </w:rPr>
        <w:t>GFP</w:t>
      </w:r>
      <w:r>
        <w:rPr>
          <w:rFonts w:hint="eastAsia" w:eastAsia="宋体"/>
          <w:lang w:val="en-US" w:eastAsia="zh-CN"/>
        </w:rPr>
        <w:t>-</w:t>
      </w:r>
      <w:r>
        <w:rPr>
          <w:rFonts w:hint="eastAsia" w:eastAsia="Times New Roman"/>
        </w:rPr>
        <w:t xml:space="preserve">LC3 reporter assay in SCC25 cells treated with 0.5 μM JQ1 for the indicated time periods (6 h, 48 h, 6 d) (DMSO as control). Autophagosomes and autolysosomes were quantified as LC3 puncta per cell (n = 3; one-way ANOVA with LSD post hoc multiple comparison test).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Times New Roman"/>
        </w:rPr>
        <w:t xml:space="preserve"> Western blotting of p62/SQSTM1 and LC3B (with p21 as indicated) in SCC15 and SCC25 cells treated with 0.5 μM JQ1; chloroquine (CQ, 10 μM) was used as a lysosomal inhibitor (4 h, as indicated). </w:t>
      </w:r>
      <w:r>
        <w:rPr>
          <w:rFonts w:hint="eastAsia" w:eastAsia="Times New Roman"/>
          <w:b/>
          <w:bCs/>
        </w:rPr>
        <w:t>D)</w:t>
      </w:r>
      <w:r>
        <w:rPr>
          <w:rFonts w:hint="eastAsia" w:eastAsia="Times New Roman"/>
        </w:rPr>
        <w:t xml:space="preserve"> Western blotting analysis of BRD4, LAMP2, ASM (SMPD1) and LC3B in SCC15 and SCC25 cells transfected with siBRD4 or siNC control. </w:t>
      </w:r>
      <w:r>
        <w:rPr>
          <w:rFonts w:hint="eastAsia" w:eastAsia="Times New Roman"/>
          <w:b/>
          <w:bCs/>
        </w:rPr>
        <w:t>E)</w:t>
      </w:r>
      <w:r>
        <w:rPr>
          <w:rFonts w:hint="eastAsia" w:eastAsia="Times New Roman"/>
        </w:rPr>
        <w:t xml:space="preserve"> Western blotting of ULK1, LC3B and p21 in SCC15 and SCC25 cells transfected with siULK1 (#1) (or control) and treated with 0.5 μM JQ1 as indicated. </w:t>
      </w:r>
      <w:r>
        <w:rPr>
          <w:rFonts w:hint="eastAsia" w:eastAsia="Times New Roman"/>
          <w:b/>
          <w:bCs/>
        </w:rPr>
        <w:t>F)</w:t>
      </w:r>
      <w:r>
        <w:rPr>
          <w:rFonts w:hint="eastAsia" w:eastAsia="Times New Roman"/>
        </w:rPr>
        <w:t xml:space="preserve"> Representative images of SA-β-gal staining (left) and quantification of SA-β-gal–positive cells (%) (right) in SCC15 and SCC25 cells transfected with siULK1 (#1) (or siNC) after treatment with DMSO or 0.5 μM JQ1 (n = 3; statistical test as stated in the manuscript, consistent with multi-group comparisons) </w:t>
      </w:r>
      <w:r>
        <w:rPr>
          <w:rFonts w:hint="eastAsia" w:eastAsia="Times New Roman"/>
          <w:b/>
          <w:bCs/>
        </w:rPr>
        <w:t>G)</w:t>
      </w:r>
      <w:r>
        <w:rPr>
          <w:rFonts w:hint="eastAsia" w:eastAsia="Times New Roman"/>
        </w:rPr>
        <w:t xml:space="preserve"> Representative images of EdU staining in the two cell lines transfected with siULK1 after treatment with JQ1 for 48 h (left) and the levels (right) of SCC15 and SCC25 (n = 3, unpaired two-tailed t test). Scale bar = 100 μm.The percentages of positive cells were scored in &gt; 100 cells from randomly selected fields (F, G).</w:t>
      </w:r>
      <w:r>
        <w:rPr>
          <w:rFonts w:hint="eastAsia" w:eastAsia="宋体"/>
          <w:lang w:val="en-US" w:eastAsia="zh-CN"/>
        </w:rPr>
        <w:t xml:space="preserve"> </w:t>
      </w:r>
    </w:p>
    <w:p w14:paraId="4EEC40C1">
      <w:pPr>
        <w:rPr>
          <w:rFonts w:hint="eastAsia" w:eastAsia="宋体"/>
        </w:rPr>
      </w:pPr>
      <w:r>
        <w:rPr>
          <w:rFonts w:hint="eastAsia" w:eastAsia="宋体"/>
        </w:rPr>
        <w:drawing>
          <wp:inline distT="0" distB="0" distL="114300" distR="114300">
            <wp:extent cx="5271135" cy="3972560"/>
            <wp:effectExtent l="0" t="0" r="1905" b="5080"/>
            <wp:docPr id="5" name="图片 5" descr="Fig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 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85F80">
      <w:pPr>
        <w:rPr>
          <w:rFonts w:hint="eastAsia" w:eastAsia="Times New Roman"/>
        </w:rPr>
      </w:pPr>
      <w:r>
        <w:rPr>
          <w:rFonts w:hint="eastAsia" w:eastAsia="Times New Roman"/>
        </w:rPr>
        <w:t xml:space="preserve">Figure S4.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Western blotting of LC3B (I/II), ATG5 and p21 in SCC15 and SCC25 cells transfected with siATG5 (#3) or control siRNA and treated with 0.5 μM JQ1 (DMSO as control).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Representative images (left) and quantification (right) of EdU incorporation in SCC15 and SCC25 cells transfected with siATG5 (#3) or control siRNA and treated with DMSO or 0.5 μM JQ1 (n = 3; one-way ANOVA with LSD post hoc multiple comparison test). Scale bar = 100 μm.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rPr>
          <w:rFonts w:hint="eastAsia" w:eastAsia="Times New Roman"/>
          <w:b w:val="0"/>
          <w:bCs w:val="0"/>
        </w:rPr>
        <w:t>Western blotting for G9a, BRD4 and MYC in SCC15 and SCC25 cells transduced with pLV-Empty or pLV-BRD4 (o.e., overexpression).</w:t>
      </w:r>
      <w:r>
        <w:rPr>
          <w:rFonts w:hint="eastAsia" w:eastAsia="Times New Roman"/>
        </w:rPr>
        <w:t xml:space="preserve"> </w:t>
      </w:r>
      <w:r>
        <w:rPr>
          <w:rFonts w:hint="eastAsia" w:eastAsia="Times New Roman"/>
          <w:b/>
          <w:bCs/>
        </w:rPr>
        <w:t>D</w:t>
      </w:r>
      <w:r>
        <w:rPr>
          <w:rFonts w:hint="eastAsia" w:eastAsia="宋体"/>
          <w:b/>
          <w:bCs/>
          <w:lang w:val="en-US" w:eastAsia="zh-CN"/>
        </w:rPr>
        <w:t>)</w:t>
      </w:r>
      <w:r>
        <w:rPr>
          <w:rFonts w:hint="eastAsia" w:eastAsia="Times New Roman"/>
          <w:b/>
          <w:bCs/>
        </w:rPr>
        <w:t xml:space="preserve"> </w:t>
      </w:r>
      <w:r>
        <w:rPr>
          <w:rFonts w:hint="eastAsia" w:eastAsia="Times New Roman"/>
          <w:b w:val="0"/>
          <w:bCs w:val="0"/>
        </w:rPr>
        <w:t>Western blotting for G9a, BRD4 and MYC in SCC15 and SCC25 cells transfected with siBRD4 or negative control siRNA</w:t>
      </w:r>
      <w:r>
        <w:rPr>
          <w:rFonts w:hint="eastAsia" w:eastAsia="Times New Roman"/>
        </w:rPr>
        <w:t>.</w:t>
      </w:r>
    </w:p>
    <w:p w14:paraId="74737D5A">
      <w:pPr>
        <w:rPr>
          <w:rFonts w:hint="eastAsia" w:eastAsia="Times New Roman"/>
        </w:rPr>
      </w:pPr>
      <w:r>
        <w:rPr>
          <w:rFonts w:hint="eastAsia" w:eastAsia="Times New Roman"/>
        </w:rPr>
        <w:drawing>
          <wp:inline distT="0" distB="0" distL="114300" distR="114300">
            <wp:extent cx="5273040" cy="5670550"/>
            <wp:effectExtent l="0" t="0" r="0" b="13970"/>
            <wp:docPr id="6" name="图片 6" descr="Fig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 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CDFDE">
      <w:pPr>
        <w:rPr>
          <w:rFonts w:hint="eastAsia" w:eastAsia="Times New Roman"/>
        </w:rPr>
      </w:pPr>
      <w:r>
        <w:rPr>
          <w:rFonts w:hint="eastAsia" w:eastAsia="Times New Roman"/>
        </w:rPr>
        <w:t xml:space="preserve">Figure S5.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 Smooth scatterplots comparing methylation levels (β-values) between senescent (Sen) and proliferating (Prolif) cells at promoter CpGIs, gene bodies and enhancer regions (SCC15, top; SCC25, bottom).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Numbers and percentages of significant differential methylation probes (DMPs) located within CpGI regions or outside CpGIs (non-CpGIs). Hyper, Δβ = (Sen − Prolif) &gt; 0, p &lt; 0.05; Hypo, Δβ = (Sen − Prolif) &lt; 0, p &lt; 0.05.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Times New Roman"/>
        </w:rPr>
        <w:t xml:space="preserve"> Genome-browser views of representative DMPs near or within the indicated genes in SCC15 or SCC25. Tracks show β-values of Prolif (blue) and Sen (pink) replicates, mean Δβ (Sen − Prolif; green), and p values (red). Senescence-associated promoter CpGI hypermethylated sites are boxed in red..</w:t>
      </w:r>
    </w:p>
    <w:p w14:paraId="213AC39C">
      <w:pPr>
        <w:rPr>
          <w:rFonts w:hint="eastAsia" w:eastAsia="Times New Roman"/>
        </w:rPr>
      </w:pPr>
    </w:p>
    <w:p w14:paraId="41236574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865" cy="2510155"/>
            <wp:effectExtent l="0" t="0" r="3175" b="4445"/>
            <wp:docPr id="2" name="图片 2" descr="260422-Fig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60422-FigS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5C94C0FB">
      <w:pPr>
        <w:rPr>
          <w:rFonts w:eastAsia="Times New Roman"/>
        </w:rPr>
      </w:pPr>
      <w:r>
        <w:rPr>
          <w:rFonts w:hint="eastAsia" w:eastAsia="Times New Roman"/>
        </w:rPr>
        <w:t xml:space="preserve">Figure S6.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 Kaplan–Meier overall survival analysis of the TCGA head and neck squamous cell carcinoma (TCGA-HNSC) cohort stratified by SMAD4 expression (High, n = 62; Low, n = 406); P = 0.047 (log-rank test).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Immunoblot analysis of BRCA1 and SMAD4 in SCC15 cells treated with JQ-1 and/or olaparib as indicated; β-tubulin served as a loading control.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Times New Roman"/>
        </w:rPr>
        <w:t xml:space="preserve"> Schematic of the SCC15 subcutaneous xenograft model and treatment schedule: SCC15 cells were implanted subcutaneously (s.c.), and mice received intraperitoneal (i.p.) injections of JQ-1 (50 mg/kg, every 2 days) and/or olaparib (50 mg/kg, every 2 days) followed by endpoint assessment of tumor volume and weight on day 26. </w:t>
      </w:r>
      <w:r>
        <w:rPr>
          <w:rFonts w:hint="eastAsia" w:eastAsia="Times New Roman"/>
          <w:b/>
          <w:bCs/>
        </w:rPr>
        <w:t>D)</w:t>
      </w:r>
      <w:r>
        <w:rPr>
          <w:rFonts w:hint="eastAsia" w:eastAsia="Times New Roman"/>
        </w:rPr>
        <w:t xml:space="preserve"> Representative images of excised tumors from each treatment group at the study endpoint.</w:t>
      </w:r>
      <w:r>
        <w:rPr>
          <w:rFonts w:hint="eastAsia" w:eastAsia="Times New Roman"/>
          <w:b/>
          <w:bCs/>
        </w:rPr>
        <w:t xml:space="preserve"> E)</w:t>
      </w:r>
      <w:r>
        <w:rPr>
          <w:rFonts w:hint="eastAsia" w:eastAsia="Times New Roman"/>
        </w:rPr>
        <w:t xml:space="preserve"> Tumor growth curves showing tumor volume (mm³) over the indicated treatment period for control, olaparib, JQ-1, and the combination group; error bars indicate variability within each group, and asterisks denote statistical significance (*p &lt; 0.05; **p &lt; 0.01; ***p &lt; 0.001).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Palatino Linotype">
    <w:panose1 w:val="02040502050505030304"/>
    <w:charset w:val="00"/>
    <w:family w:val="roman"/>
    <w:pitch w:val="default"/>
    <w:sig w:usb0="E0000287" w:usb1="40000013" w:usb2="00000000" w:usb3="00000000" w:csb0="2000019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9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RlNDA4YTI1NjIwN2Y2YTQ4OTgyZGVhMTQxNzIwM2M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 Sci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0wxdpzd9vd5r7e9t5b595djrfpttrxw9avp&quot;&gt;Sample_Library_21 Copy&lt;record-ids&gt;&lt;item&gt;2975&lt;/item&gt;&lt;item&gt;2976&lt;/item&gt;&lt;/record-ids&gt;&lt;/item&gt;&lt;/Libraries&gt;"/>
  </w:docVars>
  <w:rsids>
    <w:rsidRoot w:val="00017079"/>
    <w:rsid w:val="00002493"/>
    <w:rsid w:val="00003E11"/>
    <w:rsid w:val="000068C1"/>
    <w:rsid w:val="00015568"/>
    <w:rsid w:val="00017079"/>
    <w:rsid w:val="00022D53"/>
    <w:rsid w:val="000268DE"/>
    <w:rsid w:val="00056DA6"/>
    <w:rsid w:val="00065DE1"/>
    <w:rsid w:val="000663BE"/>
    <w:rsid w:val="00076A20"/>
    <w:rsid w:val="000864EE"/>
    <w:rsid w:val="00092942"/>
    <w:rsid w:val="000A15B7"/>
    <w:rsid w:val="000B6D02"/>
    <w:rsid w:val="000C75E7"/>
    <w:rsid w:val="000D55F4"/>
    <w:rsid w:val="000D713C"/>
    <w:rsid w:val="000E4940"/>
    <w:rsid w:val="000F569E"/>
    <w:rsid w:val="00103D3D"/>
    <w:rsid w:val="00104AAC"/>
    <w:rsid w:val="001125EE"/>
    <w:rsid w:val="0012016D"/>
    <w:rsid w:val="0012227B"/>
    <w:rsid w:val="00131657"/>
    <w:rsid w:val="00132D37"/>
    <w:rsid w:val="001368F8"/>
    <w:rsid w:val="00137EFC"/>
    <w:rsid w:val="00143EA7"/>
    <w:rsid w:val="00144658"/>
    <w:rsid w:val="00152781"/>
    <w:rsid w:val="001551FE"/>
    <w:rsid w:val="00162A24"/>
    <w:rsid w:val="001674BC"/>
    <w:rsid w:val="00170E91"/>
    <w:rsid w:val="00172DA7"/>
    <w:rsid w:val="0017648F"/>
    <w:rsid w:val="00186A2F"/>
    <w:rsid w:val="001A15AF"/>
    <w:rsid w:val="001A67D2"/>
    <w:rsid w:val="001B7346"/>
    <w:rsid w:val="001C76BE"/>
    <w:rsid w:val="001D1BF0"/>
    <w:rsid w:val="001D1FE3"/>
    <w:rsid w:val="001E25A0"/>
    <w:rsid w:val="001E4760"/>
    <w:rsid w:val="0020441F"/>
    <w:rsid w:val="00210771"/>
    <w:rsid w:val="00216F1E"/>
    <w:rsid w:val="00217464"/>
    <w:rsid w:val="0022142A"/>
    <w:rsid w:val="0022257A"/>
    <w:rsid w:val="0022684F"/>
    <w:rsid w:val="00227E46"/>
    <w:rsid w:val="00231FBE"/>
    <w:rsid w:val="002366F2"/>
    <w:rsid w:val="00241539"/>
    <w:rsid w:val="00260620"/>
    <w:rsid w:val="002642EA"/>
    <w:rsid w:val="00265199"/>
    <w:rsid w:val="00267EFE"/>
    <w:rsid w:val="00274D83"/>
    <w:rsid w:val="0028644F"/>
    <w:rsid w:val="00287181"/>
    <w:rsid w:val="002A477C"/>
    <w:rsid w:val="002A5D6E"/>
    <w:rsid w:val="002B622C"/>
    <w:rsid w:val="002C14EC"/>
    <w:rsid w:val="002C2258"/>
    <w:rsid w:val="002D272C"/>
    <w:rsid w:val="002D3D03"/>
    <w:rsid w:val="002E10B3"/>
    <w:rsid w:val="002E4C9D"/>
    <w:rsid w:val="002E51F4"/>
    <w:rsid w:val="0030324D"/>
    <w:rsid w:val="00317F15"/>
    <w:rsid w:val="00321990"/>
    <w:rsid w:val="003253E6"/>
    <w:rsid w:val="003363F2"/>
    <w:rsid w:val="00350510"/>
    <w:rsid w:val="003647F1"/>
    <w:rsid w:val="00371449"/>
    <w:rsid w:val="00377131"/>
    <w:rsid w:val="0039087A"/>
    <w:rsid w:val="003C3E3F"/>
    <w:rsid w:val="003D514A"/>
    <w:rsid w:val="003D5CD3"/>
    <w:rsid w:val="003E3A74"/>
    <w:rsid w:val="003E518F"/>
    <w:rsid w:val="003F0556"/>
    <w:rsid w:val="003F2390"/>
    <w:rsid w:val="00416830"/>
    <w:rsid w:val="00425ACF"/>
    <w:rsid w:val="004360AC"/>
    <w:rsid w:val="0044196F"/>
    <w:rsid w:val="004455FC"/>
    <w:rsid w:val="00450F0B"/>
    <w:rsid w:val="00470663"/>
    <w:rsid w:val="00492AE8"/>
    <w:rsid w:val="00492F02"/>
    <w:rsid w:val="004D3AC5"/>
    <w:rsid w:val="004E3A12"/>
    <w:rsid w:val="004F5659"/>
    <w:rsid w:val="00521A69"/>
    <w:rsid w:val="00540351"/>
    <w:rsid w:val="0055232D"/>
    <w:rsid w:val="0056473E"/>
    <w:rsid w:val="0058572A"/>
    <w:rsid w:val="005A1CA7"/>
    <w:rsid w:val="005B20D6"/>
    <w:rsid w:val="005B5A15"/>
    <w:rsid w:val="005B70ED"/>
    <w:rsid w:val="005C60FA"/>
    <w:rsid w:val="005E5163"/>
    <w:rsid w:val="005F4FE9"/>
    <w:rsid w:val="00601EBF"/>
    <w:rsid w:val="00617252"/>
    <w:rsid w:val="006255C1"/>
    <w:rsid w:val="00631694"/>
    <w:rsid w:val="00642E2E"/>
    <w:rsid w:val="00644C99"/>
    <w:rsid w:val="0066308D"/>
    <w:rsid w:val="006640F1"/>
    <w:rsid w:val="00673809"/>
    <w:rsid w:val="006765DF"/>
    <w:rsid w:val="00680D52"/>
    <w:rsid w:val="006858AB"/>
    <w:rsid w:val="00685AE3"/>
    <w:rsid w:val="0069364B"/>
    <w:rsid w:val="00693DF2"/>
    <w:rsid w:val="006A5136"/>
    <w:rsid w:val="006D74E6"/>
    <w:rsid w:val="007016E8"/>
    <w:rsid w:val="00702ED9"/>
    <w:rsid w:val="0070391F"/>
    <w:rsid w:val="007144B6"/>
    <w:rsid w:val="0072262C"/>
    <w:rsid w:val="00726DFD"/>
    <w:rsid w:val="00732700"/>
    <w:rsid w:val="00733F01"/>
    <w:rsid w:val="007359E4"/>
    <w:rsid w:val="00735F37"/>
    <w:rsid w:val="00740127"/>
    <w:rsid w:val="00740D99"/>
    <w:rsid w:val="00746C9E"/>
    <w:rsid w:val="00761316"/>
    <w:rsid w:val="00766788"/>
    <w:rsid w:val="00780181"/>
    <w:rsid w:val="00783785"/>
    <w:rsid w:val="007936A4"/>
    <w:rsid w:val="00794F2C"/>
    <w:rsid w:val="007971F5"/>
    <w:rsid w:val="007A1ABF"/>
    <w:rsid w:val="007A22EB"/>
    <w:rsid w:val="007B0742"/>
    <w:rsid w:val="007C049A"/>
    <w:rsid w:val="007C3959"/>
    <w:rsid w:val="007C7A71"/>
    <w:rsid w:val="007D36F9"/>
    <w:rsid w:val="007D40BB"/>
    <w:rsid w:val="007D476A"/>
    <w:rsid w:val="007D6A0F"/>
    <w:rsid w:val="007E5A2E"/>
    <w:rsid w:val="007E7F7F"/>
    <w:rsid w:val="007F3920"/>
    <w:rsid w:val="007F59E3"/>
    <w:rsid w:val="008008F4"/>
    <w:rsid w:val="0080157C"/>
    <w:rsid w:val="00801EF5"/>
    <w:rsid w:val="00806754"/>
    <w:rsid w:val="00815588"/>
    <w:rsid w:val="00821191"/>
    <w:rsid w:val="008333C9"/>
    <w:rsid w:val="00833E18"/>
    <w:rsid w:val="00844866"/>
    <w:rsid w:val="00850B5A"/>
    <w:rsid w:val="00855FFA"/>
    <w:rsid w:val="00860DED"/>
    <w:rsid w:val="00880EF3"/>
    <w:rsid w:val="00886806"/>
    <w:rsid w:val="008B6E98"/>
    <w:rsid w:val="008C023D"/>
    <w:rsid w:val="008D56AA"/>
    <w:rsid w:val="008D7148"/>
    <w:rsid w:val="008E2265"/>
    <w:rsid w:val="008E30CF"/>
    <w:rsid w:val="008F21BE"/>
    <w:rsid w:val="008F762D"/>
    <w:rsid w:val="009023CE"/>
    <w:rsid w:val="0092296D"/>
    <w:rsid w:val="009260C3"/>
    <w:rsid w:val="0093008A"/>
    <w:rsid w:val="009322C2"/>
    <w:rsid w:val="009339CC"/>
    <w:rsid w:val="00937195"/>
    <w:rsid w:val="00944533"/>
    <w:rsid w:val="009543D7"/>
    <w:rsid w:val="00957F0F"/>
    <w:rsid w:val="00966811"/>
    <w:rsid w:val="00986925"/>
    <w:rsid w:val="009B3806"/>
    <w:rsid w:val="009B4436"/>
    <w:rsid w:val="009B4855"/>
    <w:rsid w:val="009C6904"/>
    <w:rsid w:val="009C7DB1"/>
    <w:rsid w:val="009D29C1"/>
    <w:rsid w:val="009E2C35"/>
    <w:rsid w:val="00A01B9E"/>
    <w:rsid w:val="00A02FF9"/>
    <w:rsid w:val="00A04D8F"/>
    <w:rsid w:val="00A12F1A"/>
    <w:rsid w:val="00A32142"/>
    <w:rsid w:val="00A46E22"/>
    <w:rsid w:val="00A823FA"/>
    <w:rsid w:val="00A95F4E"/>
    <w:rsid w:val="00AA261A"/>
    <w:rsid w:val="00AB1A93"/>
    <w:rsid w:val="00AB3EDA"/>
    <w:rsid w:val="00AC53B4"/>
    <w:rsid w:val="00AD0F0A"/>
    <w:rsid w:val="00AD3C6A"/>
    <w:rsid w:val="00AF37C9"/>
    <w:rsid w:val="00B06CE1"/>
    <w:rsid w:val="00B31B6E"/>
    <w:rsid w:val="00B31EBD"/>
    <w:rsid w:val="00B43B11"/>
    <w:rsid w:val="00B53F1A"/>
    <w:rsid w:val="00B62C6F"/>
    <w:rsid w:val="00B702F6"/>
    <w:rsid w:val="00B91D60"/>
    <w:rsid w:val="00B935AF"/>
    <w:rsid w:val="00B96697"/>
    <w:rsid w:val="00BA11AE"/>
    <w:rsid w:val="00BC2149"/>
    <w:rsid w:val="00BC3577"/>
    <w:rsid w:val="00BC3B1B"/>
    <w:rsid w:val="00BF1988"/>
    <w:rsid w:val="00C04F0F"/>
    <w:rsid w:val="00C06D3D"/>
    <w:rsid w:val="00C14093"/>
    <w:rsid w:val="00C2499C"/>
    <w:rsid w:val="00C34922"/>
    <w:rsid w:val="00C46236"/>
    <w:rsid w:val="00C614B6"/>
    <w:rsid w:val="00C657FF"/>
    <w:rsid w:val="00C77B4D"/>
    <w:rsid w:val="00C8304E"/>
    <w:rsid w:val="00C90193"/>
    <w:rsid w:val="00C9305F"/>
    <w:rsid w:val="00C93516"/>
    <w:rsid w:val="00C9634F"/>
    <w:rsid w:val="00C967CD"/>
    <w:rsid w:val="00C975F9"/>
    <w:rsid w:val="00CA33BE"/>
    <w:rsid w:val="00CA51D2"/>
    <w:rsid w:val="00CB7472"/>
    <w:rsid w:val="00CC2231"/>
    <w:rsid w:val="00CC4E55"/>
    <w:rsid w:val="00CE4EA9"/>
    <w:rsid w:val="00CF72B4"/>
    <w:rsid w:val="00D23123"/>
    <w:rsid w:val="00D320E8"/>
    <w:rsid w:val="00D3658A"/>
    <w:rsid w:val="00D40788"/>
    <w:rsid w:val="00D550C3"/>
    <w:rsid w:val="00D615DF"/>
    <w:rsid w:val="00D7173A"/>
    <w:rsid w:val="00D75E09"/>
    <w:rsid w:val="00D833C2"/>
    <w:rsid w:val="00D90BA0"/>
    <w:rsid w:val="00D94FEB"/>
    <w:rsid w:val="00DB20D0"/>
    <w:rsid w:val="00DB3CCC"/>
    <w:rsid w:val="00DB3D38"/>
    <w:rsid w:val="00DC686F"/>
    <w:rsid w:val="00DE18EB"/>
    <w:rsid w:val="00DF29FA"/>
    <w:rsid w:val="00DF380A"/>
    <w:rsid w:val="00E10303"/>
    <w:rsid w:val="00E10FA4"/>
    <w:rsid w:val="00E23622"/>
    <w:rsid w:val="00E34A64"/>
    <w:rsid w:val="00E36BFC"/>
    <w:rsid w:val="00E41A0A"/>
    <w:rsid w:val="00E6505C"/>
    <w:rsid w:val="00E70FE4"/>
    <w:rsid w:val="00E73B76"/>
    <w:rsid w:val="00E743B0"/>
    <w:rsid w:val="00E85B38"/>
    <w:rsid w:val="00E87629"/>
    <w:rsid w:val="00E93F31"/>
    <w:rsid w:val="00E93FC3"/>
    <w:rsid w:val="00EA1C0B"/>
    <w:rsid w:val="00EC4EC3"/>
    <w:rsid w:val="00ED31EB"/>
    <w:rsid w:val="00ED44B1"/>
    <w:rsid w:val="00EE11CA"/>
    <w:rsid w:val="00F058BE"/>
    <w:rsid w:val="00F11263"/>
    <w:rsid w:val="00F17A76"/>
    <w:rsid w:val="00F24B59"/>
    <w:rsid w:val="00F3028D"/>
    <w:rsid w:val="00F4763B"/>
    <w:rsid w:val="00F50C91"/>
    <w:rsid w:val="00F52B76"/>
    <w:rsid w:val="00F558E7"/>
    <w:rsid w:val="00F70C93"/>
    <w:rsid w:val="00F75CB4"/>
    <w:rsid w:val="00F779F0"/>
    <w:rsid w:val="00F83F05"/>
    <w:rsid w:val="00F95FA1"/>
    <w:rsid w:val="00FA2D03"/>
    <w:rsid w:val="00FC6FCF"/>
    <w:rsid w:val="00FD29F2"/>
    <w:rsid w:val="073C2E6C"/>
    <w:rsid w:val="0CA93CFB"/>
    <w:rsid w:val="11F32207"/>
    <w:rsid w:val="12F15266"/>
    <w:rsid w:val="1FF51DE1"/>
    <w:rsid w:val="25A63CB2"/>
    <w:rsid w:val="2614032B"/>
    <w:rsid w:val="269B1F84"/>
    <w:rsid w:val="2BF65974"/>
    <w:rsid w:val="2C31353F"/>
    <w:rsid w:val="363E5004"/>
    <w:rsid w:val="36B10C29"/>
    <w:rsid w:val="44D40322"/>
    <w:rsid w:val="493472ED"/>
    <w:rsid w:val="76015EAE"/>
    <w:rsid w:val="7C0B6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qFormat="1"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line="360" w:lineRule="auto"/>
      <w:jc w:val="both"/>
    </w:pPr>
    <w:rPr>
      <w:rFonts w:ascii="Times New Roman" w:hAnsi="Times New Roman" w:eastAsia="等线" w:cs="Times New Roman"/>
      <w:color w:val="000000"/>
      <w:kern w:val="2"/>
      <w:sz w:val="24"/>
      <w:szCs w:val="24"/>
      <w:lang w:val="en-US" w:eastAsia="zh-CN" w:bidi="ar-SA"/>
      <w14:ligatures w14:val="standardContextual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6"/>
    <w:semiHidden/>
    <w:unhideWhenUsed/>
    <w:qFormat/>
    <w:uiPriority w:val="99"/>
    <w:pPr>
      <w:jc w:val="left"/>
    </w:pPr>
  </w:style>
  <w:style w:type="paragraph" w:styleId="3">
    <w:name w:val="Balloon Text"/>
    <w:basedOn w:val="1"/>
    <w:link w:val="17"/>
    <w:autoRedefine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5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annotation subject"/>
    <w:basedOn w:val="2"/>
    <w:next w:val="2"/>
    <w:link w:val="18"/>
    <w:autoRedefine/>
    <w:semiHidden/>
    <w:unhideWhenUsed/>
    <w:qFormat/>
    <w:uiPriority w:val="99"/>
    <w:rPr>
      <w:b/>
      <w:bCs/>
    </w:rPr>
  </w:style>
  <w:style w:type="table" w:styleId="8">
    <w:name w:val="Table Grid"/>
    <w:basedOn w:val="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22"/>
    <w:rPr>
      <w:b/>
    </w:rPr>
  </w:style>
  <w:style w:type="character" w:styleId="11">
    <w:name w:val="line number"/>
    <w:basedOn w:val="9"/>
    <w:autoRedefine/>
    <w:semiHidden/>
    <w:unhideWhenUsed/>
    <w:qFormat/>
    <w:uiPriority w:val="99"/>
  </w:style>
  <w:style w:type="character" w:styleId="12">
    <w:name w:val="Hyperlink"/>
    <w:basedOn w:val="9"/>
    <w:autoRedefine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3">
    <w:name w:val="annotation reference"/>
    <w:basedOn w:val="9"/>
    <w:autoRedefine/>
    <w:semiHidden/>
    <w:unhideWhenUsed/>
    <w:qFormat/>
    <w:uiPriority w:val="99"/>
    <w:rPr>
      <w:sz w:val="21"/>
      <w:szCs w:val="21"/>
    </w:rPr>
  </w:style>
  <w:style w:type="character" w:customStyle="1" w:styleId="14">
    <w:name w:val="页眉 字符"/>
    <w:basedOn w:val="9"/>
    <w:link w:val="5"/>
    <w:qFormat/>
    <w:uiPriority w:val="99"/>
    <w:rPr>
      <w:sz w:val="18"/>
      <w:szCs w:val="18"/>
    </w:rPr>
  </w:style>
  <w:style w:type="character" w:customStyle="1" w:styleId="15">
    <w:name w:val="页脚 字符"/>
    <w:basedOn w:val="9"/>
    <w:link w:val="4"/>
    <w:qFormat/>
    <w:uiPriority w:val="99"/>
    <w:rPr>
      <w:sz w:val="18"/>
      <w:szCs w:val="18"/>
    </w:rPr>
  </w:style>
  <w:style w:type="character" w:customStyle="1" w:styleId="16">
    <w:name w:val="批注文字 字符"/>
    <w:basedOn w:val="9"/>
    <w:link w:val="2"/>
    <w:autoRedefine/>
    <w:semiHidden/>
    <w:qFormat/>
    <w:uiPriority w:val="99"/>
  </w:style>
  <w:style w:type="character" w:customStyle="1" w:styleId="17">
    <w:name w:val="批注框文本 字符"/>
    <w:basedOn w:val="9"/>
    <w:link w:val="3"/>
    <w:autoRedefine/>
    <w:semiHidden/>
    <w:qFormat/>
    <w:uiPriority w:val="99"/>
    <w:rPr>
      <w:sz w:val="18"/>
      <w:szCs w:val="18"/>
    </w:rPr>
  </w:style>
  <w:style w:type="character" w:customStyle="1" w:styleId="18">
    <w:name w:val="批注主题 字符"/>
    <w:basedOn w:val="16"/>
    <w:link w:val="6"/>
    <w:semiHidden/>
    <w:qFormat/>
    <w:uiPriority w:val="99"/>
    <w:rPr>
      <w:b/>
      <w:bCs/>
    </w:rPr>
  </w:style>
  <w:style w:type="paragraph" w:styleId="19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20">
    <w:name w:val="未处理的提及1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1">
    <w:name w:val="Unresolved Mention1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22">
    <w:name w:val="EndNote Bibliography Title"/>
    <w:basedOn w:val="1"/>
    <w:link w:val="23"/>
    <w:autoRedefine/>
    <w:qFormat/>
    <w:uiPriority w:val="0"/>
    <w:pPr>
      <w:jc w:val="center"/>
    </w:pPr>
    <w:rPr>
      <w:rFonts w:ascii="等线" w:hAnsi="等线"/>
      <w:sz w:val="20"/>
    </w:rPr>
  </w:style>
  <w:style w:type="character" w:customStyle="1" w:styleId="23">
    <w:name w:val="EndNote Bibliography Title 字符"/>
    <w:basedOn w:val="9"/>
    <w:link w:val="22"/>
    <w:autoRedefine/>
    <w:qFormat/>
    <w:uiPriority w:val="0"/>
    <w:rPr>
      <w:rFonts w:ascii="等线" w:hAnsi="等线" w:eastAsia="等线"/>
      <w:kern w:val="2"/>
      <w:szCs w:val="22"/>
      <w14:ligatures w14:val="standardContextual"/>
    </w:rPr>
  </w:style>
  <w:style w:type="paragraph" w:customStyle="1" w:styleId="24">
    <w:name w:val="EndNote Bibliography"/>
    <w:basedOn w:val="1"/>
    <w:link w:val="25"/>
    <w:autoRedefine/>
    <w:qFormat/>
    <w:uiPriority w:val="0"/>
    <w:rPr>
      <w:rFonts w:ascii="等线" w:hAnsi="等线"/>
      <w:sz w:val="20"/>
    </w:rPr>
  </w:style>
  <w:style w:type="character" w:customStyle="1" w:styleId="25">
    <w:name w:val="EndNote Bibliography 字符"/>
    <w:basedOn w:val="9"/>
    <w:link w:val="24"/>
    <w:autoRedefine/>
    <w:qFormat/>
    <w:uiPriority w:val="0"/>
    <w:rPr>
      <w:rFonts w:ascii="等线" w:hAnsi="等线" w:eastAsia="等线"/>
      <w:kern w:val="2"/>
      <w:szCs w:val="22"/>
      <w14:ligatures w14:val="standardContextual"/>
    </w:rPr>
  </w:style>
  <w:style w:type="paragraph" w:customStyle="1" w:styleId="26">
    <w:name w:val="修订1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customStyle="1" w:styleId="27">
    <w:name w:val="未处理的提及2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8">
    <w:name w:val="EndNote Bibliography Char"/>
    <w:autoRedefine/>
    <w:qFormat/>
    <w:uiPriority w:val="0"/>
    <w:rPr>
      <w:rFonts w:ascii="Palatino Linotype" w:hAnsi="Palatino Linotype"/>
      <w:color w:val="000000"/>
      <w:sz w:val="20"/>
      <w:szCs w:val="20"/>
    </w:rPr>
  </w:style>
  <w:style w:type="character" w:customStyle="1" w:styleId="29">
    <w:name w:val="未处理的提及3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0">
    <w:name w:val="修订2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customStyle="1" w:styleId="31">
    <w:name w:val="未处理的提及4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2">
    <w:name w:val="未处理的提及5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3">
    <w:name w:val="修订3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customStyle="1" w:styleId="34">
    <w:name w:val="未处理的提及6"/>
    <w:basedOn w:val="9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5">
    <w:name w:val="Unresolved Mention"/>
    <w:basedOn w:val="9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8" Type="http://schemas.openxmlformats.org/officeDocument/2006/relationships/image" Target="media/image3.tiff"/><Relationship Id="rId7" Type="http://schemas.openxmlformats.org/officeDocument/2006/relationships/image" Target="media/image2.tiff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6.jpeg"/><Relationship Id="rId10" Type="http://schemas.openxmlformats.org/officeDocument/2006/relationships/image" Target="media/image5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4F952F-4E6B-42A5-8C85-7E5C03DE65D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1086</Words>
  <Characters>5654</Characters>
  <Lines>62</Lines>
  <Paragraphs>15</Paragraphs>
  <TotalTime>47</TotalTime>
  <ScaleCrop>false</ScaleCrop>
  <LinksUpToDate>false</LinksUpToDate>
  <CharactersWithSpaces>6731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2026-01-06T03:53:00Z</dcterms:created>
  <dc:creator>yin zhu</dc:creator>
  <cp:lastModifiedBy>HMX</cp:lastModifiedBy>
  <cp:lastPrinted>2024-10-17T11:51:00Z</cp:lastPrinted>
  <dcterms:modified xsi:type="dcterms:W3CDTF">2026-04-22T03:47:12Z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8486D7860096435E8FE824CB2ECDD310_13</vt:lpwstr>
  </property>
  <property fmtid="{D5CDD505-2E9C-101B-9397-08002B2CF9AE}" pid="4" name="GrammarlyDocumentId">
    <vt:lpwstr>ee8e840ea2d8c5b326957d3c242eb9816c4b66f701ae404402f40bd9e3b55bcb</vt:lpwstr>
  </property>
  <property fmtid="{D5CDD505-2E9C-101B-9397-08002B2CF9AE}" pid="5" name="KSOTemplateDocerSaveRecord">
    <vt:lpwstr>eyJoZGlkIjoiZTY0MDAyMmY3OTBlMzQ4ZWJiZDdiMTE1MTNhMzFhYjciLCJ1c2VySWQiOiI0NjM3NTIzMDIifQ==</vt:lpwstr>
  </property>
</Properties>
</file>