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AF32A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B2F5EE8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58E383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Helvetica" w:eastAsia="Helvetica" w:hAnsi="Helvetica" w:cs="Helvetica"/>
          <w:b/>
          <w:color w:val="34322D"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Appendix: </w:t>
      </w:r>
    </w:p>
    <w:p w14:paraId="641D14E5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AB77C24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object w:dxaOrig="9455" w:dyaOrig="8968" w14:anchorId="54E181D2">
          <v:rect id="rectole0000000000" o:spid="_x0000_i1025" style="width:473pt;height:448.5pt" o:ole="" o:preferrelative="t" stroked="f">
            <v:imagedata r:id="rId4" o:title=""/>
          </v:rect>
          <o:OLEObject Type="Embed" ProgID="StaticMetafile" ShapeID="rectole0000000000" DrawAspect="Content" ObjectID="_1836471197" r:id="rId5"/>
        </w:object>
      </w:r>
    </w:p>
    <w:p w14:paraId="7C2260F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4DEE0505" w14:textId="77777777" w:rsidR="003443EA" w:rsidRDefault="003443EA" w:rsidP="003443EA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shd w:val="clear" w:color="auto" w:fill="F8F8F7"/>
        </w:rPr>
      </w:pPr>
      <w:r>
        <w:rPr>
          <w:rFonts w:ascii="Times New Roman" w:eastAsia="Times New Roman" w:hAnsi="Times New Roman" w:cs="Times New Roman"/>
          <w:b/>
          <w:shd w:val="clear" w:color="auto" w:fill="F8F8F7"/>
        </w:rPr>
        <w:t>Appendix Figure 1</w:t>
      </w:r>
      <w:r>
        <w:rPr>
          <w:rFonts w:ascii="Times New Roman" w:eastAsia="Times New Roman" w:hAnsi="Times New Roman" w:cs="Times New Roman"/>
          <w:shd w:val="clear" w:color="auto" w:fill="F8F8F7"/>
        </w:rPr>
        <w:t xml:space="preserve">  </w:t>
      </w:r>
    </w:p>
    <w:p w14:paraId="3F437A3E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rPr>
          <w:rFonts w:ascii="Times New Roman" w:eastAsia="Times New Roman" w:hAnsi="Times New Roman" w:cs="Times New Roman"/>
          <w:shd w:val="clear" w:color="auto" w:fill="F8F8F7"/>
        </w:rPr>
        <w:t>PRISMA Flow Chart. (shows the systematic search and selection process, including the number of articles identified, screened, excluded, and finally included in the meta-analysis)</w:t>
      </w:r>
    </w:p>
    <w:p w14:paraId="1AB565CE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3C0F5C0A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344ABB0F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31F6F69B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6A5F6F13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6A3512C7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111E4532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5"/>
        <w:gridCol w:w="884"/>
        <w:gridCol w:w="705"/>
        <w:gridCol w:w="946"/>
        <w:gridCol w:w="891"/>
        <w:gridCol w:w="774"/>
        <w:gridCol w:w="1105"/>
        <w:gridCol w:w="933"/>
        <w:gridCol w:w="1036"/>
        <w:gridCol w:w="1153"/>
      </w:tblGrid>
      <w:tr w:rsidR="003443EA" w14:paraId="357C67F1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514E0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Study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2B4B9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Design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FFD30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Follow up (months)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4F479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Peri implantitis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7B92A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Study groups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B6D0B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Sessions number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70C19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Test group specifications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C0571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No of patients (No of implants)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D8CF0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8B7E6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Debridement method</w:t>
            </w:r>
          </w:p>
        </w:tc>
      </w:tr>
      <w:tr w:rsidR="003443EA" w14:paraId="6DFAF52B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AC697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schwarz et al (2005)(11)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559BD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controlled parallel design pilot study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48831C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DAC63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>4mm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F37F0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Er:YAG laser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5E09B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A76BDA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100 mJ/pulse (12.7 J/cm2), 10 pps,</w:t>
            </w:r>
          </w:p>
          <w:p w14:paraId="66E150C7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C02D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20(32)</w:t>
            </w:r>
          </w:p>
          <w:p w14:paraId="1EAD6F0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89B3A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BE6338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plastic curettes and 0.2%</w:t>
            </w:r>
          </w:p>
          <w:p w14:paraId="39F1028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chlorhexidine digluconate</w:t>
            </w:r>
          </w:p>
        </w:tc>
      </w:tr>
      <w:tr w:rsidR="003443EA" w14:paraId="3B3B0933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9C63B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Bassetti et al (2014)(18)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A9348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prospective 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50CD8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3, 6, 9, and 12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E872A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PD:4-6mm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8351A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DF42C2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Double</w:t>
            </w:r>
          </w:p>
          <w:p w14:paraId="0511124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(1 week apart)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F7D754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660 nm diode laser (power</w:t>
            </w:r>
          </w:p>
          <w:p w14:paraId="110CBD09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density of 100 mW, 10 s) + phenothiazine</w:t>
            </w:r>
          </w:p>
          <w:p w14:paraId="30BCBE2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chloride (HELBO system)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7239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40(40)</w:t>
            </w:r>
          </w:p>
          <w:p w14:paraId="7F7C969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AA170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microbiological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42C1F6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Titanium curette and powder airpolishing</w:t>
            </w:r>
          </w:p>
          <w:p w14:paraId="4517C05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Control group: minocycline microsphere into the pocket</w:t>
            </w:r>
          </w:p>
        </w:tc>
      </w:tr>
      <w:tr w:rsidR="003443EA" w14:paraId="33C261B6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DCAE7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Arisan et al (2015)(19)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1DC2E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split-mouth 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CAF02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6D13D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PD:4-6mm</w:t>
            </w:r>
          </w:p>
          <w:p w14:paraId="5A9FE87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MBL&lt;3mm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6F02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Diode laser (810nm)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57115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40C09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1.0W,</w:t>
            </w:r>
          </w:p>
          <w:p w14:paraId="2028810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pulsed mode, energy density: 3 J/cm2; 1min; power density: 400 mW/cm2, energy: 1.5 J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EA90C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 (48)</w:t>
            </w:r>
          </w:p>
          <w:p w14:paraId="5DC20F9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DC1A9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radiographic (marginal bone loss), and microbiological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F623A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Plastic implant scaler</w:t>
            </w:r>
          </w:p>
        </w:tc>
      </w:tr>
      <w:tr w:rsidR="003443EA" w14:paraId="7285142F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2B44C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Birang et al (2017)(20)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F97E72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double-blind</w:t>
            </w:r>
          </w:p>
          <w:p w14:paraId="1774CF8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4B430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57C94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Not specified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D158F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4F1A6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Double (2weeks apart)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B5BCD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810 nm diode laser(0.3W,30s) + EmunDo photosensitizer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1B280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20 (40)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DB61C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microbiological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438D0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Carbone fiber curette</w:t>
            </w:r>
          </w:p>
        </w:tc>
      </w:tr>
      <w:tr w:rsidR="003443EA" w14:paraId="05A417A4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64517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Wang et al (2019)(8)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9584B8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open-label,</w:t>
            </w:r>
          </w:p>
          <w:p w14:paraId="6011358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3F35B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1,3,6</w:t>
            </w:r>
          </w:p>
          <w:p w14:paraId="06FD73B9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4D2E70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PD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6mm</w:t>
            </w:r>
          </w:p>
          <w:p w14:paraId="5FFB5B4C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EA5FE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6F07D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8C05B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635 diode LED (0.75W,10s/site, 60 mW/cm</w:t>
            </w:r>
            <w:r>
              <w:rPr>
                <w:rFonts w:ascii="Arial" w:eastAsia="Arial" w:hAnsi="Arial" w:cs="Arial"/>
                <w:sz w:val="18"/>
                <w:vertAlign w:val="superscript"/>
              </w:rPr>
              <w:t>2</w:t>
            </w:r>
            <w:r>
              <w:rPr>
                <w:rFonts w:ascii="Arial" w:eastAsia="Arial" w:hAnsi="Arial" w:cs="Arial"/>
                <w:sz w:val="18"/>
              </w:rPr>
              <w:t>) + toluidine blue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C5069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C:66 (66), T:65 (65)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9B98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6F232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Subgingival sand-blast with glycine powder</w:t>
            </w:r>
          </w:p>
        </w:tc>
      </w:tr>
      <w:tr w:rsidR="003443EA" w14:paraId="302B876F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2B8FD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Almohareb et al (2020)(21)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3A442F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parallel-arm,</w:t>
            </w:r>
          </w:p>
          <w:p w14:paraId="0B569C7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BC4B9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 and 12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AD47C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PD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6mm</w:t>
            </w:r>
          </w:p>
          <w:p w14:paraId="10A6BE2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MBL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3mm</w:t>
            </w:r>
          </w:p>
          <w:p w14:paraId="67D90454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</w:p>
          <w:p w14:paraId="0B87EC8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Suppuration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899AA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FE1D6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BAEFA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670nm Diode laser (10s/site) +MB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87CCF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C:20 (36), T:20 (43)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CE81D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Clinical, microbiological outcomes and pain level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57B660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US scaler</w:t>
            </w:r>
          </w:p>
          <w:p w14:paraId="7EFC4D3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 thrice daily oral antibiotic for 7 days</w:t>
            </w:r>
          </w:p>
        </w:tc>
      </w:tr>
      <w:tr w:rsidR="003443EA" w14:paraId="5B8FECB6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F76D6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lastRenderedPageBreak/>
              <w:t>Ahmed et al (2020)(22)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2C546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AF647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 and 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ADE9B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PD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6mm</w:t>
            </w:r>
          </w:p>
          <w:p w14:paraId="13ED06ED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MBL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3mm</w:t>
            </w:r>
          </w:p>
          <w:p w14:paraId="072F70F7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</w:p>
          <w:p w14:paraId="420D766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Diabetic II patient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84B3A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EDAE4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4440CC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660 nm diode laser (power density of 150 mW, 10 s) + phenothiazine</w:t>
            </w:r>
          </w:p>
          <w:p w14:paraId="2C76ABE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chloride (HELBO system)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AC7B14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40 (40)</w:t>
            </w:r>
          </w:p>
          <w:p w14:paraId="76FA8BC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D11F2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Clinical, radiographic and immunological (biomarkers)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A49DCA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Debridement with ultrasonic</w:t>
            </w:r>
          </w:p>
          <w:p w14:paraId="774635E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GII: Antibiotic gel therapy</w:t>
            </w:r>
          </w:p>
        </w:tc>
      </w:tr>
      <w:tr w:rsidR="003443EA" w14:paraId="71EDE032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78E8B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Strauss et al (2021)(23)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3C1B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AA72A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12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FD31DB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PD ˃ 4mm</w:t>
            </w:r>
          </w:p>
          <w:p w14:paraId="266E7973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35F0EA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Nd:YAG</w:t>
            </w:r>
          </w:p>
          <w:p w14:paraId="6B682D6D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A3A88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844B1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3.6 W, 20 mHz, rate:4J/mm, pulsed(100 µs)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4145E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20 (36)</w:t>
            </w:r>
          </w:p>
          <w:p w14:paraId="3022E67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F0244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Clinical, radiographic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AC380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No mechanical debridement in the test group</w:t>
            </w:r>
          </w:p>
        </w:tc>
      </w:tr>
      <w:tr w:rsidR="003443EA" w14:paraId="6D969400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BEC9D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Alpaslan et al (2022)(24)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51F15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double- blinded, RCCT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A4148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B395C6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PD:4-6mm</w:t>
            </w:r>
          </w:p>
          <w:p w14:paraId="1A85788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MBL:2-3mm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6E208A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940nm diode laser</w:t>
            </w:r>
          </w:p>
          <w:p w14:paraId="54E2F42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2780nm Er,Cr:YSGG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BD968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45BD07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Diode laser: 0.8W,30s, 3J/cm</w:t>
            </w:r>
            <w:r>
              <w:rPr>
                <w:rFonts w:ascii="Arial" w:eastAsia="Arial" w:hAnsi="Arial" w:cs="Arial"/>
                <w:sz w:val="18"/>
                <w:vertAlign w:val="superscript"/>
              </w:rPr>
              <w:t>2</w:t>
            </w:r>
          </w:p>
          <w:p w14:paraId="6B71572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Er,Cr:YSGG: 1.5W, 30s, 30Hz, Pulsed (140 µs)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2A9544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C:17(17)</w:t>
            </w:r>
          </w:p>
          <w:p w14:paraId="5AAD4C5C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Diode:16(16)</w:t>
            </w:r>
          </w:p>
          <w:p w14:paraId="45574C9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Er,Cr:YSGG: 17(17)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2267F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outcomes and biomarkers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FC500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Titanium curette</w:t>
            </w:r>
          </w:p>
        </w:tc>
      </w:tr>
      <w:tr w:rsidR="003443EA" w14:paraId="564B79D8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B8A91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Labban et al (2021)(16)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3B3F7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FE212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 and 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4AB11A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PD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6mm</w:t>
            </w:r>
          </w:p>
          <w:p w14:paraId="36792DC7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MBL ˃ 3mm</w:t>
            </w:r>
          </w:p>
          <w:p w14:paraId="61DE048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Diabetic II patients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60BC0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PDT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1B5F72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Four</w:t>
            </w:r>
          </w:p>
          <w:p w14:paraId="6C2963A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(day 0,7,17,27)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E0728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810 diode laser (200mW, 4J, 30s&amp;10s/site) + ICG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95964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C: 24 (29)</w:t>
            </w:r>
          </w:p>
          <w:p w14:paraId="08B4073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T: 24 (35)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8519B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Clinical, radiographic, microbiological and biomarkers (IL-1&amp;6)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37D0A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Ultrasonic with carbon tip</w:t>
            </w:r>
          </w:p>
        </w:tc>
      </w:tr>
      <w:tr w:rsidR="003443EA" w14:paraId="4E3697E2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E26B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Chen et al (2022)(25)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700CC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A60C8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 and 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3B446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PD&lt; 7mm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BAEC9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Er:YAG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13554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BAE79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100mJ/pulse, 10Hz, pulsed (100 µs),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52AC06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C: 12 (12)</w:t>
            </w:r>
          </w:p>
          <w:p w14:paraId="1F9E2FCF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T: 11 (11)</w:t>
            </w:r>
          </w:p>
          <w:p w14:paraId="129CD292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46F1A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microbiological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B03EA6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Ultrasonic scaler</w:t>
            </w:r>
          </w:p>
          <w:p w14:paraId="5D6030A2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No mechanical debridement in the test group</w:t>
            </w:r>
          </w:p>
        </w:tc>
      </w:tr>
      <w:tr w:rsidR="003443EA" w14:paraId="060AED9A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6D9B8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Roccuzzo et al (2022)(26)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F58A5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double-blinded, RCCT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96A8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 and 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08699F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PD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5mm</w:t>
            </w:r>
          </w:p>
          <w:p w14:paraId="47C8FBE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MBL </w:t>
            </w:r>
            <w:r>
              <w:rPr>
                <w:rFonts w:ascii="Cambria Math" w:eastAsia="Cambria Math" w:hAnsi="Cambria Math" w:cs="Cambria Math"/>
                <w:sz w:val="18"/>
              </w:rPr>
              <w:t>≥</w:t>
            </w:r>
            <w:r>
              <w:rPr>
                <w:rFonts w:ascii="Arial" w:eastAsia="Arial" w:hAnsi="Arial" w:cs="Arial"/>
                <w:sz w:val="18"/>
              </w:rPr>
              <w:t xml:space="preserve"> 2mm</w:t>
            </w:r>
          </w:p>
          <w:p w14:paraId="04740883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</w:p>
          <w:p w14:paraId="72774348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5D1C1D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Diode laser</w:t>
            </w:r>
          </w:p>
          <w:p w14:paraId="630C613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(810nm)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FA95A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Three sessions (one week apart)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4B3E1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2.5 W, pulsed 50 Hz/10 ms, 90s,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99FB42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T: 12 (12)</w:t>
            </w:r>
          </w:p>
          <w:p w14:paraId="6F48D2F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 13 (13)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D22C3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Clinical, radiographic, microbiological and biomarkers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F715C5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Titanium curette for implant/Stainless steel curette for pocket wall</w:t>
            </w:r>
          </w:p>
        </w:tc>
      </w:tr>
      <w:tr w:rsidR="003443EA" w14:paraId="1D98D5F3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49E7E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Alpaslan et al (2024)(27)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52D3F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9ADAE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CC11B9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PD:4-6mm</w:t>
            </w:r>
          </w:p>
          <w:p w14:paraId="18D0EF8E" w14:textId="77777777" w:rsidR="003443EA" w:rsidRDefault="003443EA" w:rsidP="0000505E">
            <w:pPr>
              <w:spacing w:after="0" w:line="240" w:lineRule="auto"/>
              <w:jc w:val="center"/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82CC1E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Er,Cr:YSGG</w:t>
            </w:r>
          </w:p>
          <w:p w14:paraId="0EDD50D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(2780nm)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73664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279CA3" w14:textId="77777777" w:rsidR="003443EA" w:rsidRDefault="003443EA" w:rsidP="0000505E">
            <w:pPr>
              <w:spacing w:after="0" w:line="240" w:lineRule="auto"/>
              <w:ind w:right="-1016"/>
              <w:jc w:val="center"/>
            </w:pPr>
            <w:r>
              <w:rPr>
                <w:rFonts w:ascii="Arial" w:eastAsia="Arial" w:hAnsi="Arial" w:cs="Arial"/>
                <w:sz w:val="18"/>
              </w:rPr>
              <w:t>1.5W, 30Hz, 140 µs/pulse, 30s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B11A2C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T: 23 (23)</w:t>
            </w:r>
          </w:p>
          <w:p w14:paraId="2445AE5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 26 (26)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3D83A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radiographic outcomes,  biomarkers (RANKL,OPG)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F0DE9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Titanium curette</w:t>
            </w:r>
          </w:p>
        </w:tc>
      </w:tr>
      <w:tr w:rsidR="003443EA" w14:paraId="74E0FC28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5485A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lastRenderedPageBreak/>
              <w:t>Kang et al (2023)(10)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97F7E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double-blinded, RCT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0D9D5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9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5A5006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PD ˃ 5mm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CD73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Er,Cr:YSGG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99151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CA474D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1.5W, 50mJ. 60 µs, 50 Hz</w:t>
            </w:r>
          </w:p>
          <w:p w14:paraId="1E1E472A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“Waterlase iplus2 protocol”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9CE935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32 (88)</w:t>
            </w:r>
          </w:p>
          <w:p w14:paraId="40AB4CA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Equally distributed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A8779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radiographic outcomes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FFA170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US and hand instruments</w:t>
            </w:r>
          </w:p>
        </w:tc>
      </w:tr>
      <w:tr w:rsidR="003443EA" w14:paraId="454CE7F6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368CC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Erduran et al (2024)(28)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C2BCA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prospective, double-masked, RCCT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CB315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3 and 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30FA67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Non specified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2F772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Diode laser</w:t>
            </w:r>
          </w:p>
          <w:p w14:paraId="16DB8278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(940nm)</w:t>
            </w:r>
          </w:p>
        </w:tc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28F5F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Single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7092F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0.8W, 0.8J/s, continuous mode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C2FB59" w14:textId="77777777" w:rsidR="003443EA" w:rsidRDefault="003443EA" w:rsidP="0000505E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T: 19 (19)</w:t>
            </w:r>
          </w:p>
          <w:p w14:paraId="6C317B91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C: 18 (18)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5E5BCB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Clinical and immunohisto-chemistry analysis (TWEAK,IL-1,IL-17,IL-10, RANKL,OPG)</w:t>
            </w:r>
          </w:p>
        </w:tc>
        <w:tc>
          <w:tcPr>
            <w:tcW w:w="2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F446CC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>Titanium curette for implant /Stainless steel curette for pocket wall</w:t>
            </w:r>
          </w:p>
        </w:tc>
      </w:tr>
    </w:tbl>
    <w:p w14:paraId="326B98C4" w14:textId="77777777" w:rsidR="003443EA" w:rsidRDefault="003443EA" w:rsidP="003443EA">
      <w:pPr>
        <w:spacing w:before="30" w:after="30" w:line="240" w:lineRule="auto"/>
        <w:ind w:firstLine="360"/>
        <w:rPr>
          <w:rFonts w:ascii="Times New Roman" w:eastAsia="Times New Roman" w:hAnsi="Times New Roman" w:cs="Times New Roman"/>
          <w:b/>
          <w:color w:val="34322D"/>
          <w:shd w:val="clear" w:color="auto" w:fill="F8F8F7"/>
        </w:rPr>
      </w:pPr>
      <w:r>
        <w:rPr>
          <w:rFonts w:ascii="Times New Roman" w:eastAsia="Times New Roman" w:hAnsi="Times New Roman" w:cs="Times New Roman"/>
          <w:b/>
          <w:color w:val="34322D"/>
          <w:shd w:val="clear" w:color="auto" w:fill="F8F8F7"/>
        </w:rPr>
        <w:t>Appendix Table 1: Characteristics of Included Studies (Summary table).</w:t>
      </w:r>
    </w:p>
    <w:p w14:paraId="64D06D38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object w:dxaOrig="9455" w:dyaOrig="7207" w14:anchorId="6A3E321F">
          <v:rect id="rectole0000000001" o:spid="_x0000_i1026" style="width:473pt;height:360.5pt" o:ole="" o:preferrelative="t" stroked="f">
            <v:imagedata r:id="rId6" o:title=""/>
          </v:rect>
          <o:OLEObject Type="Embed" ProgID="StaticMetafile" ShapeID="rectole0000000001" DrawAspect="Content" ObjectID="_1836471198" r:id="rId7"/>
        </w:object>
      </w:r>
    </w:p>
    <w:p w14:paraId="2AFAEB44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77205515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2E6D0E7A" w14:textId="77777777" w:rsidR="003443EA" w:rsidRDefault="003443EA" w:rsidP="003443EA">
      <w:p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Low risk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28D11DF0" w14:textId="77777777" w:rsidR="003443EA" w:rsidRDefault="003443EA" w:rsidP="003443EA">
      <w:p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Some concerns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79763BD4" w14:textId="77777777" w:rsidR="003443EA" w:rsidRDefault="003443EA" w:rsidP="003443EA">
      <w:pPr>
        <w:spacing w:after="0"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High risk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47E22455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D1</w:t>
      </w:r>
      <w:r>
        <w:rPr>
          <w:rFonts w:ascii="Arial" w:eastAsia="Arial" w:hAnsi="Arial" w:cs="Arial"/>
        </w:rPr>
        <w:tab/>
        <w:t>Randomization process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4998B582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D2</w:t>
      </w:r>
      <w:r>
        <w:rPr>
          <w:rFonts w:ascii="Arial" w:eastAsia="Arial" w:hAnsi="Arial" w:cs="Arial"/>
        </w:rPr>
        <w:tab/>
        <w:t>Deviations from the intended interventions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027813E6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D3</w:t>
      </w:r>
      <w:r>
        <w:rPr>
          <w:rFonts w:ascii="Arial" w:eastAsia="Arial" w:hAnsi="Arial" w:cs="Arial"/>
        </w:rPr>
        <w:tab/>
        <w:t>Missing outcome data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14:paraId="539FFF99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D4</w:t>
      </w:r>
      <w:r>
        <w:rPr>
          <w:rFonts w:ascii="Arial" w:eastAsia="Arial" w:hAnsi="Arial" w:cs="Arial"/>
        </w:rPr>
        <w:tab/>
        <w:t>Measurement of the outcome</w:t>
      </w:r>
      <w:r>
        <w:rPr>
          <w:rFonts w:ascii="Arial" w:eastAsia="Arial" w:hAnsi="Arial" w:cs="Arial"/>
        </w:rPr>
        <w:tab/>
      </w:r>
    </w:p>
    <w:p w14:paraId="3C1D6E65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D5</w:t>
      </w:r>
      <w:r>
        <w:rPr>
          <w:rFonts w:ascii="Arial" w:eastAsia="Arial" w:hAnsi="Arial" w:cs="Arial"/>
        </w:rPr>
        <w:tab/>
        <w:t>Selection of the reported result</w:t>
      </w:r>
    </w:p>
    <w:p w14:paraId="5020F30E" w14:textId="77777777" w:rsidR="003443EA" w:rsidRDefault="003443EA" w:rsidP="003443EA">
      <w:pPr>
        <w:spacing w:after="0" w:line="240" w:lineRule="auto"/>
        <w:rPr>
          <w:rFonts w:ascii="Helvetica" w:eastAsia="Helvetica" w:hAnsi="Helvetica" w:cs="Helvetica"/>
          <w:b/>
          <w:color w:val="34322D"/>
        </w:rPr>
      </w:pPr>
    </w:p>
    <w:p w14:paraId="1B193C2D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  <w:r>
        <w:rPr>
          <w:rFonts w:ascii="Helvetica" w:eastAsia="Helvetica" w:hAnsi="Helvetica" w:cs="Helvetica"/>
          <w:b/>
          <w:color w:val="34322D"/>
        </w:rPr>
        <w:t>Appendix Figure 2:</w:t>
      </w:r>
      <w:r>
        <w:rPr>
          <w:rFonts w:ascii="Helvetica" w:eastAsia="Helvetica" w:hAnsi="Helvetica" w:cs="Helvetica"/>
          <w:color w:val="34322D"/>
        </w:rPr>
        <w:t> Risk of Bias Summary (RoB 2.0).</w:t>
      </w:r>
    </w:p>
    <w:p w14:paraId="322646E4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017A69AE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5034EB50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19343143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02528413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32A1913D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7B4D9DD0" w14:textId="77777777" w:rsidR="003443EA" w:rsidRDefault="003443EA" w:rsidP="003443EA">
      <w:pPr>
        <w:spacing w:after="0" w:line="240" w:lineRule="auto"/>
        <w:rPr>
          <w:rFonts w:ascii="Arial" w:eastAsia="Arial" w:hAnsi="Arial" w:cs="Arial"/>
        </w:rPr>
      </w:pPr>
    </w:p>
    <w:p w14:paraId="6BAC1E6F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45187B7D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57464B4B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3EC350C4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65FE44D8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  <w:r>
        <w:object w:dxaOrig="9333" w:dyaOrig="4677" w14:anchorId="6F15D17C">
          <v:rect id="rectole0000000002" o:spid="_x0000_i1027" style="width:466.5pt;height:234pt" o:ole="" o:preferrelative="t" stroked="f">
            <v:imagedata r:id="rId8" o:title=""/>
          </v:rect>
          <o:OLEObject Type="Embed" ProgID="StaticMetafile" ShapeID="rectole0000000002" DrawAspect="Content" ObjectID="_1836471199" r:id="rId9"/>
        </w:object>
      </w:r>
    </w:p>
    <w:p w14:paraId="66A403E8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3D36DBA2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rPr>
          <w:rFonts w:ascii="Helvetica" w:eastAsia="Helvetica" w:hAnsi="Helvetica" w:cs="Helvetica"/>
          <w:b/>
          <w:color w:val="34322D"/>
          <w:shd w:val="clear" w:color="auto" w:fill="F8F8F7"/>
        </w:rPr>
        <w:t>Appendix Figure 3:</w:t>
      </w:r>
      <w:r>
        <w:rPr>
          <w:rFonts w:ascii="Helvetica" w:eastAsia="Helvetica" w:hAnsi="Helvetica" w:cs="Helvetica"/>
          <w:color w:val="34322D"/>
          <w:shd w:val="clear" w:color="auto" w:fill="F8F8F7"/>
        </w:rPr>
        <w:t> Forest Plot - Probing Depth (PD).</w:t>
      </w:r>
    </w:p>
    <w:p w14:paraId="7C94B575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70024103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  <w:r>
        <w:object w:dxaOrig="8705" w:dyaOrig="4859" w14:anchorId="33127669">
          <v:rect id="rectole0000000003" o:spid="_x0000_i1028" style="width:435.5pt;height:243pt" o:ole="" o:preferrelative="t" stroked="f">
            <v:imagedata r:id="rId10" o:title=""/>
          </v:rect>
          <o:OLEObject Type="Embed" ProgID="StaticMetafile" ShapeID="rectole0000000003" DrawAspect="Content" ObjectID="_1836471200" r:id="rId11"/>
        </w:object>
      </w:r>
    </w:p>
    <w:p w14:paraId="2185058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730F19F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rPr>
          <w:rFonts w:ascii="Helvetica" w:eastAsia="Helvetica" w:hAnsi="Helvetica" w:cs="Helvetica"/>
          <w:b/>
          <w:color w:val="34322D"/>
          <w:shd w:val="clear" w:color="auto" w:fill="F8F8F7"/>
        </w:rPr>
        <w:t>Appendix Figure 4:</w:t>
      </w:r>
      <w:r>
        <w:rPr>
          <w:rFonts w:ascii="Helvetica" w:eastAsia="Helvetica" w:hAnsi="Helvetica" w:cs="Helvetica"/>
          <w:color w:val="34322D"/>
          <w:shd w:val="clear" w:color="auto" w:fill="F8F8F7"/>
        </w:rPr>
        <w:t> Forest Plot - Bleeding on Probing (BOP).</w:t>
      </w:r>
    </w:p>
    <w:p w14:paraId="7BB2065F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77AB71C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737F413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89B333B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  <w:r>
        <w:object w:dxaOrig="7592" w:dyaOrig="4515" w14:anchorId="6655776E">
          <v:rect id="rectole0000000004" o:spid="_x0000_i1029" style="width:379.5pt;height:226pt" o:ole="" o:preferrelative="t" stroked="f">
            <v:imagedata r:id="rId12" o:title=""/>
          </v:rect>
          <o:OLEObject Type="Embed" ProgID="StaticMetafile" ShapeID="rectole0000000004" DrawAspect="Content" ObjectID="_1836471201" r:id="rId13"/>
        </w:object>
      </w:r>
    </w:p>
    <w:p w14:paraId="450905FF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rPr>
          <w:rFonts w:ascii="Helvetica" w:eastAsia="Helvetica" w:hAnsi="Helvetica" w:cs="Helvetica"/>
          <w:b/>
          <w:color w:val="34322D"/>
          <w:shd w:val="clear" w:color="auto" w:fill="F8F8F7"/>
        </w:rPr>
        <w:t>Appendix Figure 5:</w:t>
      </w:r>
      <w:r>
        <w:rPr>
          <w:rFonts w:ascii="Helvetica" w:eastAsia="Helvetica" w:hAnsi="Helvetica" w:cs="Helvetica"/>
          <w:color w:val="34322D"/>
          <w:shd w:val="clear" w:color="auto" w:fill="F8F8F7"/>
        </w:rPr>
        <w:t> Forest Plot - Plaque Index (PI).</w:t>
      </w:r>
    </w:p>
    <w:p w14:paraId="0637DDE2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2847DD34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67FDCCE9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EAAE94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4DC31796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506CBF7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76F925BE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4F29E61B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156D6BDC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  <w:r>
        <w:object w:dxaOrig="10407" w:dyaOrig="4961" w14:anchorId="77D39644">
          <v:rect id="rectole0000000005" o:spid="_x0000_i1030" style="width:520.5pt;height:248pt" o:ole="" o:preferrelative="t" stroked="f">
            <v:imagedata r:id="rId14" o:title=""/>
          </v:rect>
          <o:OLEObject Type="Embed" ProgID="StaticMetafile" ShapeID="rectole0000000005" DrawAspect="Content" ObjectID="_1836471202" r:id="rId15"/>
        </w:object>
      </w:r>
    </w:p>
    <w:p w14:paraId="21CF866E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  <w:r>
        <w:rPr>
          <w:rFonts w:ascii="Helvetica" w:eastAsia="Helvetica" w:hAnsi="Helvetica" w:cs="Helvetica"/>
          <w:b/>
          <w:color w:val="34322D"/>
          <w:shd w:val="clear" w:color="auto" w:fill="F8F8F7"/>
        </w:rPr>
        <w:t>Appendix Figure 6:</w:t>
      </w:r>
      <w:r>
        <w:rPr>
          <w:rFonts w:ascii="Helvetica" w:eastAsia="Helvetica" w:hAnsi="Helvetica" w:cs="Helvetica"/>
          <w:color w:val="34322D"/>
          <w:shd w:val="clear" w:color="auto" w:fill="F8F8F7"/>
        </w:rPr>
        <w:t> Forest Plot - Radiographic Marginal Bone Loss (RMBL).</w:t>
      </w:r>
    </w:p>
    <w:p w14:paraId="3164E395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67B98C2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4EA004D8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BE6BF6A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E4A2365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D3CA418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A7014B9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8D7B52E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64E737C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AB14AB7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E8C3342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3975095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EFB234A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385D2CF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FF50BAB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6CD6900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1420297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C6A094F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F40D37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FABE367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03FB9F6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7CE0083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4F67C08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F00FB99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3C0FB5D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D78165F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2FF1075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271917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FA773A" w14:textId="77777777" w:rsidR="003443EA" w:rsidRDefault="003443EA" w:rsidP="003443EA">
      <w:pPr>
        <w:tabs>
          <w:tab w:val="left" w:pos="5457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4FBCA6D0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  <w:r>
        <w:object w:dxaOrig="4797" w:dyaOrig="3056" w14:anchorId="0B38B0B5">
          <v:rect id="rectole0000000006" o:spid="_x0000_i1031" style="width:240pt;height:153pt" o:ole="" o:preferrelative="t" stroked="f">
            <v:imagedata r:id="rId16" o:title=""/>
          </v:rect>
          <o:OLEObject Type="Embed" ProgID="StaticMetafile" ShapeID="rectole0000000006" DrawAspect="Content" ObjectID="_1836471203" r:id="rId17"/>
        </w:object>
      </w:r>
      <w:r>
        <w:object w:dxaOrig="4372" w:dyaOrig="3037" w14:anchorId="18DFC8ED">
          <v:rect id="rectole0000000007" o:spid="_x0000_i1032" style="width:218.5pt;height:152pt" o:ole="" o:preferrelative="t" stroked="f">
            <v:imagedata r:id="rId18" o:title=""/>
          </v:rect>
          <o:OLEObject Type="Embed" ProgID="StaticMetafile" ShapeID="rectole0000000007" DrawAspect="Content" ObjectID="_1836471204" r:id="rId19"/>
        </w:object>
      </w:r>
    </w:p>
    <w:p w14:paraId="135862FD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0DA4D31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1D01D02" w14:textId="77777777" w:rsidR="003443EA" w:rsidRDefault="003443EA" w:rsidP="003443EA">
      <w:pPr>
        <w:tabs>
          <w:tab w:val="left" w:pos="524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77F57EC9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  <w:r>
        <w:object w:dxaOrig="4758" w:dyaOrig="3017" w14:anchorId="5C2BF646">
          <v:rect id="rectole0000000008" o:spid="_x0000_i1033" style="width:238pt;height:151pt" o:ole="" o:preferrelative="t" stroked="f">
            <v:imagedata r:id="rId20" o:title=""/>
          </v:rect>
          <o:OLEObject Type="Embed" ProgID="StaticMetafile" ShapeID="rectole0000000008" DrawAspect="Content" ObjectID="_1836471205" r:id="rId21"/>
        </w:object>
      </w:r>
      <w:r>
        <w:object w:dxaOrig="4352" w:dyaOrig="2916" w14:anchorId="1D93D4E4">
          <v:rect id="rectole0000000009" o:spid="_x0000_i1034" style="width:217.5pt;height:146pt" o:ole="" o:preferrelative="t" stroked="f">
            <v:imagedata r:id="rId22" o:title=""/>
          </v:rect>
          <o:OLEObject Type="Embed" ProgID="StaticMetafile" ShapeID="rectole0000000009" DrawAspect="Content" ObjectID="_1836471206" r:id="rId23"/>
        </w:object>
      </w:r>
    </w:p>
    <w:p w14:paraId="200DD38B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D792BF9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C98DD4D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F6EB7C0" w14:textId="77777777" w:rsidR="003443EA" w:rsidRDefault="003443EA" w:rsidP="003443EA">
      <w:pPr>
        <w:spacing w:after="200" w:line="240" w:lineRule="auto"/>
        <w:jc w:val="center"/>
        <w:rPr>
          <w:rFonts w:ascii="Arial" w:eastAsia="Arial" w:hAnsi="Arial" w:cs="Arial"/>
          <w:b/>
          <w:sz w:val="20"/>
        </w:rPr>
      </w:pPr>
      <w:r>
        <w:rPr>
          <w:rFonts w:ascii="Helvetica" w:eastAsia="Helvetica" w:hAnsi="Helvetica" w:cs="Helvetica"/>
          <w:b/>
          <w:color w:val="34322D"/>
        </w:rPr>
        <w:t>Appendix figure 7:</w:t>
      </w:r>
      <w:r>
        <w:rPr>
          <w:rFonts w:ascii="Arial" w:eastAsia="Arial" w:hAnsi="Arial" w:cs="Arial"/>
          <w:b/>
          <w:sz w:val="20"/>
        </w:rPr>
        <w:t xml:space="preserve"> Funnel plot for publication bias for the included outcomes. A: Bleeding on probing B: Probing pocket depth, C: Radiographic marginal bone loss D: Plaque index</w:t>
      </w:r>
    </w:p>
    <w:p w14:paraId="658C265A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CA83039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B4ED944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AF1E862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D6CD9FC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3F35EFC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A8F9321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10C51EB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AFAB2C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E4661C4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D21918B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BD951BF" w14:textId="77777777" w:rsidR="003443EA" w:rsidRDefault="003443EA" w:rsidP="003443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B21D478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21"/>
        <w:gridCol w:w="1465"/>
        <w:gridCol w:w="1743"/>
        <w:gridCol w:w="1529"/>
        <w:gridCol w:w="909"/>
        <w:gridCol w:w="931"/>
        <w:gridCol w:w="1444"/>
      </w:tblGrid>
      <w:tr w:rsidR="003443EA" w14:paraId="4AC6C0E4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E0CF6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Study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811A54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PI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DBCAA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BOP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FB3799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PD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90BFDF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CAL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1DBF4D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MBL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40DF63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Conclusion</w:t>
            </w:r>
          </w:p>
        </w:tc>
      </w:tr>
      <w:tr w:rsidR="003443EA" w14:paraId="2EB2F402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E2C232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schwarz et al (2005)(11)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40CA10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1.1±0.4/ 1±0.5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948FBE" w14:textId="77777777" w:rsidR="003443EA" w:rsidRDefault="003443EA" w:rsidP="0000505E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31/58*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5B5441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4.6±1.1/</w:t>
            </w:r>
          </w:p>
          <w:p w14:paraId="03BBE835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4.8±1.4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C7DB45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5.1±0.9/ 5.6±1.4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033D1BD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021A2D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Er:YAG irradiation resulted in statistically significant reduction of BOP</w:t>
            </w:r>
          </w:p>
        </w:tc>
      </w:tr>
      <w:tr w:rsidR="003443EA" w14:paraId="594A66EE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47CB64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Bassetti et al (2014)(18)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528CED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0±0 /</w:t>
            </w:r>
          </w:p>
          <w:p w14:paraId="74F53284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0.03±0.15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9FEAA9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1.5±1.4/</w:t>
            </w:r>
          </w:p>
          <w:p w14:paraId="7AFA4735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2.1±1.6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8AB928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3.83±0.6/</w:t>
            </w:r>
          </w:p>
          <w:p w14:paraId="5AEE2BF1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3.9±0.8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18927D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2.5±0.8/</w:t>
            </w:r>
          </w:p>
          <w:p w14:paraId="0FB8D2BA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2.5±0.6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078F33A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17C0BF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Mechanical debridment with adjunctive PDT is equally effective as adjunctive minocycline microspheres </w:t>
            </w:r>
          </w:p>
        </w:tc>
      </w:tr>
      <w:tr w:rsidR="003443EA" w14:paraId="6D0CB3EC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5BA8EE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Arisan et al (2015)(19)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56C7E96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E412F50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C0DC56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4.5±0.7/</w:t>
            </w:r>
          </w:p>
          <w:p w14:paraId="32D1CC00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4.17±0.4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58BE009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1E9069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2.8±0.5/</w:t>
            </w:r>
          </w:p>
          <w:p w14:paraId="7996EF7F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2.6±0.5*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6ED5CC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Adjunctive diode laser </w:t>
            </w:r>
            <w:r>
              <w:rPr>
                <w:rFonts w:ascii="Arial" w:eastAsia="Arial" w:hAnsi="Arial" w:cs="Arial"/>
                <w:u w:val="single"/>
              </w:rPr>
              <w:t>did not</w:t>
            </w:r>
            <w:r>
              <w:rPr>
                <w:rFonts w:ascii="Arial" w:eastAsia="Arial" w:hAnsi="Arial" w:cs="Arial"/>
              </w:rPr>
              <w:t xml:space="preserve"> yield additional positive effect</w:t>
            </w:r>
          </w:p>
        </w:tc>
      </w:tr>
      <w:tr w:rsidR="003443EA" w14:paraId="461E265C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5F4326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Wang et al (2019)(8)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09FB730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7A43709E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4468D8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3.1±0.3/</w:t>
            </w:r>
          </w:p>
          <w:p w14:paraId="4376DB4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4.6±0.3*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C7A84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1.3±0.4/</w:t>
            </w:r>
          </w:p>
          <w:p w14:paraId="238EC7EA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1.5±0.7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79830FA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9BBFE8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Adjunctive PDT with MD significantly improved PD, PI, and SBI and better CAL than MD alone</w:t>
            </w:r>
          </w:p>
        </w:tc>
      </w:tr>
      <w:tr w:rsidR="003443EA" w14:paraId="6A30629B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B273A9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Almohareb et al (2020)(21)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BE4E0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21.8±9.1/</w:t>
            </w:r>
          </w:p>
          <w:p w14:paraId="6D582DFA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20.1±7.7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E8D065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27.2±13.3/</w:t>
            </w:r>
          </w:p>
          <w:p w14:paraId="008FA736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29.7±13.2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0E611D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4.4±1.1/</w:t>
            </w:r>
          </w:p>
          <w:p w14:paraId="1CB06C9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4.7±1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74337D6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8C1CD72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F34F2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PDT was equally effective to antimicrobial therapy in reducing </w:t>
            </w:r>
            <w:r>
              <w:rPr>
                <w:rFonts w:ascii="Arial" w:eastAsia="Arial" w:hAnsi="Arial" w:cs="Arial"/>
              </w:rPr>
              <w:lastRenderedPageBreak/>
              <w:t>periimplantitis</w:t>
            </w:r>
          </w:p>
        </w:tc>
      </w:tr>
      <w:tr w:rsidR="003443EA" w14:paraId="06E8025E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3D389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lastRenderedPageBreak/>
              <w:t>Ahmed et al (2020)(22)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1718F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13.7±6.8/</w:t>
            </w:r>
          </w:p>
          <w:p w14:paraId="2724BE2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14.2±6.5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9FA786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14.5±6.7</w:t>
            </w:r>
          </w:p>
          <w:p w14:paraId="52EA92D9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/19.8±9.4*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108080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4.0±0.9/</w:t>
            </w:r>
          </w:p>
          <w:p w14:paraId="701E770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4.7±1.1*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BC94126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D54783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1.0±0.6/</w:t>
            </w:r>
          </w:p>
          <w:p w14:paraId="5B255E54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1.2±0.7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0B261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PDT application improved the clinical, radiographic and immunological parameters in treatment of periimplantitis</w:t>
            </w:r>
          </w:p>
        </w:tc>
      </w:tr>
      <w:tr w:rsidR="003443EA" w14:paraId="2FB609C8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AF7C6F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Alpaslan et al (2022)(24)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0456F37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Diode:1.1±0.6/ Er,Cr:YSGG: 1.1±0.4/</w:t>
            </w:r>
          </w:p>
          <w:p w14:paraId="22C84FFF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Control:1±0.7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B1BA4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Diode:61.9±29.4/ Er,Cr:YSGG: 61.9±29.4/</w:t>
            </w:r>
          </w:p>
          <w:p w14:paraId="324360E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Control:60.7±29.1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E9392F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Diode:3.3±1/ Er,Cr:YSGG: 3.3±0.9/</w:t>
            </w:r>
          </w:p>
          <w:p w14:paraId="5743B3EA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Control:3.6±0.7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B59EACD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91AFAA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0CC388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Diode laser did not add any additional benefit, Er,Cr:YSGG was more effective at clinical and molecular levels.</w:t>
            </w:r>
          </w:p>
        </w:tc>
      </w:tr>
      <w:tr w:rsidR="003443EA" w14:paraId="375423C8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1FB2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Labban et al (2021)(16)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2DA5B1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15.2±3.8/</w:t>
            </w:r>
          </w:p>
          <w:p w14:paraId="0C3A67EC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17.1±4.01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B17C70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19.2±5.98/</w:t>
            </w:r>
          </w:p>
          <w:p w14:paraId="2EFF94E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31.59±15.89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002EF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3.81±0.54/</w:t>
            </w:r>
          </w:p>
          <w:p w14:paraId="0815C944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4.93±0.87*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46D6F6E4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FCA63B7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1.3±0.9/</w:t>
            </w:r>
          </w:p>
          <w:p w14:paraId="526049F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1.9±1.1*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30E9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Multiple application of PDT improved clinical and microbial parameters among diabetic II patients</w:t>
            </w:r>
          </w:p>
        </w:tc>
      </w:tr>
      <w:tr w:rsidR="003443EA" w14:paraId="6313899D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ED7078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Chen et al (2022)(25)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7D008A00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BB1D1C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2.8±1.9/</w:t>
            </w:r>
          </w:p>
          <w:p w14:paraId="5D587F6E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2.7±1.6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1D8B0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4.1±2.1/</w:t>
            </w:r>
          </w:p>
          <w:p w14:paraId="336AA2B8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3.2±1.9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1CF14244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87E0E0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3.8±2.6/</w:t>
            </w:r>
          </w:p>
          <w:p w14:paraId="6DCAD7B9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2.4±1.8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C2D935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Both laser and mechanical debridement led to significant improvement in PD</w:t>
            </w:r>
          </w:p>
        </w:tc>
      </w:tr>
      <w:tr w:rsidR="003443EA" w14:paraId="73911392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93312F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lastRenderedPageBreak/>
              <w:t>Roccuzzo et al (2022)(26)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D2E085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9.7±13.2/</w:t>
            </w:r>
          </w:p>
          <w:p w14:paraId="50FC1F50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10.3±27.7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4A2776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47.2±33.3/</w:t>
            </w:r>
          </w:p>
          <w:p w14:paraId="7ED8CD2E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47.4±27.9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444C87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4.13±0.8/</w:t>
            </w:r>
          </w:p>
          <w:p w14:paraId="7D38C9C1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3.8±0.9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06A0F4D7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DD9C2B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2.1±0.9/</w:t>
            </w:r>
          </w:p>
          <w:p w14:paraId="3BBD0313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2.0±0.6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2BC77E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Repeated adjunctive diode laser application failed to provide significant benefits compared to MD alone</w:t>
            </w:r>
          </w:p>
        </w:tc>
      </w:tr>
      <w:tr w:rsidR="003443EA" w14:paraId="22AF32BB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A8D056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Alpaslan et al (2024)(27)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4D364E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0.84±0.5/</w:t>
            </w:r>
          </w:p>
          <w:p w14:paraId="6F29179D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0.78±0.6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7BD49A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39.1±30.3/</w:t>
            </w:r>
          </w:p>
          <w:p w14:paraId="2797E772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27.9±23.1*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96CF8B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1.01±0.6/</w:t>
            </w:r>
          </w:p>
          <w:p w14:paraId="79A4B3C7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0.6±0.5*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3E91C08B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947A05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2.6±0.4/</w:t>
            </w:r>
          </w:p>
          <w:p w14:paraId="731A16BD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2.5±0.4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E7337E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The laser group yielded more favorable results by reducing the clinical inflammation and biomarkers</w:t>
            </w:r>
          </w:p>
        </w:tc>
      </w:tr>
      <w:tr w:rsidR="003443EA" w14:paraId="0CD93D57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39EE20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Erduran et al (2024)(28)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711252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0.1±0.16/</w:t>
            </w:r>
          </w:p>
          <w:p w14:paraId="77D8C5AD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0.3±0.5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2481A5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0.12±0.3/ 0.36±0.5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8E8443" w14:textId="77777777" w:rsidR="003443EA" w:rsidRDefault="003443EA" w:rsidP="0000505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2.8±0.5/</w:t>
            </w:r>
          </w:p>
          <w:p w14:paraId="3F74D8B4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3.1±0.95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00AA4D7B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206B243A" w14:textId="77777777" w:rsidR="003443EA" w:rsidRDefault="003443EA" w:rsidP="0000505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5995EB" w14:textId="77777777" w:rsidR="003443EA" w:rsidRDefault="003443EA" w:rsidP="0000505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Diode laser seems to be a reliable tool for supporting MD in treatment of periimplantitis</w:t>
            </w:r>
          </w:p>
        </w:tc>
      </w:tr>
    </w:tbl>
    <w:p w14:paraId="0512F00D" w14:textId="77777777" w:rsidR="003443EA" w:rsidRDefault="003443EA" w:rsidP="003443EA">
      <w:pPr>
        <w:spacing w:before="30" w:after="30" w:line="240" w:lineRule="auto"/>
        <w:ind w:left="360"/>
        <w:rPr>
          <w:rFonts w:ascii="Arial" w:eastAsia="Arial" w:hAnsi="Arial" w:cs="Arial"/>
          <w:b/>
          <w:shd w:val="clear" w:color="auto" w:fill="F8F8F7"/>
        </w:rPr>
      </w:pPr>
      <w:r>
        <w:rPr>
          <w:rFonts w:ascii="Helvetica" w:eastAsia="Helvetica" w:hAnsi="Helvetica" w:cs="Helvetica"/>
          <w:b/>
          <w:color w:val="34322D"/>
          <w:shd w:val="clear" w:color="auto" w:fill="F8F8F7"/>
        </w:rPr>
        <w:t>Appendix Table 2:</w:t>
      </w:r>
      <w:r>
        <w:rPr>
          <w:rFonts w:ascii="Helvetica" w:eastAsia="Helvetica" w:hAnsi="Helvetica" w:cs="Helvetica"/>
          <w:color w:val="34322D"/>
          <w:shd w:val="clear" w:color="auto" w:fill="F8F8F7"/>
        </w:rPr>
        <w:t> </w:t>
      </w:r>
      <w:r>
        <w:rPr>
          <w:rFonts w:ascii="Arial" w:eastAsia="Arial" w:hAnsi="Arial" w:cs="Arial"/>
          <w:b/>
          <w:shd w:val="clear" w:color="auto" w:fill="F8F8F7"/>
        </w:rPr>
        <w:t>Results of clinical /radiographic outcomes from the included studies at approximately “6 months”; Test group/Control group, and drawn conclusions</w:t>
      </w:r>
    </w:p>
    <w:p w14:paraId="428FD41A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22C8B7D3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0940CCFB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32"/>
        <w:gridCol w:w="1423"/>
        <w:gridCol w:w="1197"/>
        <w:gridCol w:w="1167"/>
        <w:gridCol w:w="1428"/>
        <w:gridCol w:w="1274"/>
        <w:gridCol w:w="1267"/>
      </w:tblGrid>
      <w:tr w:rsidR="003443EA" w14:paraId="0DC6B9C1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047CEC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Outcome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392501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No. of Studies (Patients/Implants)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4D64D7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Effect Size (MD, 95% CI)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225EE8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Risk of Bias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9F92BE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Inconsistency ()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CD602A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Imprecision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EEE4A7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Overall Certainty</w:t>
            </w:r>
          </w:p>
        </w:tc>
      </w:tr>
      <w:tr w:rsidR="003443EA" w14:paraId="68E8D02E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D0E7D9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Probing Depth (PD)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5B354B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15 (644/742)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184056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-0.34 mm [-0.67, -0.01]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68DEAA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Low/Some Concerns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32D4D0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Very Serious</w:t>
            </w:r>
            <w:r>
              <w:rPr>
                <w:rFonts w:ascii="Calibri" w:eastAsia="Calibri" w:hAnsi="Calibri" w:cs="Calibri"/>
                <w:sz w:val="15"/>
              </w:rPr>
              <w:t xml:space="preserve"> ()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1AD3C0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Not Serious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3A62AF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low</w:t>
            </w:r>
          </w:p>
        </w:tc>
      </w:tr>
      <w:tr w:rsidR="003443EA" w14:paraId="02EBC649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87512C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Bleeding on Probing (BOP)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41E45E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11 (480/550)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E2CCC2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-0.28 [-0.53, -0.03]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D5E374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Low/Some Concerns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839CB9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Serious</w:t>
            </w:r>
            <w:r>
              <w:rPr>
                <w:rFonts w:ascii="Calibri" w:eastAsia="Calibri" w:hAnsi="Calibri" w:cs="Calibri"/>
                <w:sz w:val="15"/>
              </w:rPr>
              <w:t xml:space="preserve"> ()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205F45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Not Serious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3896B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MODERATE</w:t>
            </w:r>
          </w:p>
        </w:tc>
      </w:tr>
      <w:tr w:rsidR="003443EA" w14:paraId="6719049E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228E1A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Plaque Index (PI)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B23C0A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12 (520/600)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B605C6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-0.44 [-0.55, -0.33]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087B55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Low/Some Concerns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705633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Very Serious</w:t>
            </w:r>
            <w:r>
              <w:rPr>
                <w:rFonts w:ascii="Calibri" w:eastAsia="Calibri" w:hAnsi="Calibri" w:cs="Calibri"/>
                <w:sz w:val="15"/>
              </w:rPr>
              <w:t xml:space="preserve"> ()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A7D90F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Not Serious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3F2270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low</w:t>
            </w:r>
          </w:p>
        </w:tc>
      </w:tr>
      <w:tr w:rsidR="003443EA" w14:paraId="44F36F7E" w14:textId="77777777" w:rsidTr="0000505E">
        <w:tblPrEx>
          <w:tblCellMar>
            <w:top w:w="0" w:type="dxa"/>
            <w:bottom w:w="0" w:type="dxa"/>
          </w:tblCellMar>
        </w:tblPrEx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D30ABF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lastRenderedPageBreak/>
              <w:t>Marginal Bone Loss (RMBL)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502A10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8 (320/380)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6A7823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0.16 mm [-0.24, 0.55]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8FA5C4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5"/>
              </w:rPr>
              <w:t>Low/Some Concerns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D71BE2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Serious</w:t>
            </w:r>
            <w:r>
              <w:rPr>
                <w:rFonts w:ascii="Calibri" w:eastAsia="Calibri" w:hAnsi="Calibri" w:cs="Calibri"/>
                <w:sz w:val="15"/>
              </w:rPr>
              <w:t xml:space="preserve"> ()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55721C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Serious</w:t>
            </w:r>
            <w:r>
              <w:rPr>
                <w:rFonts w:ascii="Calibri" w:eastAsia="Calibri" w:hAnsi="Calibri" w:cs="Calibri"/>
                <w:sz w:val="15"/>
              </w:rPr>
              <w:t xml:space="preserve"> (Wide CI)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7812E" w14:textId="77777777" w:rsidR="003443EA" w:rsidRDefault="003443EA" w:rsidP="0000505E">
            <w:pPr>
              <w:spacing w:before="36" w:after="36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5"/>
              </w:rPr>
              <w:t>LOW</w:t>
            </w:r>
          </w:p>
        </w:tc>
      </w:tr>
    </w:tbl>
    <w:p w14:paraId="4A090DF0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color w:val="34322D"/>
          <w:shd w:val="clear" w:color="auto" w:fill="F8F8F7"/>
        </w:rPr>
      </w:pPr>
    </w:p>
    <w:p w14:paraId="58688FDF" w14:textId="77777777" w:rsidR="003443EA" w:rsidRDefault="003443EA" w:rsidP="003443EA">
      <w:pPr>
        <w:spacing w:before="30" w:after="30" w:line="240" w:lineRule="auto"/>
        <w:ind w:left="360"/>
        <w:rPr>
          <w:rFonts w:ascii="Times New Roman" w:eastAsia="Times New Roman" w:hAnsi="Times New Roman" w:cs="Times New Roman"/>
          <w:b/>
          <w:color w:val="34322D"/>
          <w:shd w:val="clear" w:color="auto" w:fill="F8F8F7"/>
        </w:rPr>
      </w:pPr>
      <w:r>
        <w:rPr>
          <w:rFonts w:ascii="Times New Roman" w:eastAsia="Times New Roman" w:hAnsi="Times New Roman" w:cs="Times New Roman"/>
          <w:b/>
          <w:color w:val="34322D"/>
          <w:shd w:val="clear" w:color="auto" w:fill="F8F8F7"/>
        </w:rPr>
        <w:t xml:space="preserve">Appendix Table 3: Quality Assessment of the evidence.  </w:t>
      </w:r>
      <w:r>
        <w:rPr>
          <w:rFonts w:ascii="Times New Roman" w:eastAsia="Times New Roman" w:hAnsi="Times New Roman" w:cs="Times New Roman"/>
          <w:b/>
          <w:shd w:val="clear" w:color="auto" w:fill="F8F8F7"/>
        </w:rPr>
        <w:t>GRADE Summary of Findings for Adjunctive Laser Therapy in Non-Surgical Peri-implantitis Treatment</w:t>
      </w:r>
      <w:r>
        <w:rPr>
          <w:rFonts w:ascii="Times New Roman" w:eastAsia="Times New Roman" w:hAnsi="Times New Roman" w:cs="Times New Roman"/>
          <w:b/>
          <w:color w:val="34322D"/>
          <w:shd w:val="clear" w:color="auto" w:fill="F8F8F7"/>
        </w:rPr>
        <w:t>.</w:t>
      </w:r>
    </w:p>
    <w:p w14:paraId="3E643621" w14:textId="77777777" w:rsidR="003443EA" w:rsidRDefault="003443EA" w:rsidP="003443EA">
      <w:pPr>
        <w:spacing w:before="30" w:after="30" w:line="240" w:lineRule="auto"/>
        <w:ind w:left="360"/>
        <w:rPr>
          <w:rFonts w:ascii="Helvetica" w:eastAsia="Helvetica" w:hAnsi="Helvetica" w:cs="Helvetica"/>
          <w:b/>
          <w:color w:val="34322D"/>
          <w:shd w:val="clear" w:color="auto" w:fill="F8F8F7"/>
        </w:rPr>
      </w:pPr>
    </w:p>
    <w:p w14:paraId="2108488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3EA"/>
    <w:rsid w:val="003443EA"/>
    <w:rsid w:val="003C2EF4"/>
    <w:rsid w:val="00446799"/>
    <w:rsid w:val="00452CDE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9E6CE"/>
  <w15:chartTrackingRefBased/>
  <w15:docId w15:val="{5FD263A8-CED5-4A00-B85B-E86852D6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3EA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43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3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3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3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3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3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3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3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3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3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3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3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3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3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3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3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3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3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3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3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3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3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3EA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3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3EA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3443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3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3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3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1196</Words>
  <Characters>7336</Characters>
  <Application>Microsoft Office Word</Application>
  <DocSecurity>0</DocSecurity>
  <Lines>431</Lines>
  <Paragraphs>149</Paragraphs>
  <ScaleCrop>false</ScaleCrop>
  <Company>Springer Nature</Company>
  <LinksUpToDate>false</LinksUpToDate>
  <CharactersWithSpaces>8383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2026-03-31T08:36:00Z</dcterms:created>
  <dcterms:modified xsi:type="dcterms:W3CDTF">2026-03-31T08:37:00Z</dcterms:modified>
</cp:coreProperties>
</file>