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C5143" w14:textId="77777777" w:rsidR="001B13B4" w:rsidRDefault="001B13B4" w:rsidP="001B13B4">
      <w:pPr>
        <w:pStyle w:val="Heading1"/>
      </w:pPr>
      <w:bookmarkStart w:id="0" w:name="_Toc158893216"/>
      <w:r>
        <w:t>Supporting Informati</w:t>
      </w:r>
      <w:bookmarkEnd w:id="0"/>
      <w:r>
        <w:t>on</w:t>
      </w:r>
      <w:r>
        <w:rPr>
          <w:noProof/>
        </w:rPr>
        <w:lastRenderedPageBreak/>
        <w:drawing>
          <wp:inline distT="0" distB="0" distL="0" distR="0" wp14:anchorId="57098BC4" wp14:editId="75093AB5">
            <wp:extent cx="8089949" cy="5719614"/>
            <wp:effectExtent l="0" t="0" r="6350" b="0"/>
            <wp:docPr id="1973166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6616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49" cy="571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644BE" w14:textId="77777777" w:rsidR="001B13B4" w:rsidRDefault="001B13B4" w:rsidP="001B13B4">
      <w:pPr>
        <w:pStyle w:val="Caption"/>
      </w:pPr>
      <w:bookmarkStart w:id="1" w:name="_Ref162337668"/>
      <w:r>
        <w:lastRenderedPageBreak/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"/>
      <w:r>
        <w:t xml:space="preserve">: Technical drawing of the </w:t>
      </w:r>
      <w:proofErr w:type="spellStart"/>
      <w:r>
        <w:t>BlueVOC</w:t>
      </w:r>
      <w:proofErr w:type="spellEnd"/>
      <w:r>
        <w:t xml:space="preserve"> 1.0.</w:t>
      </w:r>
    </w:p>
    <w:p w14:paraId="3217F8DA" w14:textId="77777777" w:rsidR="001B13B4" w:rsidRDefault="001B13B4" w:rsidP="001B13B4">
      <w:pPr>
        <w:keepNext/>
        <w:spacing w:line="360" w:lineRule="auto"/>
      </w:pPr>
      <w:r>
        <w:rPr>
          <w:noProof/>
        </w:rPr>
        <w:drawing>
          <wp:inline distT="0" distB="0" distL="0" distR="0" wp14:anchorId="58C9A3B2" wp14:editId="4A7491C6">
            <wp:extent cx="8863328" cy="4798484"/>
            <wp:effectExtent l="0" t="0" r="0" b="2540"/>
            <wp:docPr id="11235614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61400" name="Picture 9" descr="A map of a coral reef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28" cy="479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29624" w14:textId="77777777" w:rsidR="001B13B4" w:rsidRDefault="001B13B4" w:rsidP="001B13B4">
      <w:pPr>
        <w:pStyle w:val="Caption"/>
      </w:pPr>
      <w:bookmarkStart w:id="2" w:name="_Ref162339073"/>
      <w:bookmarkStart w:id="3" w:name="_Ref157959646"/>
      <w:r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2"/>
      <w:bookmarkEnd w:id="3"/>
      <w:r>
        <w:t xml:space="preserve">: </w:t>
      </w:r>
      <w:bookmarkStart w:id="4" w:name="_Hlk178366898"/>
      <w:r>
        <w:t xml:space="preserve">Map of Heron Island, GBR, Australia. The study site where the </w:t>
      </w:r>
      <w:proofErr w:type="spellStart"/>
      <w:r>
        <w:t>BlueVOC</w:t>
      </w:r>
      <w:proofErr w:type="spellEnd"/>
      <w:r>
        <w:t xml:space="preserve"> 1.0 methodology was employed is indicated.</w:t>
      </w:r>
    </w:p>
    <w:bookmarkEnd w:id="4"/>
    <w:p w14:paraId="4A36BFD7" w14:textId="77777777" w:rsidR="001B13B4" w:rsidRDefault="001B13B4" w:rsidP="001B13B4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09B3F0C2" wp14:editId="57280623">
            <wp:extent cx="7642225" cy="5731510"/>
            <wp:effectExtent l="0" t="0" r="0" b="2540"/>
            <wp:docPr id="13525098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09868" name="Picture 13525098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7000" w14:textId="77777777" w:rsidR="001B13B4" w:rsidRDefault="001B13B4" w:rsidP="001B13B4">
      <w:pPr>
        <w:pStyle w:val="Caption"/>
      </w:pPr>
      <w:bookmarkStart w:id="5" w:name="_Ref162339103"/>
      <w:bookmarkStart w:id="6" w:name="_Ref157959667"/>
      <w:r>
        <w:lastRenderedPageBreak/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5"/>
      <w:bookmarkEnd w:id="6"/>
      <w:r>
        <w:t xml:space="preserve">: </w:t>
      </w:r>
      <w:bookmarkStart w:id="7" w:name="_Hlk178366912"/>
      <w:r w:rsidRPr="0E3D5C57">
        <w:rPr>
          <w:b/>
          <w:bCs/>
        </w:rPr>
        <w:t>a)</w:t>
      </w:r>
      <w:r>
        <w:t xml:space="preserve"> Image of the </w:t>
      </w:r>
      <w:proofErr w:type="spellStart"/>
      <w:r>
        <w:t>BlueVOC</w:t>
      </w:r>
      <w:proofErr w:type="spellEnd"/>
      <w:r>
        <w:t xml:space="preserve"> 1.0 deployed on the reef flat of Heron Island, Great Barrier Reef, Australia (23°26'42’S, 151°54'57’E), in April of 2021.</w:t>
      </w:r>
      <w:r w:rsidRPr="0E3D5C57">
        <w:rPr>
          <w:b/>
          <w:bCs/>
        </w:rPr>
        <w:t xml:space="preserve"> </w:t>
      </w:r>
      <w:r>
        <w:t xml:space="preserve">Approximately 8 kg of dive weights were placed upon the lid of the chamber to act against the buoyant force of the gaseous headspace forming inside, anchoring it to the sediment. Images of </w:t>
      </w:r>
      <w:r w:rsidRPr="0E3D5C57">
        <w:rPr>
          <w:b/>
          <w:bCs/>
        </w:rPr>
        <w:t>b)</w:t>
      </w:r>
      <w:r>
        <w:t xml:space="preserve"> </w:t>
      </w:r>
      <w:proofErr w:type="spellStart"/>
      <w:r w:rsidRPr="0E3D5C57">
        <w:rPr>
          <w:i/>
        </w:rPr>
        <w:t>Montipora</w:t>
      </w:r>
      <w:proofErr w:type="spellEnd"/>
      <w:r w:rsidRPr="0E3D5C57">
        <w:rPr>
          <w:i/>
        </w:rPr>
        <w:t xml:space="preserve"> cf. digitata, </w:t>
      </w:r>
      <w:proofErr w:type="spellStart"/>
      <w:r w:rsidRPr="0E3D5C57">
        <w:rPr>
          <w:i/>
        </w:rPr>
        <w:t>Cladiella</w:t>
      </w:r>
      <w:proofErr w:type="spellEnd"/>
      <w:r w:rsidRPr="0E3D5C57">
        <w:rPr>
          <w:i/>
        </w:rPr>
        <w:t xml:space="preserve"> sp. </w:t>
      </w:r>
      <w:r>
        <w:t xml:space="preserve">and </w:t>
      </w:r>
      <w:r w:rsidRPr="0E3D5C57">
        <w:rPr>
          <w:b/>
          <w:bCs/>
        </w:rPr>
        <w:t>d)</w:t>
      </w:r>
      <w:r>
        <w:t xml:space="preserve"> </w:t>
      </w:r>
      <w:r w:rsidRPr="0E3D5C57">
        <w:rPr>
          <w:i/>
        </w:rPr>
        <w:t>Halimeda sp.</w:t>
      </w:r>
      <w:r>
        <w:t xml:space="preserve"> targeted for </w:t>
      </w:r>
      <w:proofErr w:type="spellStart"/>
      <w:r>
        <w:t>volatilomic</w:t>
      </w:r>
      <w:proofErr w:type="spellEnd"/>
      <w:r>
        <w:t xml:space="preserve"> sampling using the </w:t>
      </w:r>
      <w:proofErr w:type="spellStart"/>
      <w:r>
        <w:t>BlueVOC</w:t>
      </w:r>
      <w:proofErr w:type="spellEnd"/>
      <w:r>
        <w:t xml:space="preserve"> 1.0.</w:t>
      </w:r>
    </w:p>
    <w:bookmarkEnd w:id="7"/>
    <w:p w14:paraId="5B57821F" w14:textId="77777777" w:rsidR="001B13B4" w:rsidRPr="00A9315F" w:rsidRDefault="001B13B4" w:rsidP="001B13B4">
      <w:pPr>
        <w:spacing w:line="360" w:lineRule="auto"/>
        <w:rPr>
          <w:iCs/>
          <w:szCs w:val="18"/>
        </w:rPr>
      </w:pPr>
      <w:r>
        <w:br w:type="page"/>
      </w:r>
    </w:p>
    <w:p w14:paraId="4727BC19" w14:textId="77777777" w:rsidR="001B13B4" w:rsidRDefault="001B13B4" w:rsidP="001B13B4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35804761" wp14:editId="36E00034">
            <wp:extent cx="8112125" cy="5716982"/>
            <wp:effectExtent l="0" t="0" r="3175" b="0"/>
            <wp:docPr id="18071298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29836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2125" cy="571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E6F1" w14:textId="77777777" w:rsidR="001B13B4" w:rsidRDefault="001B13B4" w:rsidP="001B13B4">
      <w:pPr>
        <w:pStyle w:val="Caption"/>
      </w:pPr>
      <w:bookmarkStart w:id="8" w:name="_Ref162339266"/>
      <w:bookmarkStart w:id="9" w:name="_Ref157962514"/>
      <w:r>
        <w:lastRenderedPageBreak/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8"/>
      <w:bookmarkEnd w:id="9"/>
      <w:r>
        <w:t>:</w:t>
      </w:r>
      <w:r w:rsidRPr="005F35F3">
        <w:t xml:space="preserve"> </w:t>
      </w:r>
      <w:r>
        <w:t xml:space="preserve">Technical drawing of </w:t>
      </w:r>
      <w:proofErr w:type="spellStart"/>
      <w:r>
        <w:t>BlueVOC</w:t>
      </w:r>
      <w:proofErr w:type="spellEnd"/>
      <w:r>
        <w:t xml:space="preserve"> 2.0.</w:t>
      </w:r>
    </w:p>
    <w:p w14:paraId="5F139FEA" w14:textId="77777777" w:rsidR="001B13B4" w:rsidRDefault="001B13B4" w:rsidP="001B13B4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329B552A" wp14:editId="00577995">
            <wp:extent cx="8864600" cy="4800600"/>
            <wp:effectExtent l="0" t="0" r="0" b="0"/>
            <wp:docPr id="399541360" name="Picture 12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41360" name="Picture 12" descr="A map of the oce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B139" w14:textId="77777777" w:rsidR="001B13B4" w:rsidRDefault="001B13B4" w:rsidP="001B13B4">
      <w:pPr>
        <w:pStyle w:val="Caption"/>
      </w:pPr>
      <w:bookmarkStart w:id="10" w:name="_Ref162340395"/>
      <w:bookmarkStart w:id="11" w:name="_Ref157962623"/>
      <w:r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10"/>
      <w:bookmarkEnd w:id="11"/>
      <w:r>
        <w:t xml:space="preserve">: Map of Kurnell, located on the southern side of Kamay (Botany Bay), Sydney, Australia. The </w:t>
      </w:r>
      <w:proofErr w:type="spellStart"/>
      <w:r>
        <w:t>BlueVOC</w:t>
      </w:r>
      <w:proofErr w:type="spellEnd"/>
      <w:r>
        <w:t xml:space="preserve"> 2.0 methodology was applied at the study site illustrated, at the border of a mangrove forest and mudflat.  </w:t>
      </w:r>
    </w:p>
    <w:p w14:paraId="5C9D89AF" w14:textId="77777777" w:rsidR="001B13B4" w:rsidRDefault="001B13B4" w:rsidP="001B13B4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1C1A4BB0" wp14:editId="37D66E70">
            <wp:extent cx="7487285" cy="5731510"/>
            <wp:effectExtent l="0" t="0" r="0" b="2540"/>
            <wp:docPr id="1823526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2638" name="Picture 1823526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DE56" w14:textId="77777777" w:rsidR="001B13B4" w:rsidRPr="00A9315F" w:rsidRDefault="001B13B4" w:rsidP="001B13B4">
      <w:pPr>
        <w:pStyle w:val="Caption"/>
      </w:pPr>
      <w:r>
        <w:lastRenderedPageBreak/>
        <w:t>Fig.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>:</w:t>
      </w:r>
      <w:r w:rsidRPr="00A667B8">
        <w:t xml:space="preserve"> </w:t>
      </w:r>
      <w:r>
        <w:t xml:space="preserve">Images of </w:t>
      </w:r>
      <w:proofErr w:type="spellStart"/>
      <w:r>
        <w:t>BlueVOC</w:t>
      </w:r>
      <w:proofErr w:type="spellEnd"/>
      <w:r>
        <w:t xml:space="preserve"> 2.0 during </w:t>
      </w:r>
      <w:r w:rsidRPr="00F72094">
        <w:rPr>
          <w:b/>
        </w:rPr>
        <w:t>a)</w:t>
      </w:r>
      <w:r>
        <w:t xml:space="preserve"> submerged and </w:t>
      </w:r>
      <w:r w:rsidRPr="00F72094">
        <w:rPr>
          <w:b/>
        </w:rPr>
        <w:t>b)</w:t>
      </w:r>
      <w:r>
        <w:t xml:space="preserve"> exposed sampling of volatiles from </w:t>
      </w:r>
      <w:r>
        <w:rPr>
          <w:i/>
        </w:rPr>
        <w:t>Avicennia marina</w:t>
      </w:r>
      <w:r>
        <w:t xml:space="preserve"> pneumatophores at </w:t>
      </w:r>
      <w:proofErr w:type="spellStart"/>
      <w:r>
        <w:t>Towra</w:t>
      </w:r>
      <w:proofErr w:type="spellEnd"/>
      <w:r>
        <w:t xml:space="preserve"> Point Aquatic Reserve, Sydney.</w:t>
      </w:r>
      <w:r>
        <w:br w:type="page"/>
      </w:r>
    </w:p>
    <w:p w14:paraId="02D941F8" w14:textId="77777777" w:rsidR="001B13B4" w:rsidRPr="0098321D" w:rsidRDefault="001B13B4" w:rsidP="001B13B4">
      <w:pPr>
        <w:pStyle w:val="Caption"/>
      </w:pPr>
      <w:bookmarkStart w:id="12" w:name="_Ref182211277"/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2"/>
      <w:r>
        <w:t xml:space="preserve">: Auxiliary data from deployment of the revised </w:t>
      </w:r>
      <w:proofErr w:type="spellStart"/>
      <w:r>
        <w:t>BlueVOC</w:t>
      </w:r>
      <w:proofErr w:type="spellEnd"/>
      <w:r>
        <w:t xml:space="preserve"> system.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5"/>
        <w:gridCol w:w="630"/>
        <w:gridCol w:w="1236"/>
        <w:gridCol w:w="1053"/>
        <w:gridCol w:w="1247"/>
        <w:gridCol w:w="2428"/>
        <w:gridCol w:w="2453"/>
        <w:gridCol w:w="1208"/>
        <w:gridCol w:w="536"/>
        <w:gridCol w:w="775"/>
        <w:gridCol w:w="1297"/>
      </w:tblGrid>
      <w:tr w:rsidR="001B13B4" w:rsidRPr="00F774CB" w14:paraId="1D27465A" w14:textId="77777777" w:rsidTr="0047292C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677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05B2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3064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450B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Tidal State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9EBD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Tidal Height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6B76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BlueVOC</w:t>
            </w:r>
            <w:proofErr w:type="spellEnd"/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internal temperature (°C)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6D8E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BlueVOC</w:t>
            </w:r>
            <w:proofErr w:type="spellEnd"/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external temperature (°C)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9256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Fv</w:t>
            </w:r>
            <w:proofErr w:type="spellEnd"/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/Fm (± 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DE7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19F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DO2(%)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6B41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Salinity (mS/cm)</w:t>
            </w:r>
          </w:p>
        </w:tc>
      </w:tr>
      <w:tr w:rsidR="001B13B4" w:rsidRPr="00F774CB" w14:paraId="7C4080F9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A4D8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26/09/2023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A425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09B2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94A9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C43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CA3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A8B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87E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0.717 ± 0.031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49C7E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7.97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875DC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101.6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25B29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53.2</w:t>
            </w:r>
          </w:p>
        </w:tc>
      </w:tr>
      <w:tr w:rsidR="001B13B4" w:rsidRPr="00F774CB" w14:paraId="10AB275F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CD10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26/09/2023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BB5A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2BAE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B70F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963C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CE6931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65E2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165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04B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8612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075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2953EE76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DFD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26/09/2023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2868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15:19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122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F2B9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A8E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9B6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916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335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0.761 ± 0.024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CA6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97D5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9C41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3277775C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EB61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26/09/2023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98CA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16:30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723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C8E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E62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D4AA9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A1A05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915E5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CC137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28C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162C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56421057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E30F" w14:textId="77777777" w:rsidR="001B13B4" w:rsidRPr="00F774CB" w:rsidRDefault="001B13B4" w:rsidP="0047292C">
            <w:pPr>
              <w:spacing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12/10/2023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79BD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11:36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FF7B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F7E2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900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A70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36AC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25.23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50F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0.688 ± 0.023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0D879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18C1D1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116.5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D04DB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53.8</w:t>
            </w:r>
          </w:p>
        </w:tc>
      </w:tr>
      <w:tr w:rsidR="001B13B4" w:rsidRPr="00F774CB" w14:paraId="6D6E9454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F8C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12/10/2023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74D0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13:08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1911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8249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ED9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5366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5265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1CF3C1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021A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71A9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5064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1D07C3A9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3FBE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12/10/2023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4526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9692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6216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DA5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24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28.56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D96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35.74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4A8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0.677 ± 0.032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16F3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47E1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58AB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12ADAD37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5D0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37FA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3C60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FE7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57D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D48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18.55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736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18.51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CB8D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0.541 ± 0.052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519C3D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E3BCF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D4D2F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</w:tr>
      <w:tr w:rsidR="001B13B4" w:rsidRPr="00F774CB" w14:paraId="02DAE6F5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D0E7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F10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7656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895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04F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77C94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716AF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20FB6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902C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C186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1E2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13BD8248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7F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F4C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14:04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8B81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B9B1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8F6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01B5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19.94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608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25B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0.537 ± 0.049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8C5A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5789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F0CDD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36306E46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1B4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E684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11:06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470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685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2C5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E18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ACB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27.22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B6D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0.600 ± 0.050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70A327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2FFB9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135.5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D3A367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52.6</w:t>
            </w:r>
          </w:p>
        </w:tc>
      </w:tr>
      <w:tr w:rsidR="001B13B4" w:rsidRPr="00F774CB" w14:paraId="170CF5B7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4A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B4E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12:32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1C4E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7/8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9E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DA7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E7683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9527D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25FA7C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7344C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E2BDD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5989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65CAE9BE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ACF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7347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14:06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6335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97C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Exposed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CD7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F57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C38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28.49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18C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0.705 ± 0.020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49B1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E6552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1DBD1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07914899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11F0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FDF4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11:21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4458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C17B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598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AC0C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21.74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029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21.97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C6C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0.628 ± 0.038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7B8010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8.23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EC891A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54997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53.2</w:t>
            </w:r>
          </w:p>
        </w:tc>
      </w:tr>
      <w:tr w:rsidR="001B13B4" w:rsidRPr="00F774CB" w14:paraId="4D442F6C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D68B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7ED8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13:28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F11E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Mangrove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52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BF4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8733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21.98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7908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22.59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0904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hAnsi="Calibri" w:cs="Calibri"/>
                <w:color w:val="000000"/>
                <w:sz w:val="18"/>
                <w:szCs w:val="18"/>
              </w:rPr>
              <w:t>0.609 ± 0.037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A184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00E3C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EE000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13B4" w:rsidRPr="00F774CB" w14:paraId="426F02D0" w14:textId="77777777" w:rsidTr="0047292C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0C1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18/11/2023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32E1" w14:textId="77777777" w:rsidR="001B13B4" w:rsidRPr="00F774CB" w:rsidRDefault="001B13B4" w:rsidP="0047292C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15:21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C89E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Sediment 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17EF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Submerged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110E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74C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EA08C6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5F60BB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0EC6BF" w14:textId="77777777" w:rsidR="001B13B4" w:rsidRPr="00F774CB" w:rsidRDefault="001B13B4" w:rsidP="0047292C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B349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C52C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4D8D3" w14:textId="77777777" w:rsidR="001B13B4" w:rsidRPr="00F774CB" w:rsidRDefault="001B13B4" w:rsidP="0047292C">
            <w:pPr>
              <w:spacing w:after="0"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37CBB3DD" w14:textId="77777777" w:rsidR="001B13B4" w:rsidRDefault="001B13B4" w:rsidP="001B13B4">
      <w:bookmarkStart w:id="13" w:name="_Hlk178367111"/>
    </w:p>
    <w:p w14:paraId="1CBFF802" w14:textId="77777777" w:rsidR="001B13B4" w:rsidRDefault="001B13B4" w:rsidP="001B13B4">
      <w:r>
        <w:br w:type="page"/>
      </w:r>
    </w:p>
    <w:p w14:paraId="0B9A2C96" w14:textId="77777777" w:rsidR="001B13B4" w:rsidRDefault="001B13B4" w:rsidP="001B13B4">
      <w:pPr>
        <w:spacing w:line="360" w:lineRule="auto"/>
      </w:pPr>
      <w:r>
        <w:lastRenderedPageBreak/>
        <w:t xml:space="preserve">Note S1: Full </w:t>
      </w:r>
      <w:proofErr w:type="spellStart"/>
      <w:r>
        <w:t>BlueVOC</w:t>
      </w:r>
      <w:proofErr w:type="spellEnd"/>
      <w:r>
        <w:t xml:space="preserve"> 2.0 volatile analysis methodology </w:t>
      </w:r>
    </w:p>
    <w:p w14:paraId="34AD3163" w14:textId="77777777" w:rsidR="001B13B4" w:rsidRPr="001404EE" w:rsidRDefault="001B13B4" w:rsidP="001B13B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iCs/>
          <w:color w:val="000000"/>
        </w:rPr>
      </w:pPr>
      <w:r w:rsidRPr="001404EE">
        <w:rPr>
          <w:iCs/>
          <w:color w:val="000000" w:themeColor="text1"/>
        </w:rPr>
        <w:t xml:space="preserve">As described for </w:t>
      </w:r>
      <w:r>
        <w:rPr>
          <w:iCs/>
          <w:color w:val="000000" w:themeColor="text1"/>
        </w:rPr>
        <w:t xml:space="preserve">sampling using </w:t>
      </w:r>
      <w:proofErr w:type="spellStart"/>
      <w:r>
        <w:rPr>
          <w:iCs/>
          <w:color w:val="000000" w:themeColor="text1"/>
        </w:rPr>
        <w:t>BlueVOC</w:t>
      </w:r>
      <w:proofErr w:type="spellEnd"/>
      <w:r>
        <w:rPr>
          <w:iCs/>
          <w:color w:val="000000" w:themeColor="text1"/>
        </w:rPr>
        <w:t xml:space="preserve"> 1.0</w:t>
      </w:r>
      <w:r w:rsidRPr="001404EE">
        <w:rPr>
          <w:iCs/>
          <w:color w:val="000000" w:themeColor="text1"/>
        </w:rPr>
        <w:t xml:space="preserve">, collected TDTs were injected with 0.2 </w:t>
      </w:r>
      <w:proofErr w:type="spellStart"/>
      <w:r w:rsidRPr="001404EE">
        <w:rPr>
          <w:iCs/>
          <w:color w:val="000000" w:themeColor="text1"/>
        </w:rPr>
        <w:t>μL</w:t>
      </w:r>
      <w:proofErr w:type="spellEnd"/>
      <w:r w:rsidRPr="001404EE">
        <w:rPr>
          <w:iCs/>
          <w:color w:val="000000" w:themeColor="text1"/>
        </w:rPr>
        <w:t xml:space="preserve"> of 10 ppm d5-chlorobenzene to act as an internal standard, before being desorbed for analysis using a </w:t>
      </w:r>
      <w:r w:rsidRPr="001404EE">
        <w:rPr>
          <w:bCs/>
          <w:iCs/>
          <w:color w:val="000000" w:themeColor="text1"/>
        </w:rPr>
        <w:t>Unity–Ultra-</w:t>
      </w:r>
      <w:proofErr w:type="spellStart"/>
      <w:r w:rsidRPr="001404EE">
        <w:rPr>
          <w:bCs/>
          <w:iCs/>
          <w:color w:val="000000" w:themeColor="text1"/>
        </w:rPr>
        <w:t>xr</w:t>
      </w:r>
      <w:proofErr w:type="spellEnd"/>
      <w:r w:rsidRPr="001404EE">
        <w:rPr>
          <w:bCs/>
          <w:iCs/>
          <w:color w:val="000000" w:themeColor="text1"/>
        </w:rPr>
        <w:t xml:space="preserve"> automated thermal desorption unit (Markes International)</w:t>
      </w:r>
      <w:r w:rsidRPr="001404EE">
        <w:rPr>
          <w:iCs/>
          <w:color w:val="000000" w:themeColor="text1"/>
        </w:rPr>
        <w:t xml:space="preserve">. Samples were first subject to a pre-purge period of four minutes, ran with a split of 30 mL/min, before undergoing thermal desorption at 300°C for another </w:t>
      </w:r>
      <w:r w:rsidRPr="001404EE">
        <w:rPr>
          <w:bCs/>
          <w:iCs/>
          <w:color w:val="000000" w:themeColor="text1"/>
        </w:rPr>
        <w:t>four minutes</w:t>
      </w:r>
      <w:r w:rsidRPr="001404EE">
        <w:rPr>
          <w:iCs/>
          <w:color w:val="000000" w:themeColor="text1"/>
        </w:rPr>
        <w:t xml:space="preserve">. Desorbed gases were carried using He (high purity grade 5.0, BOC) at a flow rate of </w:t>
      </w:r>
      <w:r w:rsidRPr="001404EE">
        <w:rPr>
          <w:bCs/>
          <w:iCs/>
          <w:color w:val="000000" w:themeColor="text1"/>
        </w:rPr>
        <w:t>30 ml/min with a split of 35 ml/min</w:t>
      </w:r>
      <w:r w:rsidRPr="001404EE">
        <w:rPr>
          <w:iCs/>
          <w:color w:val="000000" w:themeColor="text1"/>
        </w:rPr>
        <w:t xml:space="preserve"> to a General Purpose Carbon C4/5-C30/32 cold trap (Markes international) </w:t>
      </w:r>
      <w:r w:rsidRPr="001404EE">
        <w:rPr>
          <w:bCs/>
          <w:iCs/>
          <w:color w:val="000000" w:themeColor="text1"/>
        </w:rPr>
        <w:t>held at -15°C.</w:t>
      </w:r>
      <w:r w:rsidRPr="001404EE">
        <w:rPr>
          <w:iCs/>
          <w:color w:val="000000" w:themeColor="text1"/>
        </w:rPr>
        <w:t xml:space="preserve"> The trap was then flash heated to 300°C and desorbed for </w:t>
      </w:r>
      <w:r w:rsidRPr="001404EE">
        <w:rPr>
          <w:bCs/>
          <w:iCs/>
          <w:color w:val="000000" w:themeColor="text1"/>
        </w:rPr>
        <w:t>three minutes</w:t>
      </w:r>
      <w:r w:rsidRPr="001404EE">
        <w:rPr>
          <w:iCs/>
          <w:color w:val="000000" w:themeColor="text1"/>
        </w:rPr>
        <w:t xml:space="preserve"> </w:t>
      </w:r>
      <w:r w:rsidRPr="001404EE">
        <w:rPr>
          <w:bCs/>
          <w:iCs/>
          <w:color w:val="000000" w:themeColor="text1"/>
        </w:rPr>
        <w:t>at 30 ml/min</w:t>
      </w:r>
      <w:r w:rsidRPr="001404EE">
        <w:rPr>
          <w:iCs/>
          <w:color w:val="000000" w:themeColor="text1"/>
        </w:rPr>
        <w:t>. Desorbed samples were then carried by a 1.4 m fused silica</w:t>
      </w:r>
      <w:r w:rsidRPr="001404EE">
        <w:rPr>
          <w:bCs/>
          <w:iCs/>
          <w:color w:val="000000" w:themeColor="text1"/>
        </w:rPr>
        <w:t xml:space="preserve"> </w:t>
      </w:r>
      <w:r w:rsidRPr="001404EE">
        <w:rPr>
          <w:iCs/>
          <w:color w:val="000000" w:themeColor="text1"/>
        </w:rPr>
        <w:t xml:space="preserve">transfer line (Markes international) to a </w:t>
      </w:r>
      <w:r w:rsidRPr="001404EE">
        <w:rPr>
          <w:bCs/>
          <w:iCs/>
          <w:color w:val="000000" w:themeColor="text1"/>
        </w:rPr>
        <w:t xml:space="preserve">Pegasus BT 4D </w:t>
      </w:r>
      <w:r>
        <w:rPr>
          <w:bCs/>
          <w:iCs/>
          <w:color w:val="000000" w:themeColor="text1"/>
        </w:rPr>
        <w:t>GC×GC–TOFMS</w:t>
      </w:r>
      <w:r w:rsidRPr="001404EE">
        <w:rPr>
          <w:bCs/>
          <w:iCs/>
          <w:color w:val="000000" w:themeColor="text1"/>
        </w:rPr>
        <w:t xml:space="preserve"> (LECO)</w:t>
      </w:r>
      <w:r w:rsidRPr="001404EE">
        <w:rPr>
          <w:iCs/>
          <w:color w:val="000000" w:themeColor="text1"/>
        </w:rPr>
        <w:t xml:space="preserve"> for analysis.</w:t>
      </w:r>
    </w:p>
    <w:p w14:paraId="734C73F6" w14:textId="77777777" w:rsidR="001B13B4" w:rsidRPr="00A9315F" w:rsidRDefault="001B13B4" w:rsidP="001B13B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  <w:r w:rsidRPr="001404EE">
        <w:rPr>
          <w:iCs/>
          <w:color w:val="000000" w:themeColor="text1"/>
        </w:rPr>
        <w:t xml:space="preserve">The GC×GC was installed with the same columns used previously, a RXI-624Sil MS (30 m × 0.25 mm inner diameter, 1.4 </w:t>
      </w:r>
      <w:proofErr w:type="spellStart"/>
      <w:r w:rsidRPr="001404EE">
        <w:rPr>
          <w:iCs/>
          <w:color w:val="000000" w:themeColor="text1"/>
        </w:rPr>
        <w:t>μm</w:t>
      </w:r>
      <w:proofErr w:type="spellEnd"/>
      <w:r w:rsidRPr="001404EE">
        <w:rPr>
          <w:iCs/>
          <w:color w:val="000000" w:themeColor="text1"/>
        </w:rPr>
        <w:t xml:space="preserve"> film thickness, </w:t>
      </w:r>
      <w:proofErr w:type="spellStart"/>
      <w:r w:rsidRPr="001404EE">
        <w:rPr>
          <w:iCs/>
          <w:color w:val="000000" w:themeColor="text1"/>
        </w:rPr>
        <w:t>Restek</w:t>
      </w:r>
      <w:proofErr w:type="spellEnd"/>
      <w:r w:rsidRPr="001404EE">
        <w:rPr>
          <w:iCs/>
          <w:color w:val="000000" w:themeColor="text1"/>
        </w:rPr>
        <w:t xml:space="preserve"> corp.) as the primary, and a </w:t>
      </w:r>
      <w:proofErr w:type="spellStart"/>
      <w:r w:rsidRPr="001404EE">
        <w:rPr>
          <w:iCs/>
          <w:color w:val="000000" w:themeColor="text1"/>
        </w:rPr>
        <w:t>Stabilwax</w:t>
      </w:r>
      <w:proofErr w:type="spellEnd"/>
      <w:r w:rsidRPr="001404EE">
        <w:rPr>
          <w:iCs/>
          <w:color w:val="000000" w:themeColor="text1"/>
        </w:rPr>
        <w:t xml:space="preserve"> (1.59 m × 0.25 mm inner diameter, 0.5 </w:t>
      </w:r>
      <w:proofErr w:type="spellStart"/>
      <w:r w:rsidRPr="001404EE">
        <w:rPr>
          <w:iCs/>
          <w:color w:val="000000" w:themeColor="text1"/>
        </w:rPr>
        <w:t>μm</w:t>
      </w:r>
      <w:proofErr w:type="spellEnd"/>
      <w:r w:rsidRPr="001404EE">
        <w:rPr>
          <w:iCs/>
          <w:color w:val="000000" w:themeColor="text1"/>
        </w:rPr>
        <w:t xml:space="preserve"> film thickness, </w:t>
      </w:r>
      <w:proofErr w:type="spellStart"/>
      <w:r w:rsidRPr="001404EE">
        <w:rPr>
          <w:iCs/>
          <w:color w:val="000000" w:themeColor="text1"/>
        </w:rPr>
        <w:t>Restek</w:t>
      </w:r>
      <w:proofErr w:type="spellEnd"/>
      <w:r w:rsidRPr="001404EE">
        <w:rPr>
          <w:iCs/>
          <w:color w:val="000000" w:themeColor="text1"/>
        </w:rPr>
        <w:t xml:space="preserve"> corp.) as the secondary, again connected by a </w:t>
      </w:r>
      <w:proofErr w:type="spellStart"/>
      <w:r w:rsidRPr="001404EE">
        <w:rPr>
          <w:iCs/>
          <w:color w:val="000000" w:themeColor="text1"/>
        </w:rPr>
        <w:t>SilTite</w:t>
      </w:r>
      <w:proofErr w:type="spellEnd"/>
      <w:r w:rsidRPr="001404EE">
        <w:rPr>
          <w:iCs/>
          <w:color w:val="000000" w:themeColor="text1"/>
        </w:rPr>
        <w:t xml:space="preserve"> μ-Union connector (SGE Analytical Science). He was used as the carrier gas maintained at a constant flowrate of </w:t>
      </w:r>
      <w:r w:rsidRPr="001404EE">
        <w:rPr>
          <w:bCs/>
          <w:iCs/>
          <w:color w:val="000000" w:themeColor="text1"/>
        </w:rPr>
        <w:t>1 mL/min</w:t>
      </w:r>
      <w:r w:rsidRPr="001404EE">
        <w:rPr>
          <w:iCs/>
          <w:color w:val="000000" w:themeColor="text1"/>
        </w:rPr>
        <w:t xml:space="preserve">. The primary oven was held at an initial temperature of 35°C for five minutes, before being heated to 240°C at a rate of 5°C/min, where temperature was held for a further five minutes. The secondary oven and modulator were offset by +15°C and </w:t>
      </w:r>
      <w:r w:rsidRPr="001404EE">
        <w:rPr>
          <w:bCs/>
          <w:iCs/>
          <w:color w:val="000000" w:themeColor="text1"/>
        </w:rPr>
        <w:t>+20°C</w:t>
      </w:r>
      <w:r w:rsidRPr="001404EE">
        <w:rPr>
          <w:iCs/>
          <w:color w:val="000000" w:themeColor="text1"/>
        </w:rPr>
        <w:t xml:space="preserve"> respectively, relative to the primary oven, with a modulation period of five seconds, with a hot pulse time of 1 sec, and a 1.5 sec cool time between stages. The transfer line was maintained at 250°C, with mass acquisition performed between 29 and 450 amu at a rate of </w:t>
      </w:r>
      <w:r w:rsidRPr="001404EE">
        <w:rPr>
          <w:bCs/>
          <w:iCs/>
          <w:color w:val="000000" w:themeColor="text1"/>
        </w:rPr>
        <w:t>200 spectra/s</w:t>
      </w:r>
      <w:r w:rsidRPr="001404EE">
        <w:rPr>
          <w:iCs/>
          <w:color w:val="000000" w:themeColor="text1"/>
        </w:rPr>
        <w:t>.</w:t>
      </w:r>
      <w:bookmarkEnd w:id="13"/>
    </w:p>
    <w:p w14:paraId="5EA900A8" w14:textId="77777777" w:rsidR="00297074" w:rsidRDefault="00297074"/>
    <w:sectPr w:rsidR="00297074" w:rsidSect="001B13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D826" w14:textId="77777777" w:rsidR="001B13B4" w:rsidRDefault="001B13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94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A4757" w14:textId="77777777" w:rsidR="001B13B4" w:rsidRDefault="001B13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FC179" w14:textId="77777777" w:rsidR="001B13B4" w:rsidRDefault="001B13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306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7477F" w14:textId="77777777" w:rsidR="001B13B4" w:rsidRDefault="001B13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4E8EC7" w14:textId="77777777" w:rsidR="001B13B4" w:rsidRDefault="001B13B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8DD0" w14:textId="77777777" w:rsidR="001B13B4" w:rsidRDefault="001B13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D382" w14:textId="77777777" w:rsidR="001B13B4" w:rsidRDefault="001B13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BE9D" w14:textId="77777777" w:rsidR="001B13B4" w:rsidRDefault="001B13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B4"/>
    <w:rsid w:val="001B13B4"/>
    <w:rsid w:val="00297074"/>
    <w:rsid w:val="004B10F5"/>
    <w:rsid w:val="00A8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F95F4"/>
  <w15:chartTrackingRefBased/>
  <w15:docId w15:val="{25BDBBC8-DEF3-4D66-8A64-B39A1287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3B4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3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3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3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3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3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3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3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3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3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3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3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3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3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1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3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1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3B4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13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3B4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13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3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3B4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B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3B4"/>
    <w:rPr>
      <w:rFonts w:ascii="Times New Roman" w:hAnsi="Times New Roman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B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3B4"/>
    <w:rPr>
      <w:rFonts w:ascii="Times New Roman" w:hAnsi="Times New Roman"/>
      <w:kern w:val="0"/>
      <w:sz w:val="24"/>
      <w14:ligatures w14:val="none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1B13B4"/>
    <w:pPr>
      <w:spacing w:after="200" w:line="360" w:lineRule="auto"/>
    </w:pPr>
    <w:rPr>
      <w:iCs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1B13B4"/>
    <w:rPr>
      <w:rFonts w:ascii="Times New Roman" w:hAnsi="Times New Roman"/>
      <w:iCs/>
      <w:kern w:val="0"/>
      <w:sz w:val="24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B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2.xml"/><Relationship Id="rId5" Type="http://schemas.openxmlformats.org/officeDocument/2006/relationships/image" Target="media/image2.png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Olander</dc:creator>
  <cp:keywords/>
  <dc:description/>
  <cp:lastModifiedBy>Axel Olander</cp:lastModifiedBy>
  <cp:revision>1</cp:revision>
  <dcterms:created xsi:type="dcterms:W3CDTF">2026-02-07T08:42:00Z</dcterms:created>
  <dcterms:modified xsi:type="dcterms:W3CDTF">2026-02-07T08:44:00Z</dcterms:modified>
</cp:coreProperties>
</file>