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DF74F" w14:textId="6C9E84A1" w:rsidR="002A65E8" w:rsidRPr="002A65E8" w:rsidRDefault="002A65E8" w:rsidP="004C6909">
      <w:pPr>
        <w:spacing w:line="360" w:lineRule="auto"/>
        <w:rPr>
          <w:rFonts w:ascii="Times New Roman" w:hAnsi="Times New Roman"/>
          <w:b/>
          <w:bCs/>
          <w:lang w:eastAsia="ko-KR"/>
        </w:rPr>
      </w:pPr>
      <w:r w:rsidRPr="002A65E8">
        <w:rPr>
          <w:rFonts w:ascii="Times New Roman" w:hAnsi="Times New Roman"/>
          <w:b/>
          <w:bCs/>
          <w:lang w:eastAsia="ko-KR"/>
        </w:rPr>
        <w:t xml:space="preserve">Statistical Analysis Plan (SAP) </w:t>
      </w:r>
    </w:p>
    <w:p w14:paraId="56A4C769" w14:textId="77777777" w:rsidR="002A65E8" w:rsidRPr="002A65E8" w:rsidRDefault="002A65E8" w:rsidP="004C6909">
      <w:pPr>
        <w:spacing w:line="360" w:lineRule="auto"/>
        <w:rPr>
          <w:rFonts w:ascii="Times New Roman" w:hAnsi="Times New Roman"/>
          <w:lang w:eastAsia="ko-KR"/>
        </w:rPr>
      </w:pPr>
    </w:p>
    <w:p w14:paraId="3FC2B354" w14:textId="77777777" w:rsidR="002A65E8" w:rsidRPr="002A65E8" w:rsidRDefault="002A65E8" w:rsidP="004C6909">
      <w:pPr>
        <w:spacing w:beforeLines="100" w:before="240" w:line="360" w:lineRule="auto"/>
        <w:rPr>
          <w:rFonts w:ascii="Times New Roman" w:hAnsi="Times New Roman"/>
          <w:b/>
          <w:bCs/>
        </w:rPr>
      </w:pPr>
      <w:r w:rsidRPr="002A65E8">
        <w:rPr>
          <w:rFonts w:ascii="Times New Roman" w:hAnsi="Times New Roman"/>
          <w:b/>
          <w:bCs/>
        </w:rPr>
        <w:t>Protocol for: Kim H, Yoon HM, Kim EK, et al. Safety and efficacy of selumetinib in pediatric and adult patients with neurofibromatosis type 1 and plexiform neurofibroma</w:t>
      </w:r>
    </w:p>
    <w:p w14:paraId="5E1FC5A0" w14:textId="77777777" w:rsidR="002A65E8" w:rsidRDefault="002A65E8" w:rsidP="004C6909">
      <w:pPr>
        <w:spacing w:line="360" w:lineRule="auto"/>
        <w:rPr>
          <w:rFonts w:ascii="Times New Roman" w:hAnsi="Times New Roman"/>
          <w:lang w:eastAsia="ko-KR"/>
        </w:rPr>
      </w:pPr>
    </w:p>
    <w:p w14:paraId="7804A2CF" w14:textId="77777777" w:rsidR="002A65E8" w:rsidRDefault="002A65E8" w:rsidP="004C6909">
      <w:pPr>
        <w:spacing w:line="360" w:lineRule="auto"/>
        <w:rPr>
          <w:rFonts w:ascii="Times New Roman" w:hAnsi="Times New Roman"/>
          <w:lang w:eastAsia="ko-KR"/>
        </w:rPr>
      </w:pPr>
      <w:r w:rsidRPr="002A65E8">
        <w:rPr>
          <w:rFonts w:ascii="Times New Roman" w:hAnsi="Times New Roman"/>
          <w:lang w:eastAsia="ko-KR"/>
        </w:rPr>
        <w:t>Version: June 20, 2020</w:t>
      </w:r>
    </w:p>
    <w:p w14:paraId="05BC9633" w14:textId="77777777" w:rsidR="002A65E8" w:rsidRDefault="002A65E8" w:rsidP="004C6909">
      <w:pPr>
        <w:spacing w:line="360" w:lineRule="auto"/>
        <w:rPr>
          <w:rFonts w:ascii="Times New Roman" w:hAnsi="Times New Roman"/>
          <w:lang w:eastAsia="ko-KR"/>
        </w:rPr>
      </w:pPr>
    </w:p>
    <w:p w14:paraId="1E86FC8F" w14:textId="77777777" w:rsidR="002A65E8" w:rsidRDefault="002A65E8" w:rsidP="004C6909">
      <w:pPr>
        <w:spacing w:line="360" w:lineRule="auto"/>
        <w:rPr>
          <w:rFonts w:ascii="Times New Roman" w:hAnsi="Times New Roman"/>
          <w:lang w:eastAsia="ko-KR"/>
        </w:rPr>
      </w:pPr>
    </w:p>
    <w:p w14:paraId="3030E991" w14:textId="77777777" w:rsidR="002A65E8" w:rsidRDefault="002A65E8" w:rsidP="004C6909">
      <w:pPr>
        <w:spacing w:line="360" w:lineRule="auto"/>
        <w:rPr>
          <w:rFonts w:ascii="Times New Roman" w:hAnsi="Times New Roman"/>
          <w:lang w:eastAsia="ko-KR"/>
        </w:rPr>
      </w:pPr>
    </w:p>
    <w:p w14:paraId="5F7C4C7F" w14:textId="77777777" w:rsidR="002A65E8" w:rsidRDefault="002A65E8" w:rsidP="004C6909">
      <w:pPr>
        <w:spacing w:line="360" w:lineRule="auto"/>
        <w:rPr>
          <w:rFonts w:ascii="Times New Roman" w:hAnsi="Times New Roman"/>
          <w:lang w:eastAsia="ko-KR"/>
        </w:rPr>
      </w:pPr>
    </w:p>
    <w:p w14:paraId="5D815787" w14:textId="77777777" w:rsidR="002A65E8" w:rsidRDefault="002A65E8" w:rsidP="004C6909">
      <w:pPr>
        <w:spacing w:line="360" w:lineRule="auto"/>
        <w:rPr>
          <w:rFonts w:ascii="Times New Roman" w:hAnsi="Times New Roman"/>
          <w:lang w:eastAsia="ko-KR"/>
        </w:rPr>
      </w:pPr>
    </w:p>
    <w:p w14:paraId="2A66B4B4" w14:textId="77777777" w:rsidR="004C6909" w:rsidRDefault="004C6909" w:rsidP="004C6909">
      <w:pPr>
        <w:spacing w:line="360" w:lineRule="auto"/>
        <w:rPr>
          <w:rFonts w:ascii="Times New Roman" w:hAnsi="Times New Roman" w:hint="eastAsia"/>
          <w:lang w:eastAsia="ko-KR"/>
        </w:rPr>
      </w:pPr>
    </w:p>
    <w:p w14:paraId="2F94670B" w14:textId="77777777" w:rsidR="002A65E8" w:rsidRDefault="002A65E8" w:rsidP="004C6909">
      <w:pPr>
        <w:spacing w:line="360" w:lineRule="auto"/>
        <w:rPr>
          <w:rFonts w:ascii="Times New Roman" w:hAnsi="Times New Roman"/>
          <w:lang w:eastAsia="ko-KR"/>
        </w:rPr>
      </w:pPr>
    </w:p>
    <w:p w14:paraId="582BE452" w14:textId="77777777" w:rsidR="002A65E8" w:rsidRDefault="002A65E8" w:rsidP="004C6909">
      <w:pPr>
        <w:spacing w:line="360" w:lineRule="auto"/>
        <w:rPr>
          <w:rFonts w:ascii="Times New Roman" w:hAnsi="Times New Roman"/>
          <w:lang w:eastAsia="ko-KR"/>
        </w:rPr>
      </w:pPr>
    </w:p>
    <w:p w14:paraId="70140130" w14:textId="77777777" w:rsidR="002A65E8" w:rsidRDefault="002A65E8" w:rsidP="004C6909">
      <w:pPr>
        <w:spacing w:line="360" w:lineRule="auto"/>
        <w:rPr>
          <w:rFonts w:ascii="Times New Roman" w:hAnsi="Times New Roman"/>
          <w:lang w:eastAsia="ko-KR"/>
        </w:rPr>
      </w:pPr>
    </w:p>
    <w:p w14:paraId="171CB99E" w14:textId="77777777" w:rsidR="002A65E8" w:rsidRDefault="002A65E8" w:rsidP="004C6909">
      <w:pPr>
        <w:spacing w:line="360" w:lineRule="auto"/>
        <w:rPr>
          <w:rFonts w:ascii="Times New Roman" w:hAnsi="Times New Roman"/>
          <w:lang w:eastAsia="ko-KR"/>
        </w:rPr>
      </w:pPr>
    </w:p>
    <w:p w14:paraId="0C099E76" w14:textId="77777777" w:rsidR="002A65E8" w:rsidRDefault="002A65E8" w:rsidP="004C6909">
      <w:pPr>
        <w:spacing w:line="360" w:lineRule="auto"/>
        <w:rPr>
          <w:rFonts w:ascii="Times New Roman" w:hAnsi="Times New Roman"/>
          <w:lang w:eastAsia="ko-KR"/>
        </w:rPr>
      </w:pPr>
    </w:p>
    <w:p w14:paraId="711F5EC2" w14:textId="5E3BDA69" w:rsidR="002A65E8" w:rsidRDefault="002A65E8" w:rsidP="004C6909">
      <w:pPr>
        <w:spacing w:line="360" w:lineRule="auto"/>
        <w:rPr>
          <w:rFonts w:ascii="Times New Roman" w:hAnsi="Times New Roman"/>
          <w:lang w:eastAsia="ko-KR"/>
        </w:rPr>
      </w:pPr>
      <w:r>
        <w:rPr>
          <w:noProof/>
        </w:rPr>
        <w:drawing>
          <wp:anchor distT="0" distB="0" distL="114300" distR="114300" simplePos="0" relativeHeight="251659264" behindDoc="0" locked="0" layoutInCell="1" allowOverlap="1" wp14:anchorId="5478CAD7" wp14:editId="3936D5C5">
            <wp:simplePos x="0" y="0"/>
            <wp:positionH relativeFrom="margin">
              <wp:align>left</wp:align>
            </wp:positionH>
            <wp:positionV relativeFrom="paragraph">
              <wp:posOffset>179717</wp:posOffset>
            </wp:positionV>
            <wp:extent cx="981075" cy="371475"/>
            <wp:effectExtent l="0" t="0" r="9525" b="9525"/>
            <wp:wrapNone/>
            <wp:docPr id="152971595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15955" name=""/>
                    <pic:cNvPicPr/>
                  </pic:nvPicPr>
                  <pic:blipFill>
                    <a:blip r:embed="rId5">
                      <a:extLst>
                        <a:ext uri="{28A0092B-C50C-407E-A947-70E740481C1C}">
                          <a14:useLocalDpi xmlns:a14="http://schemas.microsoft.com/office/drawing/2010/main" val="0"/>
                        </a:ext>
                      </a:extLst>
                    </a:blip>
                    <a:stretch>
                      <a:fillRect/>
                    </a:stretch>
                  </pic:blipFill>
                  <pic:spPr>
                    <a:xfrm>
                      <a:off x="0" y="0"/>
                      <a:ext cx="981075" cy="371475"/>
                    </a:xfrm>
                    <a:prstGeom prst="rect">
                      <a:avLst/>
                    </a:prstGeom>
                  </pic:spPr>
                </pic:pic>
              </a:graphicData>
            </a:graphic>
            <wp14:sizeRelH relativeFrom="page">
              <wp14:pctWidth>0</wp14:pctWidth>
            </wp14:sizeRelH>
            <wp14:sizeRelV relativeFrom="page">
              <wp14:pctHeight>0</wp14:pctHeight>
            </wp14:sizeRelV>
          </wp:anchor>
        </w:drawing>
      </w:r>
    </w:p>
    <w:p w14:paraId="51DAB723" w14:textId="77777777" w:rsidR="002A65E8" w:rsidRDefault="002A65E8" w:rsidP="004C6909">
      <w:pPr>
        <w:spacing w:line="360" w:lineRule="auto"/>
        <w:rPr>
          <w:rFonts w:ascii="Times New Roman" w:hAnsi="Times New Roman"/>
          <w:lang w:eastAsia="ko-KR"/>
        </w:rPr>
      </w:pPr>
    </w:p>
    <w:p w14:paraId="54C86EEF" w14:textId="1DF00883" w:rsidR="002A65E8" w:rsidRDefault="002A65E8" w:rsidP="004C6909">
      <w:pPr>
        <w:spacing w:line="360" w:lineRule="auto"/>
        <w:rPr>
          <w:rFonts w:ascii="Times New Roman" w:hAnsi="Times New Roman"/>
          <w:lang w:eastAsia="ko-KR"/>
        </w:rPr>
      </w:pPr>
      <w:r>
        <w:rPr>
          <w:rFonts w:ascii="Times New Roman" w:hAnsi="Times New Roman" w:hint="eastAsia"/>
          <w:lang w:eastAsia="ko-KR"/>
        </w:rPr>
        <w:t>Beom Hee Lee, MD, PhD   December 19, 2025</w:t>
      </w:r>
    </w:p>
    <w:p w14:paraId="5CFBB5CF" w14:textId="74CC573E" w:rsidR="002A65E8" w:rsidRPr="002A65E8" w:rsidRDefault="002A65E8" w:rsidP="004C6909">
      <w:pPr>
        <w:spacing w:line="360" w:lineRule="auto"/>
        <w:rPr>
          <w:rFonts w:ascii="Times New Roman" w:hAnsi="Times New Roman" w:hint="eastAsia"/>
          <w:lang w:eastAsia="ko-KR"/>
        </w:rPr>
        <w:sectPr w:rsidR="002A65E8" w:rsidRPr="002A65E8">
          <w:pgSz w:w="11906" w:h="16838"/>
          <w:pgMar w:top="1701" w:right="1440" w:bottom="1440" w:left="1440" w:header="851" w:footer="992" w:gutter="0"/>
          <w:cols w:space="425"/>
          <w:docGrid w:linePitch="360"/>
        </w:sectPr>
      </w:pPr>
    </w:p>
    <w:p w14:paraId="3F7AB46B" w14:textId="76CF1110" w:rsidR="002A65E8" w:rsidRPr="003127BA" w:rsidRDefault="002A65E8" w:rsidP="004C6909">
      <w:pPr>
        <w:pStyle w:val="1"/>
        <w:tabs>
          <w:tab w:val="num" w:pos="360"/>
        </w:tabs>
        <w:spacing w:line="360" w:lineRule="auto"/>
        <w:rPr>
          <w:rFonts w:ascii="Times New Roman" w:hAnsi="Times New Roman"/>
        </w:rPr>
      </w:pPr>
      <w:bookmarkStart w:id="0" w:name="_Toc217313930"/>
      <w:r>
        <w:rPr>
          <w:rFonts w:ascii="Times New Roman" w:hAnsi="Times New Roman" w:hint="eastAsia"/>
          <w:lang w:eastAsia="ko-KR"/>
        </w:rPr>
        <w:lastRenderedPageBreak/>
        <w:t>S</w:t>
      </w:r>
      <w:r w:rsidRPr="003127BA">
        <w:rPr>
          <w:rFonts w:ascii="Times New Roman" w:hAnsi="Times New Roman"/>
        </w:rPr>
        <w:t>tatistical analyses</w:t>
      </w:r>
      <w:bookmarkEnd w:id="0"/>
      <w:r w:rsidRPr="003127BA">
        <w:rPr>
          <w:rFonts w:ascii="Times New Roman" w:hAnsi="Times New Roman"/>
        </w:rPr>
        <w:t xml:space="preserve"> </w:t>
      </w:r>
    </w:p>
    <w:p w14:paraId="61684E20" w14:textId="77777777" w:rsidR="002A65E8" w:rsidRPr="003127BA" w:rsidRDefault="002A65E8" w:rsidP="004C6909">
      <w:pPr>
        <w:spacing w:line="360" w:lineRule="auto"/>
        <w:rPr>
          <w:rFonts w:ascii="Times New Roman" w:hAnsi="Times New Roman"/>
        </w:rPr>
      </w:pPr>
    </w:p>
    <w:p w14:paraId="798A18FC" w14:textId="3E01C9D1" w:rsidR="002A65E8" w:rsidRPr="004C6909" w:rsidRDefault="002A65E8" w:rsidP="004C6909">
      <w:pPr>
        <w:pStyle w:val="2"/>
        <w:numPr>
          <w:ilvl w:val="0"/>
          <w:numId w:val="4"/>
        </w:numPr>
        <w:spacing w:line="360" w:lineRule="auto"/>
        <w:rPr>
          <w:rFonts w:ascii="Times New Roman" w:hAnsi="Times New Roman"/>
          <w:b/>
          <w:bCs/>
        </w:rPr>
      </w:pPr>
      <w:bookmarkStart w:id="1" w:name="_Toc217313931"/>
      <w:r w:rsidRPr="004C6909">
        <w:rPr>
          <w:rFonts w:ascii="Times New Roman" w:hAnsi="Times New Roman"/>
          <w:b/>
          <w:bCs/>
          <w:lang w:val="en-US"/>
        </w:rPr>
        <w:t>Description of analysis sets</w:t>
      </w:r>
      <w:bookmarkEnd w:id="1"/>
    </w:p>
    <w:p w14:paraId="41ED62F3" w14:textId="77777777" w:rsidR="002A65E8" w:rsidRPr="003127BA" w:rsidRDefault="002A65E8" w:rsidP="004C6909">
      <w:pPr>
        <w:pStyle w:val="3"/>
        <w:numPr>
          <w:ilvl w:val="2"/>
          <w:numId w:val="0"/>
        </w:numPr>
        <w:tabs>
          <w:tab w:val="num" w:pos="360"/>
        </w:tabs>
        <w:spacing w:line="360" w:lineRule="auto"/>
        <w:rPr>
          <w:rFonts w:ascii="Times New Roman" w:hAnsi="Times New Roman"/>
        </w:rPr>
      </w:pPr>
      <w:bookmarkStart w:id="2" w:name="_Toc217313932"/>
      <w:r w:rsidRPr="003127BA">
        <w:rPr>
          <w:rFonts w:ascii="Times New Roman" w:hAnsi="Times New Roman"/>
        </w:rPr>
        <w:t>Safety analysis set</w:t>
      </w:r>
      <w:bookmarkEnd w:id="2"/>
    </w:p>
    <w:p w14:paraId="6CDC8CD0" w14:textId="77777777" w:rsidR="002A65E8" w:rsidRPr="003127BA" w:rsidRDefault="002A65E8" w:rsidP="004C6909">
      <w:pPr>
        <w:spacing w:after="0" w:line="360" w:lineRule="auto"/>
        <w:rPr>
          <w:rFonts w:ascii="Times New Roman" w:hAnsi="Times New Roman"/>
          <w:kern w:val="0"/>
          <w:lang w:val="en-US" w:eastAsia="ko-KR"/>
        </w:rPr>
      </w:pPr>
      <w:r w:rsidRPr="003127BA">
        <w:rPr>
          <w:rFonts w:ascii="Times New Roman" w:hAnsi="Times New Roman"/>
          <w:kern w:val="0"/>
          <w:lang w:val="en-US" w:eastAsia="ko-KR"/>
        </w:rPr>
        <w:t> Safety will be assessed in all patients who received at least one dose of study drugs. </w:t>
      </w:r>
    </w:p>
    <w:p w14:paraId="460A1F63" w14:textId="77777777" w:rsidR="002A65E8" w:rsidRPr="003127BA" w:rsidRDefault="002A65E8" w:rsidP="004C6909">
      <w:pPr>
        <w:pStyle w:val="3"/>
        <w:numPr>
          <w:ilvl w:val="2"/>
          <w:numId w:val="0"/>
        </w:numPr>
        <w:tabs>
          <w:tab w:val="num" w:pos="360"/>
        </w:tabs>
        <w:spacing w:line="360" w:lineRule="auto"/>
        <w:rPr>
          <w:rFonts w:ascii="Times New Roman" w:hAnsi="Times New Roman"/>
        </w:rPr>
      </w:pPr>
      <w:bookmarkStart w:id="3" w:name="_Toc217313933"/>
      <w:r w:rsidRPr="003127BA">
        <w:rPr>
          <w:rFonts w:ascii="Times New Roman" w:hAnsi="Times New Roman"/>
        </w:rPr>
        <w:t>Efficacy analysis set</w:t>
      </w:r>
      <w:bookmarkEnd w:id="3"/>
    </w:p>
    <w:p w14:paraId="0D62E399" w14:textId="77777777" w:rsidR="002A65E8" w:rsidRPr="003127BA" w:rsidRDefault="002A65E8" w:rsidP="004C6909">
      <w:pPr>
        <w:pStyle w:val="A-ListBullet"/>
        <w:numPr>
          <w:ilvl w:val="0"/>
          <w:numId w:val="0"/>
        </w:numPr>
        <w:spacing w:line="360" w:lineRule="auto"/>
        <w:ind w:left="284"/>
        <w:rPr>
          <w:rFonts w:ascii="Times New Roman" w:hAnsi="Times New Roman"/>
          <w:lang w:val="en-GB"/>
        </w:rPr>
      </w:pPr>
      <w:r w:rsidRPr="003127BA">
        <w:rPr>
          <w:rFonts w:ascii="Times New Roman" w:hAnsi="Times New Roman"/>
        </w:rPr>
        <w:t xml:space="preserve">Efficacy will be assessed in all patients </w:t>
      </w:r>
      <w:r w:rsidRPr="003127BA">
        <w:rPr>
          <w:rFonts w:ascii="Times New Roman" w:hAnsi="Times New Roman"/>
          <w:kern w:val="0"/>
          <w:lang w:eastAsia="ko-KR"/>
        </w:rPr>
        <w:t>who received at least one dose of study drugs.</w:t>
      </w:r>
    </w:p>
    <w:p w14:paraId="25C214C3" w14:textId="77777777" w:rsidR="002A65E8" w:rsidRPr="003127BA" w:rsidRDefault="002A65E8" w:rsidP="004C6909">
      <w:pPr>
        <w:pStyle w:val="A-ListBullet"/>
        <w:numPr>
          <w:ilvl w:val="0"/>
          <w:numId w:val="0"/>
        </w:numPr>
        <w:spacing w:line="360" w:lineRule="auto"/>
        <w:ind w:left="284"/>
        <w:rPr>
          <w:rFonts w:ascii="Times New Roman" w:hAnsi="Times New Roman"/>
          <w:lang w:val="en-GB"/>
        </w:rPr>
      </w:pPr>
    </w:p>
    <w:p w14:paraId="21A34ED0" w14:textId="019A9416" w:rsidR="002A65E8" w:rsidRPr="004C6909" w:rsidRDefault="002A65E8" w:rsidP="004C6909">
      <w:pPr>
        <w:pStyle w:val="2"/>
        <w:numPr>
          <w:ilvl w:val="0"/>
          <w:numId w:val="4"/>
        </w:numPr>
        <w:spacing w:line="360" w:lineRule="auto"/>
        <w:rPr>
          <w:rFonts w:ascii="Times New Roman" w:hAnsi="Times New Roman"/>
          <w:b/>
          <w:bCs/>
        </w:rPr>
      </w:pPr>
      <w:bookmarkStart w:id="4" w:name="_Toc217313934"/>
      <w:r w:rsidRPr="004C6909">
        <w:rPr>
          <w:rFonts w:ascii="Times New Roman" w:hAnsi="Times New Roman"/>
          <w:b/>
          <w:bCs/>
        </w:rPr>
        <w:t>Sample size estimate</w:t>
      </w:r>
      <w:bookmarkEnd w:id="4"/>
    </w:p>
    <w:p w14:paraId="11135077" w14:textId="77777777" w:rsidR="002A65E8" w:rsidRPr="003127BA" w:rsidRDefault="002A65E8" w:rsidP="004C6909">
      <w:pPr>
        <w:spacing w:line="360" w:lineRule="auto"/>
        <w:jc w:val="both"/>
        <w:rPr>
          <w:rFonts w:ascii="Times New Roman" w:hAnsi="Times New Roman"/>
          <w:bCs/>
        </w:rPr>
      </w:pPr>
      <w:r w:rsidRPr="003127BA">
        <w:rPr>
          <w:rFonts w:ascii="Times New Roman" w:hAnsi="Times New Roman"/>
          <w:bCs/>
        </w:rPr>
        <w:t>The estimated sample size is 90. In the stratum 1 of SPRINT study (</w:t>
      </w:r>
      <w:r w:rsidRPr="003127BA">
        <w:rPr>
          <w:rFonts w:ascii="Times New Roman" w:hAnsi="Times New Roman"/>
          <w:noProof/>
          <w:sz w:val="22"/>
          <w:szCs w:val="22"/>
        </w:rPr>
        <w:t>17)</w:t>
      </w:r>
      <w:r w:rsidRPr="003127BA">
        <w:rPr>
          <w:rFonts w:ascii="Times New Roman" w:hAnsi="Times New Roman"/>
          <w:bCs/>
        </w:rPr>
        <w:t>, the incidence of decreased left ventricular ejection fraction with CTCAE grade ≥3 was 4.2% (1 out of 24). If this was the real-world incidence of this adverse event, then a sample of 90 patients would provide a 97.9% probability of observing at least one event (i.e. with n=90 and 3.8 events observed, the estimated incidence is 3.8/90=4.2% and the exact 95% CI for this would be 1.11% to 10.68% by “Clopper-Pearson CIs”).</w:t>
      </w:r>
    </w:p>
    <w:p w14:paraId="2D02A2F9" w14:textId="77777777" w:rsidR="002A65E8" w:rsidRPr="003127BA" w:rsidRDefault="002A65E8" w:rsidP="004C6909">
      <w:pPr>
        <w:spacing w:line="360" w:lineRule="auto"/>
        <w:jc w:val="both"/>
        <w:rPr>
          <w:rFonts w:ascii="Times New Roman" w:hAnsi="Times New Roman"/>
          <w:bCs/>
          <w:lang w:eastAsia="ko-KR" w:bidi="th-TH"/>
        </w:rPr>
      </w:pPr>
      <w:r w:rsidRPr="003127BA">
        <w:rPr>
          <w:rFonts w:ascii="Times New Roman" w:hAnsi="Times New Roman"/>
          <w:bCs/>
        </w:rPr>
        <w:t xml:space="preserve">25 mg per square meter of AZD6244 (Selumetinib; AstraZeneca, Cambridge, England) with a median 30 cycles (28-day cycle) resulted in tumor volume decreases from baseline of ≥20% in 71% pediatric patients </w:t>
      </w:r>
      <w:r w:rsidRPr="003127BA">
        <w:rPr>
          <w:rFonts w:ascii="Times New Roman" w:hAnsi="Times New Roman"/>
          <w:bCs/>
          <w:sz w:val="22"/>
        </w:rPr>
        <w:fldChar w:fldCharType="begin">
          <w:fldData xml:space="preserve">PEVuZE5vdGU+PENpdGU+PEF1dGhvcj5Eb21iaTwvQXV0aG9yPjxZZWFyPjIwMTY8L1llYXI+PFJl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aW5lPC9hYmJyLTE+PC9hbHQtcGVyaW9kaWNhbD48cGFnZXM+MjU1MC0yNTYwPC9wYWdlcz48dm9s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</w:fldData>
        </w:fldChar>
      </w:r>
      <w:r w:rsidRPr="003127BA">
        <w:rPr>
          <w:rFonts w:ascii="Times New Roman" w:hAnsi="Times New Roman"/>
          <w:bCs/>
          <w:sz w:val="22"/>
        </w:rPr>
        <w:instrText xml:space="preserve"> ADDIN EN.CITE </w:instrText>
      </w:r>
      <w:r w:rsidRPr="003127BA">
        <w:rPr>
          <w:rFonts w:ascii="Times New Roman" w:hAnsi="Times New Roman"/>
          <w:bCs/>
          <w:sz w:val="22"/>
        </w:rPr>
        <w:fldChar w:fldCharType="begin">
          <w:fldData xml:space="preserve">PEVuZE5vdGU+PENpdGU+PEF1dGhvcj5Eb21iaTwvQXV0aG9yPjxZZWFyPjIwMTY8L1llYXI+PFJl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aW5lPC9hYmJyLTE+PC9hbHQtcGVyaW9kaWNhbD48cGFnZXM+MjU1MC0yNTYwPC9wYWdlcz48dm9s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</w:fldData>
        </w:fldChar>
      </w:r>
      <w:r w:rsidRPr="003127BA">
        <w:rPr>
          <w:rFonts w:ascii="Times New Roman" w:hAnsi="Times New Roman"/>
          <w:bCs/>
          <w:sz w:val="22"/>
        </w:rPr>
        <w:instrText xml:space="preserve"> ADDIN EN.CITE.DATA </w:instrText>
      </w:r>
      <w:r w:rsidRPr="003127BA">
        <w:rPr>
          <w:rFonts w:ascii="Times New Roman" w:hAnsi="Times New Roman"/>
          <w:bCs/>
          <w:sz w:val="22"/>
        </w:rPr>
      </w:r>
      <w:r w:rsidRPr="003127BA">
        <w:rPr>
          <w:rFonts w:ascii="Times New Roman" w:hAnsi="Times New Roman"/>
          <w:bCs/>
          <w:sz w:val="22"/>
        </w:rPr>
        <w:fldChar w:fldCharType="end"/>
      </w:r>
      <w:r w:rsidRPr="003127BA">
        <w:rPr>
          <w:rFonts w:ascii="Times New Roman" w:hAnsi="Times New Roman"/>
          <w:bCs/>
          <w:sz w:val="22"/>
        </w:rPr>
      </w:r>
      <w:r w:rsidRPr="003127BA">
        <w:rPr>
          <w:rFonts w:ascii="Times New Roman" w:hAnsi="Times New Roman"/>
          <w:bCs/>
          <w:sz w:val="22"/>
        </w:rPr>
        <w:fldChar w:fldCharType="separate"/>
      </w:r>
      <w:r w:rsidRPr="003127BA">
        <w:rPr>
          <w:rFonts w:ascii="Times New Roman" w:hAnsi="Times New Roman"/>
          <w:bCs/>
          <w:noProof/>
          <w:sz w:val="22"/>
        </w:rPr>
        <w:t>(17)</w:t>
      </w:r>
      <w:r w:rsidRPr="003127BA">
        <w:rPr>
          <w:rFonts w:ascii="Times New Roman" w:hAnsi="Times New Roman"/>
          <w:bCs/>
          <w:sz w:val="22"/>
        </w:rPr>
        <w:fldChar w:fldCharType="end"/>
      </w:r>
      <w:r w:rsidRPr="003127BA">
        <w:rPr>
          <w:rFonts w:ascii="Times New Roman" w:hAnsi="Times New Roman"/>
          <w:bCs/>
        </w:rPr>
        <w:t>. Based on adult studies using flat dosing, Asian ethnic group is suggested t</w:t>
      </w:r>
      <w:r>
        <w:rPr>
          <w:rFonts w:ascii="Times New Roman" w:hAnsi="Times New Roman"/>
          <w:bCs/>
        </w:rPr>
        <w:t>o have higher exposure of selume</w:t>
      </w:r>
      <w:r w:rsidRPr="003127BA">
        <w:rPr>
          <w:rFonts w:ascii="Times New Roman" w:hAnsi="Times New Roman"/>
          <w:bCs/>
        </w:rPr>
        <w:t xml:space="preserve">tinib than non-Asian group. However, only one study was reported about pharmacokinetics of selumetinib in Asian healthy adult subjects. In this study, dose-normalized AUC and Cmax were 35% and 39% (95% </w:t>
      </w:r>
      <w:r w:rsidRPr="003127BA">
        <w:rPr>
          <w:rFonts w:ascii="Times New Roman" w:hAnsi="Times New Roman"/>
          <w:bCs/>
          <w:lang w:val="en-US" w:eastAsia="ko-KR"/>
        </w:rPr>
        <w:t>of confidence interval</w:t>
      </w:r>
      <w:r w:rsidRPr="003127BA">
        <w:rPr>
          <w:rFonts w:ascii="Times New Roman" w:hAnsi="Times New Roman"/>
          <w:bCs/>
        </w:rPr>
        <w:t>) higher in the pooled Asian group, respectively, compared with those in Western subjects.</w:t>
      </w:r>
    </w:p>
    <w:p w14:paraId="5932F7B5" w14:textId="77777777" w:rsidR="002A65E8" w:rsidRPr="003127BA" w:rsidRDefault="002A65E8" w:rsidP="004C6909">
      <w:pPr>
        <w:spacing w:line="360" w:lineRule="auto"/>
        <w:rPr>
          <w:rFonts w:ascii="Times New Roman" w:hAnsi="Times New Roman"/>
          <w:lang w:val="en-US"/>
        </w:rPr>
      </w:pPr>
    </w:p>
    <w:p w14:paraId="1355BF03" w14:textId="77777777" w:rsidR="002A65E8" w:rsidRPr="003127BA" w:rsidRDefault="002A65E8" w:rsidP="004C6909">
      <w:pPr>
        <w:spacing w:line="360" w:lineRule="auto"/>
        <w:jc w:val="both"/>
        <w:rPr>
          <w:rFonts w:ascii="Times New Roman" w:hAnsi="Times New Roman"/>
          <w:bCs/>
          <w:lang w:bidi="th-TH"/>
        </w:rPr>
      </w:pPr>
      <w:r w:rsidRPr="003127BA">
        <w:rPr>
          <w:rFonts w:ascii="Times New Roman" w:hAnsi="Times New Roman"/>
          <w:bCs/>
          <w:lang w:eastAsia="ko-KR" w:bidi="th-TH"/>
        </w:rPr>
        <w:t>Therefore, in the initial stage, a total of 10 evaluable pediatric (group 1) and 10 adult Korean patients (group 2) are to be entered. The 10 pediatric patients will be treated with a reduced dosage of 20</w:t>
      </w:r>
      <w:r w:rsidRPr="003127BA">
        <w:rPr>
          <w:rFonts w:ascii="Times New Roman" w:hAnsi="Times New Roman"/>
          <w:bCs/>
          <w:lang w:bidi="th-TH"/>
        </w:rPr>
        <w:t xml:space="preserve"> mg/m</w:t>
      </w:r>
      <w:r w:rsidRPr="003127BA">
        <w:rPr>
          <w:rFonts w:ascii="Times New Roman" w:hAnsi="Times New Roman"/>
          <w:bCs/>
          <w:vertAlign w:val="superscript"/>
          <w:lang w:bidi="th-TH"/>
        </w:rPr>
        <w:t>2</w:t>
      </w:r>
      <w:r w:rsidRPr="003127BA">
        <w:rPr>
          <w:rFonts w:ascii="Times New Roman" w:hAnsi="Times New Roman"/>
          <w:bCs/>
          <w:lang w:bidi="th-TH"/>
        </w:rPr>
        <w:t>/dose q 12 hrs and the 10 adult patients with 50 mg/dose q 12 hrs.</w:t>
      </w:r>
      <w:r w:rsidRPr="003127BA">
        <w:rPr>
          <w:rFonts w:ascii="Times New Roman" w:hAnsi="Times New Roman"/>
          <w:bCs/>
          <w:lang w:eastAsia="ko-KR" w:bidi="th-TH"/>
        </w:rPr>
        <w:t xml:space="preserve"> If there is no serious adverse reaction in </w:t>
      </w:r>
      <m:oMath>
        <m:r>
          <w:rPr>
            <w:rFonts w:ascii="Cambria Math" w:hAnsi="Cambria Math"/>
            <w:lang w:eastAsia="ko-KR" w:bidi="th-TH"/>
          </w:rPr>
          <m:t xml:space="preserve">≥ </m:t>
        </m:r>
      </m:oMath>
      <w:r w:rsidRPr="003127BA">
        <w:rPr>
          <w:rFonts w:ascii="Times New Roman" w:hAnsi="Times New Roman"/>
          <w:bCs/>
          <w:lang w:eastAsia="ko-KR" w:bidi="th-TH"/>
        </w:rPr>
        <w:t xml:space="preserve">6 out of 10 patients for the first six cycles, another 20 </w:t>
      </w:r>
      <w:r w:rsidRPr="003127BA">
        <w:rPr>
          <w:rFonts w:ascii="Times New Roman" w:hAnsi="Times New Roman"/>
          <w:bCs/>
          <w:lang w:eastAsia="ko-KR" w:bidi="th-TH"/>
        </w:rPr>
        <w:lastRenderedPageBreak/>
        <w:t xml:space="preserve">pediatric patients (age 3 </w:t>
      </w:r>
      <w:r>
        <w:rPr>
          <w:rFonts w:ascii="Times New Roman" w:eastAsia="Symbol" w:hAnsi="Times New Roman"/>
          <w:lang w:eastAsia="ko-KR" w:bidi="th-TH"/>
        </w:rPr>
        <w:t xml:space="preserve">- </w:t>
      </w:r>
      <w:r w:rsidRPr="003127BA">
        <w:rPr>
          <w:rFonts w:ascii="Times New Roman" w:hAnsi="Times New Roman"/>
          <w:bCs/>
          <w:lang w:eastAsia="ko-KR" w:bidi="th-TH"/>
        </w:rPr>
        <w:t>18 yr, group 1) will be treated with 20</w:t>
      </w:r>
      <w:r w:rsidRPr="003127BA">
        <w:rPr>
          <w:rFonts w:ascii="Times New Roman" w:hAnsi="Times New Roman"/>
          <w:bCs/>
          <w:lang w:bidi="th-TH"/>
        </w:rPr>
        <w:t xml:space="preserve"> mg/m</w:t>
      </w:r>
      <w:r w:rsidRPr="003127BA">
        <w:rPr>
          <w:rFonts w:ascii="Times New Roman" w:hAnsi="Times New Roman"/>
          <w:bCs/>
          <w:vertAlign w:val="superscript"/>
          <w:lang w:bidi="th-TH"/>
        </w:rPr>
        <w:t>2</w:t>
      </w:r>
      <w:r w:rsidRPr="003127BA">
        <w:rPr>
          <w:rFonts w:ascii="Times New Roman" w:hAnsi="Times New Roman"/>
          <w:bCs/>
          <w:lang w:bidi="th-TH"/>
        </w:rPr>
        <w:t>/dose q 12 hrs</w:t>
      </w:r>
      <w:r w:rsidRPr="003127BA">
        <w:rPr>
          <w:rFonts w:ascii="Times New Roman" w:hAnsi="Times New Roman"/>
          <w:bCs/>
          <w:lang w:eastAsia="ko-KR" w:bidi="th-TH"/>
        </w:rPr>
        <w:t xml:space="preserve">, and another 30 pediatric patients (age 3 </w:t>
      </w:r>
      <w:r>
        <w:rPr>
          <w:rFonts w:ascii="Times New Roman" w:eastAsia="Symbol" w:hAnsi="Times New Roman"/>
          <w:lang w:eastAsia="ko-KR" w:bidi="th-TH"/>
        </w:rPr>
        <w:t>-</w:t>
      </w:r>
      <w:r w:rsidRPr="003127BA">
        <w:rPr>
          <w:rFonts w:ascii="Times New Roman" w:hAnsi="Times New Roman"/>
          <w:bCs/>
          <w:lang w:eastAsia="ko-KR" w:bidi="th-TH"/>
        </w:rPr>
        <w:t>18 yr, group 3) and 20 adult patients (age &gt;18 years, group 4) will be treated with 25</w:t>
      </w:r>
      <w:r w:rsidRPr="003127BA">
        <w:rPr>
          <w:rFonts w:ascii="Times New Roman" w:hAnsi="Times New Roman"/>
          <w:bCs/>
          <w:lang w:bidi="th-TH"/>
        </w:rPr>
        <w:t xml:space="preserve"> mg/m</w:t>
      </w:r>
      <w:r w:rsidRPr="003127BA">
        <w:rPr>
          <w:rFonts w:ascii="Times New Roman" w:hAnsi="Times New Roman"/>
          <w:bCs/>
          <w:vertAlign w:val="superscript"/>
          <w:lang w:bidi="th-TH"/>
        </w:rPr>
        <w:t>2</w:t>
      </w:r>
      <w:r w:rsidRPr="003127BA">
        <w:rPr>
          <w:rFonts w:ascii="Times New Roman" w:hAnsi="Times New Roman"/>
          <w:bCs/>
          <w:lang w:bidi="th-TH"/>
        </w:rPr>
        <w:t xml:space="preserve">/dose q 12 hrs. If we see </w:t>
      </w:r>
      <w:r w:rsidRPr="003127BA">
        <w:rPr>
          <w:rFonts w:ascii="Times New Roman" w:hAnsi="Times New Roman"/>
          <w:bCs/>
          <w:lang w:eastAsia="ko-KR" w:bidi="th-TH"/>
        </w:rPr>
        <w:t xml:space="preserve">a serious adverse reaction in </w:t>
      </w:r>
      <m:oMath>
        <m:r>
          <w:rPr>
            <w:rFonts w:ascii="Cambria Math" w:hAnsi="Cambria Math"/>
            <w:lang w:eastAsia="ko-KR" w:bidi="th-TH"/>
          </w:rPr>
          <m:t>≥</m:t>
        </m:r>
      </m:oMath>
      <w:r w:rsidRPr="003127BA">
        <w:rPr>
          <w:rFonts w:ascii="Times New Roman" w:hAnsi="Times New Roman"/>
          <w:bCs/>
          <w:lang w:eastAsia="ko-KR" w:bidi="th-TH"/>
        </w:rPr>
        <w:t xml:space="preserve"> 4 out of 10 patients in group 3 and 4, the dose will be reduced from 25 to 20</w:t>
      </w:r>
      <w:r w:rsidRPr="003127BA">
        <w:rPr>
          <w:rFonts w:ascii="Times New Roman" w:hAnsi="Times New Roman"/>
          <w:bCs/>
          <w:lang w:bidi="th-TH"/>
        </w:rPr>
        <w:t xml:space="preserve"> mg/m</w:t>
      </w:r>
      <w:r w:rsidRPr="003127BA">
        <w:rPr>
          <w:rFonts w:ascii="Times New Roman" w:hAnsi="Times New Roman"/>
          <w:bCs/>
          <w:vertAlign w:val="superscript"/>
          <w:lang w:bidi="th-TH"/>
        </w:rPr>
        <w:t>2</w:t>
      </w:r>
      <w:r w:rsidRPr="003127BA">
        <w:rPr>
          <w:rFonts w:ascii="Times New Roman" w:hAnsi="Times New Roman"/>
          <w:bCs/>
          <w:lang w:bidi="th-TH"/>
        </w:rPr>
        <w:t>/dose q 12 hrs in group 3 and 4.</w:t>
      </w:r>
    </w:p>
    <w:p w14:paraId="5B8D8AEA" w14:textId="77777777" w:rsidR="002A65E8" w:rsidRPr="003127BA" w:rsidRDefault="002A65E8" w:rsidP="004C6909">
      <w:pPr>
        <w:wordWrap w:val="0"/>
        <w:spacing w:after="0" w:line="360" w:lineRule="auto"/>
        <w:jc w:val="both"/>
        <w:rPr>
          <w:rFonts w:ascii="Times New Roman" w:eastAsia="Apple SD Gothic Neo" w:hAnsi="Times New Roman"/>
          <w:color w:val="111111"/>
          <w:kern w:val="0"/>
          <w:lang w:val="en-US" w:eastAsia="ko-KR"/>
        </w:rPr>
      </w:pPr>
      <w:r w:rsidRPr="003127BA">
        <w:rPr>
          <w:rFonts w:ascii="Times New Roman" w:eastAsia="Apple SD Gothic Neo" w:hAnsi="Times New Roman"/>
          <w:color w:val="111111"/>
          <w:kern w:val="0"/>
          <w:lang w:val="en-US" w:eastAsia="ko-KR"/>
        </w:rPr>
        <w:t>More recently, AstraZeneca has conducted a population pharmacokinetic analysis, which indicated that race has minor impact on selumetinib Clearance. This analysis shows that the clinical impact for a typical Asian individual (29-years-old, Body surface area (BSA) of 1.8 m</w:t>
      </w:r>
      <w:r w:rsidRPr="003127BA">
        <w:rPr>
          <w:rFonts w:ascii="Times New Roman" w:eastAsia="Apple SD Gothic Neo" w:hAnsi="Times New Roman"/>
          <w:color w:val="111111"/>
          <w:kern w:val="0"/>
          <w:vertAlign w:val="superscript"/>
          <w:lang w:val="en-US" w:eastAsia="ko-KR"/>
        </w:rPr>
        <w:t>2</w:t>
      </w:r>
      <w:r w:rsidRPr="003127BA">
        <w:rPr>
          <w:rFonts w:ascii="Times New Roman" w:eastAsia="Apple SD Gothic Neo" w:hAnsi="Times New Roman"/>
          <w:color w:val="111111"/>
          <w:kern w:val="0"/>
          <w:lang w:val="en-US" w:eastAsia="ko-KR"/>
        </w:rPr>
        <w:t>) as well as for 10 years old with BSA of 1m</w:t>
      </w:r>
      <w:r w:rsidRPr="003127BA">
        <w:rPr>
          <w:rFonts w:ascii="Times New Roman" w:eastAsia="Apple SD Gothic Neo" w:hAnsi="Times New Roman"/>
          <w:color w:val="111111"/>
          <w:kern w:val="0"/>
          <w:vertAlign w:val="superscript"/>
          <w:lang w:val="en-US" w:eastAsia="ko-KR"/>
        </w:rPr>
        <w:t>2</w:t>
      </w:r>
      <w:r w:rsidRPr="003127BA">
        <w:rPr>
          <w:rFonts w:ascii="Times New Roman" w:eastAsia="Apple SD Gothic Neo" w:hAnsi="Times New Roman"/>
          <w:color w:val="111111"/>
          <w:kern w:val="0"/>
          <w:lang w:val="en-US" w:eastAsia="ko-KR"/>
        </w:rPr>
        <w:t xml:space="preserve"> was less than 20% for clearance. More than the race or ethnicity, BSA was highly correlated and had significant impact on selumetinib exposure. BSA changes might have more than 20% impact on exposure, suggesting BSA based dosing might be appropriate across age range. Therefore, another 20 adult patients (group 4)</w:t>
      </w:r>
      <w:r w:rsidRPr="003127BA">
        <w:rPr>
          <w:rFonts w:ascii="Times New Roman" w:hAnsi="Times New Roman"/>
          <w:bCs/>
          <w:lang w:eastAsia="ko-KR" w:bidi="th-TH"/>
        </w:rPr>
        <w:t xml:space="preserve"> will be treated with 25</w:t>
      </w:r>
      <w:r w:rsidRPr="003127BA">
        <w:rPr>
          <w:rFonts w:ascii="Times New Roman" w:hAnsi="Times New Roman"/>
          <w:bCs/>
          <w:lang w:bidi="th-TH"/>
        </w:rPr>
        <w:t xml:space="preserve"> mg/m</w:t>
      </w:r>
      <w:r w:rsidRPr="003127BA">
        <w:rPr>
          <w:rFonts w:ascii="Times New Roman" w:hAnsi="Times New Roman"/>
          <w:bCs/>
          <w:vertAlign w:val="superscript"/>
          <w:lang w:bidi="th-TH"/>
        </w:rPr>
        <w:t>2</w:t>
      </w:r>
      <w:r w:rsidRPr="003127BA">
        <w:rPr>
          <w:rFonts w:ascii="Times New Roman" w:hAnsi="Times New Roman"/>
          <w:bCs/>
          <w:lang w:bidi="th-TH"/>
        </w:rPr>
        <w:t xml:space="preserve">/dose q 12 hrs. If we see </w:t>
      </w:r>
      <w:r w:rsidRPr="003127BA">
        <w:rPr>
          <w:rFonts w:ascii="Times New Roman" w:hAnsi="Times New Roman"/>
          <w:bCs/>
          <w:lang w:eastAsia="ko-KR" w:bidi="th-TH"/>
        </w:rPr>
        <w:t xml:space="preserve">a serious adverse reaction in </w:t>
      </w:r>
      <m:oMath>
        <m:r>
          <w:rPr>
            <w:rFonts w:ascii="Cambria Math" w:hAnsi="Cambria Math"/>
            <w:lang w:eastAsia="ko-KR" w:bidi="th-TH"/>
          </w:rPr>
          <m:t>≥</m:t>
        </m:r>
      </m:oMath>
      <w:r w:rsidRPr="003127BA">
        <w:rPr>
          <w:rFonts w:ascii="Times New Roman" w:hAnsi="Times New Roman"/>
          <w:bCs/>
          <w:lang w:eastAsia="ko-KR" w:bidi="th-TH"/>
        </w:rPr>
        <w:t xml:space="preserve"> 4 out of 10 patients in group 4 the dose will be reduced from 25 to 20</w:t>
      </w:r>
      <w:r w:rsidRPr="003127BA">
        <w:rPr>
          <w:rFonts w:ascii="Times New Roman" w:hAnsi="Times New Roman"/>
          <w:bCs/>
          <w:lang w:bidi="th-TH"/>
        </w:rPr>
        <w:t xml:space="preserve"> mg/m</w:t>
      </w:r>
      <w:r w:rsidRPr="003127BA">
        <w:rPr>
          <w:rFonts w:ascii="Times New Roman" w:hAnsi="Times New Roman"/>
          <w:bCs/>
          <w:vertAlign w:val="superscript"/>
          <w:lang w:bidi="th-TH"/>
        </w:rPr>
        <w:t>2</w:t>
      </w:r>
      <w:r w:rsidRPr="003127BA">
        <w:rPr>
          <w:rFonts w:ascii="Times New Roman" w:hAnsi="Times New Roman"/>
          <w:bCs/>
          <w:lang w:bidi="th-TH"/>
        </w:rPr>
        <w:t>/dose q 12 hrs in group 4</w:t>
      </w:r>
    </w:p>
    <w:p w14:paraId="60170F05" w14:textId="77777777" w:rsidR="002A65E8" w:rsidRPr="003127BA" w:rsidRDefault="002A65E8" w:rsidP="004C6909">
      <w:pPr>
        <w:wordWrap w:val="0"/>
        <w:spacing w:after="0" w:line="360" w:lineRule="auto"/>
        <w:jc w:val="both"/>
        <w:rPr>
          <w:rFonts w:ascii="Times New Roman" w:eastAsia="Apple SD Gothic Neo" w:hAnsi="Times New Roman"/>
          <w:color w:val="111111"/>
          <w:kern w:val="0"/>
          <w:lang w:val="en-US" w:eastAsia="ko-KR"/>
        </w:rPr>
      </w:pPr>
      <w:r w:rsidRPr="003127BA">
        <w:rPr>
          <w:rFonts w:ascii="Times New Roman" w:eastAsia="Apple SD Gothic Neo" w:hAnsi="Times New Roman"/>
          <w:color w:val="111111"/>
          <w:kern w:val="0"/>
          <w:lang w:val="en-US" w:eastAsia="ko-KR"/>
        </w:rPr>
        <w:t> </w:t>
      </w:r>
    </w:p>
    <w:p w14:paraId="6FA80EC0" w14:textId="77777777" w:rsidR="002A65E8" w:rsidRPr="003127BA" w:rsidRDefault="002A65E8" w:rsidP="004C6909">
      <w:pPr>
        <w:spacing w:line="360" w:lineRule="auto"/>
        <w:rPr>
          <w:rFonts w:ascii="Times New Roman" w:hAnsi="Times New Roman"/>
          <w:bCs/>
          <w:lang w:bidi="th-TH"/>
        </w:rPr>
      </w:pPr>
    </w:p>
    <w:p w14:paraId="1D4AD716" w14:textId="77777777" w:rsidR="002A65E8" w:rsidRPr="003127BA" w:rsidRDefault="002A65E8" w:rsidP="004C6909">
      <w:pPr>
        <w:spacing w:line="360" w:lineRule="auto"/>
        <w:rPr>
          <w:rFonts w:ascii="Times New Roman" w:hAnsi="Times New Roman"/>
        </w:rPr>
      </w:pPr>
    </w:p>
    <w:p w14:paraId="5B2A19DE" w14:textId="06F9C0F8" w:rsidR="002A65E8" w:rsidRPr="004C6909" w:rsidRDefault="002A65E8" w:rsidP="004C6909">
      <w:pPr>
        <w:pStyle w:val="2"/>
        <w:numPr>
          <w:ilvl w:val="0"/>
          <w:numId w:val="4"/>
        </w:numPr>
        <w:spacing w:line="360" w:lineRule="auto"/>
        <w:rPr>
          <w:rFonts w:ascii="Times New Roman" w:hAnsi="Times New Roman"/>
          <w:b/>
          <w:bCs/>
        </w:rPr>
      </w:pPr>
      <w:bookmarkStart w:id="5" w:name="_Toc217313935"/>
      <w:r w:rsidRPr="004C6909">
        <w:rPr>
          <w:rFonts w:ascii="Times New Roman" w:hAnsi="Times New Roman"/>
          <w:b/>
          <w:bCs/>
        </w:rPr>
        <w:t>Outcome measures and methods of statistical analysis</w:t>
      </w:r>
      <w:bookmarkEnd w:id="5"/>
    </w:p>
    <w:p w14:paraId="792F404C" w14:textId="77777777" w:rsidR="002A65E8" w:rsidRPr="003127BA" w:rsidRDefault="002A65E8" w:rsidP="004C6909">
      <w:pPr>
        <w:pStyle w:val="3"/>
        <w:numPr>
          <w:ilvl w:val="2"/>
          <w:numId w:val="0"/>
        </w:numPr>
        <w:tabs>
          <w:tab w:val="num" w:pos="360"/>
        </w:tabs>
        <w:spacing w:line="360" w:lineRule="auto"/>
        <w:rPr>
          <w:rFonts w:ascii="Times New Roman" w:hAnsi="Times New Roman"/>
        </w:rPr>
      </w:pPr>
      <w:bookmarkStart w:id="6" w:name="_Toc217313936"/>
      <w:r w:rsidRPr="003127BA">
        <w:rPr>
          <w:rFonts w:ascii="Times New Roman" w:hAnsi="Times New Roman"/>
        </w:rPr>
        <w:t>Safety analysis</w:t>
      </w:r>
      <w:bookmarkEnd w:id="6"/>
    </w:p>
    <w:p w14:paraId="24C29DF8" w14:textId="77777777" w:rsidR="002A65E8" w:rsidRPr="003127BA" w:rsidRDefault="002A65E8" w:rsidP="004C6909">
      <w:pPr>
        <w:pStyle w:val="a6"/>
        <w:widowControl w:val="0"/>
        <w:numPr>
          <w:ilvl w:val="0"/>
          <w:numId w:val="3"/>
        </w:numPr>
        <w:autoSpaceDE w:val="0"/>
        <w:autoSpaceDN w:val="0"/>
        <w:adjustRightInd w:val="0"/>
        <w:spacing w:after="0" w:line="360" w:lineRule="auto"/>
        <w:rPr>
          <w:rFonts w:ascii="Times New Roman" w:hAnsi="Times New Roman"/>
        </w:rPr>
      </w:pPr>
      <w:r w:rsidRPr="003127BA">
        <w:rPr>
          <w:rFonts w:ascii="Times New Roman" w:hAnsi="Times New Roman"/>
        </w:rPr>
        <w:t xml:space="preserve"> </w:t>
      </w:r>
      <w:r w:rsidRPr="003127BA">
        <w:rPr>
          <w:rFonts w:ascii="Times New Roman" w:hAnsi="Times New Roman"/>
          <w:kern w:val="0"/>
          <w:lang w:val="en-US" w:eastAsia="ko-KR"/>
        </w:rPr>
        <w:t>CTCAE term (AE description) and grade: The descriptions and grading scales found in the NCI Common Terminology Criteria for Adverse Events (CTCAE) version 5.0 will be utilized for AE reporting. All appropriate treatment areas should have access to a copy of the CTCAE version 4.0. A copy of the CTCAE version 5.0 can be downloaded from the CTEP web site. http://ctep.cancer.gov/protocolDevelopment/electronic_applications/ctc.htm.</w:t>
      </w:r>
    </w:p>
    <w:p w14:paraId="5932FE65" w14:textId="77777777" w:rsidR="002A65E8" w:rsidRPr="003127BA" w:rsidRDefault="002A65E8" w:rsidP="004C6909">
      <w:pPr>
        <w:pStyle w:val="a6"/>
        <w:widowControl w:val="0"/>
        <w:numPr>
          <w:ilvl w:val="0"/>
          <w:numId w:val="3"/>
        </w:numPr>
        <w:autoSpaceDE w:val="0"/>
        <w:autoSpaceDN w:val="0"/>
        <w:adjustRightInd w:val="0"/>
        <w:spacing w:line="360" w:lineRule="auto"/>
        <w:rPr>
          <w:rFonts w:ascii="Times New Roman" w:hAnsi="Times New Roman"/>
        </w:rPr>
      </w:pPr>
      <w:r w:rsidRPr="003127BA">
        <w:rPr>
          <w:rFonts w:ascii="Times New Roman" w:eastAsiaTheme="majorHAnsi" w:hAnsi="Times New Roman"/>
          <w:lang w:eastAsia="ko-KR"/>
        </w:rPr>
        <w:t>PK parameters (</w:t>
      </w:r>
      <w:r w:rsidRPr="003127BA">
        <w:rPr>
          <w:rFonts w:ascii="Times New Roman" w:eastAsiaTheme="majorHAnsi" w:hAnsi="Times New Roman"/>
        </w:rPr>
        <w:t>CL/F and V/F</w:t>
      </w:r>
      <w:r w:rsidRPr="003127BA">
        <w:rPr>
          <w:rFonts w:ascii="Times New Roman" w:eastAsiaTheme="majorHAnsi" w:hAnsi="Times New Roman"/>
          <w:lang w:eastAsia="ko-KR"/>
        </w:rPr>
        <w:t>) and exposure parameters (</w:t>
      </w:r>
      <w:r w:rsidRPr="003127BA">
        <w:rPr>
          <w:rFonts w:ascii="Times New Roman" w:eastAsiaTheme="majorHAnsi" w:hAnsi="Times New Roman"/>
        </w:rPr>
        <w:t>C</w:t>
      </w:r>
      <w:r w:rsidRPr="003127BA">
        <w:rPr>
          <w:rFonts w:ascii="Times New Roman" w:eastAsiaTheme="majorHAnsi" w:hAnsi="Times New Roman"/>
          <w:vertAlign w:val="subscript"/>
        </w:rPr>
        <w:t>max</w:t>
      </w:r>
      <w:r w:rsidRPr="003127BA">
        <w:rPr>
          <w:rFonts w:ascii="Times New Roman" w:eastAsiaTheme="majorHAnsi" w:hAnsi="Times New Roman"/>
        </w:rPr>
        <w:t xml:space="preserve"> and AUC</w:t>
      </w:r>
      <w:r w:rsidRPr="003127BA">
        <w:rPr>
          <w:rFonts w:ascii="Times New Roman" w:eastAsiaTheme="majorHAnsi" w:hAnsi="Times New Roman"/>
          <w:lang w:eastAsia="ko-KR"/>
        </w:rPr>
        <w:t>) will be described. The correlation with any adverse events and PK parameters will be assessed.</w:t>
      </w:r>
    </w:p>
    <w:p w14:paraId="14565797" w14:textId="77777777" w:rsidR="002A65E8" w:rsidRPr="003127BA" w:rsidRDefault="002A65E8" w:rsidP="004C6909">
      <w:pPr>
        <w:pStyle w:val="a6"/>
        <w:spacing w:line="360" w:lineRule="auto"/>
        <w:ind w:left="960"/>
        <w:rPr>
          <w:rFonts w:ascii="Times New Roman" w:hAnsi="Times New Roman"/>
          <w:color w:val="FF0000"/>
          <w:kern w:val="0"/>
          <w:shd w:val="pct15" w:color="auto" w:fill="FFFFFF"/>
          <w:lang w:val="en-US" w:eastAsia="ko-KR"/>
        </w:rPr>
      </w:pPr>
    </w:p>
    <w:p w14:paraId="4F6AE8BD" w14:textId="77777777" w:rsidR="002A65E8" w:rsidRPr="003127BA" w:rsidRDefault="002A65E8" w:rsidP="004C6909">
      <w:pPr>
        <w:pStyle w:val="3"/>
        <w:numPr>
          <w:ilvl w:val="2"/>
          <w:numId w:val="0"/>
        </w:numPr>
        <w:tabs>
          <w:tab w:val="num" w:pos="360"/>
        </w:tabs>
        <w:spacing w:line="360" w:lineRule="auto"/>
        <w:rPr>
          <w:rFonts w:ascii="Times New Roman" w:hAnsi="Times New Roman"/>
        </w:rPr>
      </w:pPr>
      <w:bookmarkStart w:id="7" w:name="_Toc217313937"/>
      <w:r w:rsidRPr="003127BA">
        <w:rPr>
          <w:rFonts w:ascii="Times New Roman" w:hAnsi="Times New Roman"/>
        </w:rPr>
        <w:lastRenderedPageBreak/>
        <w:t>Efficacy analysis</w:t>
      </w:r>
      <w:bookmarkEnd w:id="7"/>
      <w:r w:rsidRPr="003127BA">
        <w:rPr>
          <w:rFonts w:ascii="Times New Roman" w:hAnsi="Times New Roman"/>
        </w:rPr>
        <w:t xml:space="preserve"> </w:t>
      </w:r>
    </w:p>
    <w:p w14:paraId="536F6CEE" w14:textId="77777777" w:rsidR="002A65E8" w:rsidRPr="003127BA" w:rsidRDefault="002A65E8" w:rsidP="004C6909">
      <w:pPr>
        <w:pStyle w:val="a6"/>
        <w:numPr>
          <w:ilvl w:val="0"/>
          <w:numId w:val="2"/>
        </w:numPr>
        <w:spacing w:after="200" w:line="360" w:lineRule="auto"/>
        <w:jc w:val="both"/>
        <w:rPr>
          <w:rFonts w:ascii="Times New Roman" w:eastAsiaTheme="minorHAnsi" w:hAnsi="Times New Roman"/>
          <w:szCs w:val="18"/>
          <w:lang w:val="en-US" w:eastAsia="ko-KR"/>
        </w:rPr>
      </w:pPr>
      <w:r w:rsidRPr="003127BA">
        <w:rPr>
          <w:rFonts w:ascii="Times New Roman" w:hAnsi="Times New Roman"/>
        </w:rPr>
        <w:t xml:space="preserve">PN volume will be measured by 3D MRI volumetric analysis. The range and mean value of decreased volume with standard deviation will be presented in group 1, 2 and 3. </w:t>
      </w:r>
      <w:r w:rsidRPr="003127BA">
        <w:rPr>
          <w:rFonts w:ascii="Times New Roman" w:eastAsiaTheme="minorHAnsi" w:hAnsi="Times New Roman"/>
          <w:szCs w:val="18"/>
          <w:lang w:val="en-US" w:eastAsia="ko-KR"/>
        </w:rPr>
        <w:t xml:space="preserve">Objective response rate (defined as PN decrease ≥20% compared to baseline) will be presented in group 1, 2 and 3 as the number of patients with response over the total number of patients in each group.   </w:t>
      </w:r>
    </w:p>
    <w:p w14:paraId="74B2D13B" w14:textId="77777777" w:rsidR="002A65E8" w:rsidRPr="003127BA" w:rsidRDefault="002A65E8" w:rsidP="004C6909">
      <w:pPr>
        <w:pStyle w:val="a6"/>
        <w:numPr>
          <w:ilvl w:val="0"/>
          <w:numId w:val="2"/>
        </w:numPr>
        <w:spacing w:after="200" w:line="360" w:lineRule="auto"/>
        <w:jc w:val="both"/>
        <w:rPr>
          <w:rFonts w:ascii="Times New Roman" w:hAnsi="Times New Roman"/>
        </w:rPr>
      </w:pPr>
      <w:r w:rsidRPr="003127BA">
        <w:rPr>
          <w:rFonts w:ascii="Times New Roman" w:hAnsi="Times New Roman"/>
          <w:lang w:val="en-US" w:eastAsia="ko-KR"/>
        </w:rPr>
        <w:t>For resting state fMRI will be done. Functional connectivity (FC) changes from baseline will be measured.</w:t>
      </w:r>
      <w:r w:rsidRPr="003127BA">
        <w:rPr>
          <w:rFonts w:ascii="Times New Roman" w:hAnsi="Times New Roman"/>
        </w:rPr>
        <w:t xml:space="preserve"> The correlation coefficients will be calculated between the selected regions which indicate the strength of FC among the two regions, producing a matrix for each subject. The regions associated with visuospatial network and default mode network will be selected. </w:t>
      </w:r>
    </w:p>
    <w:p w14:paraId="0B11BE6C" w14:textId="77777777" w:rsidR="002A65E8" w:rsidRPr="003127BA" w:rsidRDefault="002A65E8" w:rsidP="004C6909">
      <w:pPr>
        <w:pStyle w:val="a6"/>
        <w:numPr>
          <w:ilvl w:val="0"/>
          <w:numId w:val="2"/>
        </w:numPr>
        <w:spacing w:after="200" w:line="360" w:lineRule="auto"/>
        <w:rPr>
          <w:rFonts w:ascii="Times New Roman" w:hAnsi="Times New Roman"/>
          <w:lang w:val="en-US" w:eastAsia="ko-KR"/>
        </w:rPr>
      </w:pPr>
      <w:r w:rsidRPr="003127BA">
        <w:rPr>
          <w:rFonts w:ascii="Times New Roman" w:hAnsi="Times New Roman"/>
          <w:lang w:val="en-US" w:eastAsia="ko-KR"/>
        </w:rPr>
        <w:t>Neuropsychiatric test: Korean Wechsler Preschool and Primary Scale of Intelligence (K-WPPSI) will be done for patients &lt; age 6 years, Korean Wechsler intelligence scale for children-fourth edition (K-WISC-IV) will be done for patients with age 6-15 years and  Korean Wechsler adult intelligence scale-fourth edition (K-WAIS-IV) will be done for patients ≥ age 16 years. Verbal comprehension index (VCI), perceptual reasoning index (PCI), working memory index (WMI), processing speed index (PSI) an full scale IQ (FSIQ) will be measured. Advanced test of attention (ATA) will be done for patients with age 5-18 years. Seoul Computerized Neurocognitive Function Test (SCNT) will be done for patients’ ≥ age 19 years. The changes of score in each item will be summarized from baseline across the study period.</w:t>
      </w:r>
    </w:p>
    <w:p w14:paraId="42C2DD9F" w14:textId="77777777" w:rsidR="002A65E8" w:rsidRPr="003127BA" w:rsidRDefault="002A65E8" w:rsidP="004C6909">
      <w:pPr>
        <w:pStyle w:val="a6"/>
        <w:numPr>
          <w:ilvl w:val="0"/>
          <w:numId w:val="2"/>
        </w:numPr>
        <w:spacing w:after="200" w:line="360" w:lineRule="auto"/>
        <w:jc w:val="both"/>
        <w:rPr>
          <w:rFonts w:ascii="Times New Roman" w:eastAsiaTheme="minorHAnsi" w:hAnsi="Times New Roman"/>
          <w:lang w:val="en-US" w:eastAsia="ko-KR"/>
        </w:rPr>
      </w:pPr>
      <w:r w:rsidRPr="003127BA">
        <w:rPr>
          <w:rFonts w:ascii="Times New Roman" w:eastAsia="TimesNewRoman" w:hAnsi="Times New Roman"/>
          <w:kern w:val="0"/>
          <w:lang w:val="en-US" w:eastAsia="ko-KR"/>
        </w:rPr>
        <w:t xml:space="preserve">Quality of Life and pain will be assessed with patient-reported outcomes (PROs). Changes in each subscale of PROs after treatment will be assessed. </w:t>
      </w:r>
      <w:r w:rsidRPr="003127BA">
        <w:rPr>
          <w:rFonts w:ascii="Times New Roman" w:eastAsiaTheme="minorHAnsi" w:hAnsi="Times New Roman"/>
          <w:lang w:val="en-US" w:eastAsia="ko-KR"/>
        </w:rPr>
        <w:t xml:space="preserve"> PedsQL 4.0 Generic Core Scales are multidimensional child self-report and parent proxy-report scales to assess health-related quality of life (QOL) in children, adolescents, and young adults aged 2 – 25 years. INF1-QOL for patients &gt;18 years old. Korean Neuropathic Pain Questionnaire (KNPQ) for adults &gt;18 years of age and Numeric Pain Rating Scale (NPS)/Wong-Baker Faces Pain Rating Scale (WBS) for patients with </w:t>
      </w:r>
      <m:oMath>
        <m:r>
          <w:rPr>
            <w:rFonts w:ascii="Cambria Math" w:eastAsiaTheme="majorHAnsi" w:hAnsi="Cambria Math"/>
            <w:color w:val="131413"/>
            <w:lang w:val="en-US" w:eastAsia="ko-KR"/>
          </w:rPr>
          <m:t>≤</m:t>
        </m:r>
      </m:oMath>
      <w:r w:rsidRPr="003127BA">
        <w:rPr>
          <w:rFonts w:ascii="Times New Roman" w:hAnsi="Times New Roman"/>
        </w:rPr>
        <w:t>18 years of age will used for pain assessment.</w:t>
      </w:r>
      <w:r w:rsidRPr="003127BA">
        <w:rPr>
          <w:rFonts w:ascii="Times New Roman" w:eastAsiaTheme="minorHAnsi" w:hAnsi="Times New Roman"/>
          <w:lang w:val="en-US" w:eastAsia="ko-KR"/>
        </w:rPr>
        <w:t xml:space="preserve"> </w:t>
      </w:r>
    </w:p>
    <w:p w14:paraId="48BCF2EE" w14:textId="77777777" w:rsidR="002A65E8" w:rsidRPr="003127BA" w:rsidRDefault="002A65E8" w:rsidP="004C6909">
      <w:pPr>
        <w:pStyle w:val="a6"/>
        <w:numPr>
          <w:ilvl w:val="0"/>
          <w:numId w:val="2"/>
        </w:numPr>
        <w:spacing w:after="200" w:line="360" w:lineRule="auto"/>
        <w:jc w:val="both"/>
        <w:rPr>
          <w:rFonts w:ascii="Times New Roman" w:hAnsi="Times New Roman"/>
        </w:rPr>
      </w:pPr>
      <w:r w:rsidRPr="003127BA">
        <w:rPr>
          <w:rFonts w:ascii="Times New Roman" w:hAnsi="Times New Roman"/>
          <w:lang w:val="en-US"/>
        </w:rPr>
        <w:t xml:space="preserve">Kinome analysis and gene expression profiles will be compared before treatment and after treatment and compared between patients with good response (over 20% </w:t>
      </w:r>
      <w:r w:rsidRPr="003127BA">
        <w:rPr>
          <w:rFonts w:ascii="Times New Roman" w:hAnsi="Times New Roman"/>
          <w:lang w:val="en-US"/>
        </w:rPr>
        <w:lastRenderedPageBreak/>
        <w:t>volume decrease of PN) and patients with poor response (less than 20% volume decrease of PN).</w:t>
      </w:r>
    </w:p>
    <w:p w14:paraId="13C069F5" w14:textId="77777777" w:rsidR="002A65E8" w:rsidRPr="003127BA" w:rsidRDefault="002A65E8" w:rsidP="004C6909">
      <w:pPr>
        <w:pStyle w:val="a6"/>
        <w:numPr>
          <w:ilvl w:val="0"/>
          <w:numId w:val="2"/>
        </w:numPr>
        <w:spacing w:after="200" w:line="360" w:lineRule="auto"/>
        <w:jc w:val="both"/>
        <w:rPr>
          <w:rFonts w:ascii="Times New Roman" w:hAnsi="Times New Roman"/>
        </w:rPr>
      </w:pPr>
      <w:r w:rsidRPr="003127BA">
        <w:rPr>
          <w:rFonts w:ascii="Times New Roman" w:hAnsi="Times New Roman"/>
        </w:rPr>
        <w:t xml:space="preserve">The types of mutations and their locations along the functional domain of the </w:t>
      </w:r>
      <w:r w:rsidRPr="003127BA">
        <w:rPr>
          <w:rFonts w:ascii="Times New Roman" w:hAnsi="Times New Roman"/>
          <w:i/>
        </w:rPr>
        <w:t>NF1</w:t>
      </w:r>
      <w:r w:rsidRPr="003127BA">
        <w:rPr>
          <w:rFonts w:ascii="Times New Roman" w:hAnsi="Times New Roman"/>
        </w:rPr>
        <w:t xml:space="preserve"> gene will be analysed with the response (good or poor) of PN in the patients (chi-square test). </w:t>
      </w:r>
    </w:p>
    <w:p w14:paraId="57AD9925" w14:textId="77777777" w:rsidR="002A65E8" w:rsidRPr="003127BA" w:rsidRDefault="002A65E8" w:rsidP="004C6909">
      <w:pPr>
        <w:pStyle w:val="a6"/>
        <w:numPr>
          <w:ilvl w:val="0"/>
          <w:numId w:val="2"/>
        </w:numPr>
        <w:spacing w:after="200" w:line="360" w:lineRule="auto"/>
        <w:jc w:val="both"/>
        <w:rPr>
          <w:rFonts w:ascii="Times New Roman" w:hAnsi="Times New Roman"/>
        </w:rPr>
      </w:pPr>
      <w:r w:rsidRPr="003127BA">
        <w:rPr>
          <w:rFonts w:ascii="Times New Roman" w:hAnsi="Times New Roman"/>
        </w:rPr>
        <w:t>The percent of patients in whom the surgical excision was done after the administration of selumetinib will be calculated as the number of patients who received the surgical resection/total number of pat</w:t>
      </w:r>
      <w:r w:rsidRPr="003127BA">
        <w:rPr>
          <w:rFonts w:ascii="Times New Roman" w:hAnsi="Times New Roman"/>
          <w:lang w:val="en-US" w:eastAsia="ko-KR"/>
        </w:rPr>
        <w:t>ie</w:t>
      </w:r>
      <w:r w:rsidRPr="003127BA">
        <w:rPr>
          <w:rFonts w:ascii="Times New Roman" w:hAnsi="Times New Roman"/>
        </w:rPr>
        <w:t>nts (%).</w:t>
      </w:r>
    </w:p>
    <w:p w14:paraId="6B2C192B" w14:textId="59326B84" w:rsidR="00114E75" w:rsidRPr="002A65E8" w:rsidRDefault="002A65E8" w:rsidP="004C6909">
      <w:pPr>
        <w:pStyle w:val="a6"/>
        <w:numPr>
          <w:ilvl w:val="0"/>
          <w:numId w:val="2"/>
        </w:numPr>
        <w:spacing w:after="200" w:line="360" w:lineRule="auto"/>
        <w:jc w:val="both"/>
      </w:pPr>
      <w:r w:rsidRPr="002A65E8">
        <w:rPr>
          <w:rFonts w:ascii="Times New Roman" w:hAnsi="Times New Roman"/>
        </w:rPr>
        <w:t xml:space="preserve">With information obtained from patient diaries, adherence will be calculated as follows: [(scheduled doses – missed doses) / scheduled doses X 100. For pill counts, the number of pills returned to clinic will be subtracted from the number of pills dispensed at the previous visit. That number will be divided by the number of pills the patient should have taken according to their prescribed dosing schedule, and then multiplied by 100 to obtain the adherence percentage. </w:t>
      </w:r>
    </w:p>
    <w:sectPr w:rsidR="00114E75" w:rsidRPr="002A65E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pple SD Gothic Neo">
    <w:altName w:val="맑은 고딕"/>
    <w:charset w:val="81"/>
    <w:family w:val="auto"/>
    <w:pitch w:val="variable"/>
    <w:sig w:usb0="00000203" w:usb1="29D72C10" w:usb2="00000010" w:usb3="00000000" w:csb0="00280005" w:csb1="00000000"/>
  </w:font>
  <w:font w:name="TimesNewRoman">
    <w:altName w:val="Times New Roman"/>
    <w:panose1 w:val="00000000000000000000"/>
    <w:charset w:val="00"/>
    <w:family w:val="roman"/>
    <w:notTrueType/>
    <w:pitch w:val="default"/>
    <w:sig w:usb0="00000001" w:usb1="09070000" w:usb2="00000010" w:usb3="00000000" w:csb0="000A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8628F"/>
    <w:multiLevelType w:val="hybridMultilevel"/>
    <w:tmpl w:val="CA64E78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37F616FF"/>
    <w:multiLevelType w:val="hybridMultilevel"/>
    <w:tmpl w:val="AE9635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2B06813"/>
    <w:multiLevelType w:val="hybridMultilevel"/>
    <w:tmpl w:val="A2C861F0"/>
    <w:lvl w:ilvl="0" w:tplc="6144C3E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64EC7117"/>
    <w:multiLevelType w:val="hybridMultilevel"/>
    <w:tmpl w:val="1FF440DC"/>
    <w:lvl w:ilvl="0" w:tplc="836C47DC">
      <w:start w:val="1"/>
      <w:numFmt w:val="bullet"/>
      <w:pStyle w:val="A-ListBullet"/>
      <w:lvlText w:val=""/>
      <w:lvlJc w:val="left"/>
      <w:pPr>
        <w:tabs>
          <w:tab w:val="num" w:pos="1992"/>
        </w:tabs>
        <w:ind w:left="1992" w:hanging="998"/>
      </w:pPr>
      <w:rPr>
        <w:rFonts w:ascii="Symbol" w:hAnsi="Symbol" w:hint="default"/>
      </w:rPr>
    </w:lvl>
    <w:lvl w:ilvl="1" w:tplc="04090019">
      <w:start w:val="1"/>
      <w:numFmt w:val="bullet"/>
      <w:lvlText w:val=""/>
      <w:lvlJc w:val="left"/>
      <w:pPr>
        <w:tabs>
          <w:tab w:val="num" w:pos="2434"/>
        </w:tabs>
        <w:ind w:left="2434" w:hanging="360"/>
      </w:pPr>
      <w:rPr>
        <w:rFonts w:ascii="Symbol" w:hAnsi="Symbol" w:hint="default"/>
      </w:rPr>
    </w:lvl>
    <w:lvl w:ilvl="2" w:tplc="0409001B">
      <w:start w:val="1"/>
      <w:numFmt w:val="bullet"/>
      <w:lvlText w:val=""/>
      <w:lvlJc w:val="left"/>
      <w:pPr>
        <w:tabs>
          <w:tab w:val="num" w:pos="3154"/>
        </w:tabs>
        <w:ind w:left="3154" w:hanging="360"/>
      </w:pPr>
      <w:rPr>
        <w:rFonts w:ascii="Wingdings" w:hAnsi="Wingdings" w:hint="default"/>
      </w:rPr>
    </w:lvl>
    <w:lvl w:ilvl="3" w:tplc="0409000F" w:tentative="1">
      <w:start w:val="1"/>
      <w:numFmt w:val="bullet"/>
      <w:lvlText w:val=""/>
      <w:lvlJc w:val="left"/>
      <w:pPr>
        <w:tabs>
          <w:tab w:val="num" w:pos="3874"/>
        </w:tabs>
        <w:ind w:left="3874" w:hanging="360"/>
      </w:pPr>
      <w:rPr>
        <w:rFonts w:ascii="Symbol" w:hAnsi="Symbol" w:hint="default"/>
      </w:rPr>
    </w:lvl>
    <w:lvl w:ilvl="4" w:tplc="04090019" w:tentative="1">
      <w:start w:val="1"/>
      <w:numFmt w:val="bullet"/>
      <w:lvlText w:val="o"/>
      <w:lvlJc w:val="left"/>
      <w:pPr>
        <w:tabs>
          <w:tab w:val="num" w:pos="4594"/>
        </w:tabs>
        <w:ind w:left="4594" w:hanging="360"/>
      </w:pPr>
      <w:rPr>
        <w:rFonts w:ascii="Courier New" w:hAnsi="Courier New" w:hint="default"/>
      </w:rPr>
    </w:lvl>
    <w:lvl w:ilvl="5" w:tplc="0409001B" w:tentative="1">
      <w:start w:val="1"/>
      <w:numFmt w:val="bullet"/>
      <w:lvlText w:val=""/>
      <w:lvlJc w:val="left"/>
      <w:pPr>
        <w:tabs>
          <w:tab w:val="num" w:pos="5314"/>
        </w:tabs>
        <w:ind w:left="5314" w:hanging="360"/>
      </w:pPr>
      <w:rPr>
        <w:rFonts w:ascii="Wingdings" w:hAnsi="Wingdings" w:hint="default"/>
      </w:rPr>
    </w:lvl>
    <w:lvl w:ilvl="6" w:tplc="0409000F" w:tentative="1">
      <w:start w:val="1"/>
      <w:numFmt w:val="bullet"/>
      <w:lvlText w:val=""/>
      <w:lvlJc w:val="left"/>
      <w:pPr>
        <w:tabs>
          <w:tab w:val="num" w:pos="6034"/>
        </w:tabs>
        <w:ind w:left="6034" w:hanging="360"/>
      </w:pPr>
      <w:rPr>
        <w:rFonts w:ascii="Symbol" w:hAnsi="Symbol" w:hint="default"/>
      </w:rPr>
    </w:lvl>
    <w:lvl w:ilvl="7" w:tplc="04090019" w:tentative="1">
      <w:start w:val="1"/>
      <w:numFmt w:val="bullet"/>
      <w:lvlText w:val="o"/>
      <w:lvlJc w:val="left"/>
      <w:pPr>
        <w:tabs>
          <w:tab w:val="num" w:pos="6754"/>
        </w:tabs>
        <w:ind w:left="6754" w:hanging="360"/>
      </w:pPr>
      <w:rPr>
        <w:rFonts w:ascii="Courier New" w:hAnsi="Courier New" w:hint="default"/>
      </w:rPr>
    </w:lvl>
    <w:lvl w:ilvl="8" w:tplc="0409001B" w:tentative="1">
      <w:start w:val="1"/>
      <w:numFmt w:val="bullet"/>
      <w:lvlText w:val=""/>
      <w:lvlJc w:val="left"/>
      <w:pPr>
        <w:tabs>
          <w:tab w:val="num" w:pos="7474"/>
        </w:tabs>
        <w:ind w:left="7474" w:hanging="360"/>
      </w:pPr>
      <w:rPr>
        <w:rFonts w:ascii="Wingdings" w:hAnsi="Wingdings" w:hint="default"/>
      </w:rPr>
    </w:lvl>
  </w:abstractNum>
  <w:num w:numId="1" w16cid:durableId="1226572893">
    <w:abstractNumId w:val="3"/>
  </w:num>
  <w:num w:numId="2" w16cid:durableId="835459917">
    <w:abstractNumId w:val="0"/>
  </w:num>
  <w:num w:numId="3" w16cid:durableId="1293631138">
    <w:abstractNumId w:val="1"/>
  </w:num>
  <w:num w:numId="4" w16cid:durableId="30894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E8"/>
    <w:rsid w:val="00114E75"/>
    <w:rsid w:val="002A65E8"/>
    <w:rsid w:val="002C7F19"/>
    <w:rsid w:val="003037C2"/>
    <w:rsid w:val="003312D7"/>
    <w:rsid w:val="003E1916"/>
    <w:rsid w:val="004C6909"/>
    <w:rsid w:val="0080059E"/>
    <w:rsid w:val="00C105B2"/>
    <w:rsid w:val="00FC43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67F5"/>
  <w15:chartTrackingRefBased/>
  <w15:docId w15:val="{61E06BA7-724D-4305-BE83-D288FD4A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5E8"/>
    <w:pPr>
      <w:spacing w:after="240" w:line="280" w:lineRule="atLeast"/>
    </w:pPr>
    <w:rPr>
      <w:rFonts w:eastAsia="맑은 고딕" w:cs="Times New Roman"/>
      <w:sz w:val="24"/>
      <w:lang w:val="en-GB" w:eastAsia="en-US"/>
      <w14:ligatures w14:val="none"/>
    </w:rPr>
  </w:style>
  <w:style w:type="paragraph" w:styleId="1">
    <w:name w:val="heading 1"/>
    <w:basedOn w:val="a"/>
    <w:next w:val="a"/>
    <w:link w:val="1Char"/>
    <w:qFormat/>
    <w:rsid w:val="002A65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nhideWhenUsed/>
    <w:qFormat/>
    <w:rsid w:val="002A65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nhideWhenUsed/>
    <w:qFormat/>
    <w:rsid w:val="002A65E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Char"/>
    <w:unhideWhenUsed/>
    <w:qFormat/>
    <w:rsid w:val="002A65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2A65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2A65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2A65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2A65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2A65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2A65E8"/>
    <w:rPr>
      <w:rFonts w:asciiTheme="majorHAnsi" w:eastAsiaTheme="majorEastAsia" w:hAnsiTheme="majorHAnsi" w:cstheme="majorBidi"/>
      <w:color w:val="000000" w:themeColor="text1"/>
      <w:sz w:val="32"/>
      <w:szCs w:val="32"/>
    </w:rPr>
  </w:style>
  <w:style w:type="character" w:customStyle="1" w:styleId="2Char">
    <w:name w:val="제목 2 Char"/>
    <w:basedOn w:val="a0"/>
    <w:link w:val="2"/>
    <w:rsid w:val="002A65E8"/>
    <w:rPr>
      <w:rFonts w:asciiTheme="majorHAnsi" w:eastAsiaTheme="majorEastAsia" w:hAnsiTheme="majorHAnsi" w:cstheme="majorBidi"/>
      <w:color w:val="000000" w:themeColor="text1"/>
      <w:sz w:val="28"/>
      <w:szCs w:val="28"/>
    </w:rPr>
  </w:style>
  <w:style w:type="character" w:customStyle="1" w:styleId="3Char">
    <w:name w:val="제목 3 Char"/>
    <w:basedOn w:val="a0"/>
    <w:link w:val="3"/>
    <w:rsid w:val="002A65E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2A65E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2A65E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2A65E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2A65E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2A65E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2A65E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2A65E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2A65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65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2A65E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A65E8"/>
    <w:pPr>
      <w:spacing w:before="160"/>
      <w:jc w:val="center"/>
    </w:pPr>
    <w:rPr>
      <w:i/>
      <w:iCs/>
      <w:color w:val="404040" w:themeColor="text1" w:themeTint="BF"/>
    </w:rPr>
  </w:style>
  <w:style w:type="character" w:customStyle="1" w:styleId="Char1">
    <w:name w:val="인용 Char"/>
    <w:basedOn w:val="a0"/>
    <w:link w:val="a5"/>
    <w:uiPriority w:val="29"/>
    <w:rsid w:val="002A65E8"/>
    <w:rPr>
      <w:i/>
      <w:iCs/>
      <w:color w:val="404040" w:themeColor="text1" w:themeTint="BF"/>
    </w:rPr>
  </w:style>
  <w:style w:type="paragraph" w:styleId="a6">
    <w:name w:val="List Paragraph"/>
    <w:basedOn w:val="a"/>
    <w:uiPriority w:val="34"/>
    <w:qFormat/>
    <w:rsid w:val="002A65E8"/>
    <w:pPr>
      <w:ind w:left="720"/>
      <w:contextualSpacing/>
    </w:pPr>
  </w:style>
  <w:style w:type="character" w:styleId="a7">
    <w:name w:val="Intense Emphasis"/>
    <w:basedOn w:val="a0"/>
    <w:uiPriority w:val="21"/>
    <w:qFormat/>
    <w:rsid w:val="002A65E8"/>
    <w:rPr>
      <w:i/>
      <w:iCs/>
      <w:color w:val="0F4761" w:themeColor="accent1" w:themeShade="BF"/>
    </w:rPr>
  </w:style>
  <w:style w:type="paragraph" w:styleId="a8">
    <w:name w:val="Intense Quote"/>
    <w:basedOn w:val="a"/>
    <w:next w:val="a"/>
    <w:link w:val="Char2"/>
    <w:uiPriority w:val="30"/>
    <w:qFormat/>
    <w:rsid w:val="002A6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2A65E8"/>
    <w:rPr>
      <w:i/>
      <w:iCs/>
      <w:color w:val="0F4761" w:themeColor="accent1" w:themeShade="BF"/>
    </w:rPr>
  </w:style>
  <w:style w:type="character" w:styleId="a9">
    <w:name w:val="Intense Reference"/>
    <w:basedOn w:val="a0"/>
    <w:uiPriority w:val="32"/>
    <w:qFormat/>
    <w:rsid w:val="002A65E8"/>
    <w:rPr>
      <w:b/>
      <w:bCs/>
      <w:smallCaps/>
      <w:color w:val="0F4761" w:themeColor="accent1" w:themeShade="BF"/>
      <w:spacing w:val="5"/>
    </w:rPr>
  </w:style>
  <w:style w:type="paragraph" w:customStyle="1" w:styleId="A-ListBullet">
    <w:name w:val="A-List Bullet"/>
    <w:rsid w:val="002A65E8"/>
    <w:pPr>
      <w:numPr>
        <w:numId w:val="1"/>
      </w:numPr>
      <w:spacing w:after="240" w:line="280" w:lineRule="atLeast"/>
    </w:pPr>
    <w:rPr>
      <w:rFonts w:eastAsia="맑은 고딕" w:cs="Times New Roman"/>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Rogers</dc:creator>
  <cp:keywords/>
  <dc:description/>
  <cp:lastModifiedBy>Brian Rogers</cp:lastModifiedBy>
  <cp:revision>2</cp:revision>
  <dcterms:created xsi:type="dcterms:W3CDTF">2025-12-22T07:44:00Z</dcterms:created>
  <dcterms:modified xsi:type="dcterms:W3CDTF">2025-12-23T03:32:00Z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753e52e9-632c-4a47-9956-fbfd54ef3b9a</vt:lpwstr>
  </property>
</Properties>
</file>