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BD86" w14:textId="0900BD6A" w:rsidR="008419A5" w:rsidRPr="00974BDD" w:rsidRDefault="008419A5" w:rsidP="008419A5">
      <w:pPr>
        <w:wordWrap/>
        <w:snapToGrid w:val="0"/>
        <w:spacing w:line="360" w:lineRule="auto"/>
        <w:jc w:val="left"/>
        <w:rPr>
          <w:color w:val="000000"/>
          <w:sz w:val="24"/>
        </w:rPr>
      </w:pPr>
      <w:r w:rsidRPr="00974BDD">
        <w:rPr>
          <w:sz w:val="24"/>
        </w:rPr>
        <w:t>Supplementary Table 1. Proportional hazards assumption test for time-fixed covariates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202"/>
        <w:gridCol w:w="2202"/>
        <w:gridCol w:w="2202"/>
      </w:tblGrid>
      <w:tr w:rsidR="00B55DF9" w:rsidRPr="00974BDD" w14:paraId="1027179B" w14:textId="77777777" w:rsidTr="007116FD">
        <w:trPr>
          <w:trHeight w:val="5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1499831" w14:textId="2BE621AD" w:rsidR="00B55DF9" w:rsidRPr="00974BDD" w:rsidRDefault="00B55DF9" w:rsidP="00B55DF9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Covariate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5F6079D3" w14:textId="41B9B5B2" w:rsidR="00B55DF9" w:rsidRPr="00974BDD" w:rsidRDefault="00B55DF9" w:rsidP="00B55DF9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Chi-sq</w:t>
            </w:r>
            <w:r w:rsidR="007956FD">
              <w:rPr>
                <w:color w:val="000000" w:themeColor="text1"/>
                <w:kern w:val="24"/>
                <w:sz w:val="24"/>
              </w:rPr>
              <w:t>u</w:t>
            </w:r>
            <w:r w:rsidR="00003716">
              <w:rPr>
                <w:color w:val="000000" w:themeColor="text1"/>
                <w:kern w:val="24"/>
                <w:sz w:val="24"/>
              </w:rPr>
              <w:t>a</w:t>
            </w:r>
            <w:r w:rsidR="007956FD">
              <w:rPr>
                <w:color w:val="000000" w:themeColor="text1"/>
                <w:kern w:val="24"/>
                <w:sz w:val="24"/>
              </w:rPr>
              <w:t>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132E6E52" w14:textId="21A91794" w:rsidR="00B55DF9" w:rsidRPr="00974BDD" w:rsidRDefault="007956FD" w:rsidP="00B55DF9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color w:val="000000" w:themeColor="text1"/>
                <w:kern w:val="24"/>
                <w:sz w:val="24"/>
              </w:rPr>
              <w:t>Degree of freedom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774AEB05" w14:textId="426428A5" w:rsidR="00B55DF9" w:rsidRPr="00974BDD" w:rsidRDefault="00B55DF9" w:rsidP="00B55DF9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i/>
                <w:sz w:val="24"/>
              </w:rPr>
              <w:t>P</w:t>
            </w:r>
            <w:r w:rsidRPr="00974BDD">
              <w:rPr>
                <w:sz w:val="24"/>
              </w:rPr>
              <w:t>-value</w:t>
            </w:r>
          </w:p>
        </w:tc>
      </w:tr>
      <w:tr w:rsidR="007116FD" w:rsidRPr="00974BDD" w14:paraId="3AE481F7" w14:textId="77777777" w:rsidTr="007116FD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4B5EF3F" w14:textId="63E2977C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Age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72A812A2" w14:textId="6140E8D6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0.</w:t>
            </w:r>
            <w:r w:rsidR="004D1379">
              <w:rPr>
                <w:rFonts w:hint="eastAsia"/>
                <w:color w:val="000000" w:themeColor="text1"/>
                <w:kern w:val="24"/>
                <w:sz w:val="24"/>
              </w:rPr>
              <w:t>0</w:t>
            </w:r>
            <w:r w:rsidRPr="00974BDD">
              <w:rPr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34DFCD62" w14:textId="012BA5CD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08D6FE40" w14:textId="45787955" w:rsidR="007116FD" w:rsidRPr="00974BDD" w:rsidRDefault="004D1379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0.903</w:t>
            </w:r>
          </w:p>
        </w:tc>
      </w:tr>
      <w:tr w:rsidR="007116FD" w:rsidRPr="00974BDD" w14:paraId="3E4D660B" w14:textId="77777777" w:rsidTr="007116FD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EF90CA2" w14:textId="2C72B67E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  <w:lang w:val="it-IT"/>
              </w:rPr>
              <w:t>Hypertension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53666C0E" w14:textId="4E7F4C23" w:rsidR="007116FD" w:rsidRPr="00974BDD" w:rsidRDefault="00467DC2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0.81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1B4C40AF" w14:textId="0AA154DE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575A4D1E" w14:textId="23634EB5" w:rsidR="007116FD" w:rsidRPr="00974BDD" w:rsidRDefault="00467DC2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0.368</w:t>
            </w:r>
          </w:p>
        </w:tc>
      </w:tr>
      <w:tr w:rsidR="007116FD" w:rsidRPr="00974BDD" w14:paraId="41F27911" w14:textId="77777777" w:rsidTr="007116FD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B74B4A3" w14:textId="700F6918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Tumor size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1742781B" w14:textId="7D8DEB30" w:rsidR="007116FD" w:rsidRPr="00974BDD" w:rsidRDefault="00467DC2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0.67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6C0661B2" w14:textId="1607AADE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4BDEEB37" w14:textId="5BA74150" w:rsidR="007116FD" w:rsidRPr="00974BDD" w:rsidRDefault="00CE2A9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0.412</w:t>
            </w:r>
          </w:p>
        </w:tc>
      </w:tr>
      <w:tr w:rsidR="007116FD" w:rsidRPr="00974BDD" w14:paraId="1C93C764" w14:textId="77777777" w:rsidTr="007116FD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BDB4A7A" w14:textId="18E7461E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  <w:lang w:val="it-IT"/>
              </w:rPr>
              <w:t>Cavernous sinus invasion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36C503C9" w14:textId="4B65D956" w:rsidR="007116FD" w:rsidRPr="00974BDD" w:rsidRDefault="00CE2A9D" w:rsidP="007116FD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3.44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3F2F0B37" w14:textId="061E1CA0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0ACE049E" w14:textId="7B85D67C" w:rsidR="007116FD" w:rsidRPr="00974BDD" w:rsidRDefault="00CE2A9D" w:rsidP="007116FD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0.064</w:t>
            </w:r>
          </w:p>
        </w:tc>
      </w:tr>
      <w:tr w:rsidR="007116FD" w:rsidRPr="00974BDD" w14:paraId="79EE7F05" w14:textId="77777777" w:rsidTr="007116FD">
        <w:trPr>
          <w:trHeight w:val="572"/>
        </w:trPr>
        <w:tc>
          <w:tcPr>
            <w:tcW w:w="2410" w:type="dxa"/>
            <w:vAlign w:val="center"/>
          </w:tcPr>
          <w:p w14:paraId="605D0524" w14:textId="1A222EF7" w:rsidR="007116FD" w:rsidRPr="00974BDD" w:rsidRDefault="007116FD" w:rsidP="007116FD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GLOBAL</w:t>
            </w:r>
          </w:p>
        </w:tc>
        <w:tc>
          <w:tcPr>
            <w:tcW w:w="2202" w:type="dxa"/>
            <w:vAlign w:val="center"/>
          </w:tcPr>
          <w:p w14:paraId="6B9B1456" w14:textId="1139AEE7" w:rsidR="007116FD" w:rsidRPr="00974BDD" w:rsidRDefault="00CE2A9D" w:rsidP="007116FD">
            <w:pPr>
              <w:pStyle w:val="a3"/>
              <w:spacing w:line="360" w:lineRule="auto"/>
              <w:jc w:val="center"/>
              <w:rPr>
                <w:rFonts w:eastAsia="맑은 고딕"/>
                <w:color w:val="000000"/>
                <w:kern w:val="24"/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4.28</w:t>
            </w:r>
          </w:p>
        </w:tc>
        <w:tc>
          <w:tcPr>
            <w:tcW w:w="2202" w:type="dxa"/>
            <w:vAlign w:val="center"/>
          </w:tcPr>
          <w:p w14:paraId="3768146A" w14:textId="6D62D2C2" w:rsidR="007116FD" w:rsidRPr="00974BDD" w:rsidRDefault="00CE2A9D" w:rsidP="007116FD">
            <w:pPr>
              <w:pStyle w:val="a3"/>
              <w:spacing w:line="360" w:lineRule="auto"/>
              <w:jc w:val="center"/>
              <w:rPr>
                <w:rFonts w:eastAsia="맑은 고딕"/>
                <w:color w:val="000000"/>
                <w:kern w:val="24"/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4</w:t>
            </w:r>
          </w:p>
        </w:tc>
        <w:tc>
          <w:tcPr>
            <w:tcW w:w="2202" w:type="dxa"/>
            <w:vAlign w:val="center"/>
          </w:tcPr>
          <w:p w14:paraId="2EE3F303" w14:textId="5668F507" w:rsidR="007116FD" w:rsidRPr="00974BDD" w:rsidRDefault="00CE2A9D" w:rsidP="007116FD">
            <w:pPr>
              <w:pStyle w:val="a3"/>
              <w:spacing w:line="360" w:lineRule="auto"/>
              <w:jc w:val="center"/>
              <w:rPr>
                <w:rFonts w:eastAsia="맑은 고딕"/>
                <w:color w:val="000000" w:themeColor="text1"/>
                <w:kern w:val="24"/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0.370</w:t>
            </w:r>
          </w:p>
        </w:tc>
      </w:tr>
    </w:tbl>
    <w:p w14:paraId="4A97BABB" w14:textId="78139AF3" w:rsidR="006B67D1" w:rsidRDefault="008419A5" w:rsidP="006B67D1">
      <w:pPr>
        <w:wordWrap/>
        <w:spacing w:line="360" w:lineRule="auto"/>
        <w:rPr>
          <w:sz w:val="24"/>
        </w:rPr>
      </w:pPr>
      <w:r w:rsidRPr="00974BDD">
        <w:rPr>
          <w:sz w:val="24"/>
        </w:rPr>
        <w:t xml:space="preserve">*, </w:t>
      </w:r>
      <w:r w:rsidRPr="00974BDD">
        <w:rPr>
          <w:i/>
          <w:sz w:val="24"/>
        </w:rPr>
        <w:t>P</w:t>
      </w:r>
      <w:r w:rsidRPr="00974BDD">
        <w:rPr>
          <w:sz w:val="24"/>
        </w:rPr>
        <w:t>-value &lt; .05</w:t>
      </w:r>
    </w:p>
    <w:p w14:paraId="1928184E" w14:textId="4E5B146C" w:rsidR="007132BB" w:rsidRPr="00974BDD" w:rsidRDefault="007132BB" w:rsidP="006B67D1">
      <w:pPr>
        <w:wordWrap/>
        <w:spacing w:line="360" w:lineRule="auto"/>
        <w:rPr>
          <w:sz w:val="24"/>
        </w:rPr>
      </w:pPr>
      <w:r>
        <w:rPr>
          <w:rFonts w:hint="eastAsia"/>
          <w:sz w:val="24"/>
        </w:rPr>
        <w:t>Chi</w:t>
      </w:r>
      <w:r w:rsidR="001C50DC">
        <w:rPr>
          <w:rFonts w:hint="eastAsia"/>
          <w:sz w:val="24"/>
        </w:rPr>
        <w:t>-sq</w:t>
      </w:r>
      <w:r w:rsidR="000264BB">
        <w:rPr>
          <w:rFonts w:hint="eastAsia"/>
          <w:sz w:val="24"/>
        </w:rPr>
        <w:t xml:space="preserve">, </w:t>
      </w:r>
      <w:r w:rsidR="000264BB" w:rsidRPr="000264BB">
        <w:rPr>
          <w:sz w:val="24"/>
        </w:rPr>
        <w:t>chi-square</w:t>
      </w:r>
      <w:r w:rsidR="000264BB">
        <w:rPr>
          <w:rFonts w:hint="eastAsia"/>
          <w:sz w:val="24"/>
        </w:rPr>
        <w:t>; df, degrees of freedom</w:t>
      </w:r>
      <w:r w:rsidR="002F16AF">
        <w:rPr>
          <w:rFonts w:hint="eastAsia"/>
          <w:sz w:val="24"/>
        </w:rPr>
        <w:t>.</w:t>
      </w:r>
    </w:p>
    <w:p w14:paraId="464107A2" w14:textId="77777777" w:rsidR="008419A5" w:rsidRPr="00974BDD" w:rsidRDefault="008419A5">
      <w:pPr>
        <w:widowControl/>
        <w:wordWrap/>
        <w:autoSpaceDE/>
        <w:autoSpaceDN/>
        <w:spacing w:after="160" w:line="259" w:lineRule="auto"/>
        <w:rPr>
          <w:sz w:val="24"/>
        </w:rPr>
      </w:pPr>
      <w:r w:rsidRPr="00974BDD">
        <w:rPr>
          <w:sz w:val="24"/>
        </w:rPr>
        <w:br w:type="page"/>
      </w:r>
    </w:p>
    <w:p w14:paraId="75BB5D07" w14:textId="460FBD18" w:rsidR="00C47DB4" w:rsidRPr="00974BDD" w:rsidRDefault="00C47DB4" w:rsidP="00C47DB4">
      <w:pPr>
        <w:wordWrap/>
        <w:snapToGrid w:val="0"/>
        <w:spacing w:line="360" w:lineRule="auto"/>
        <w:jc w:val="left"/>
        <w:rPr>
          <w:color w:val="000000"/>
          <w:sz w:val="24"/>
        </w:rPr>
      </w:pPr>
      <w:r w:rsidRPr="00974BDD">
        <w:rPr>
          <w:sz w:val="24"/>
        </w:rPr>
        <w:lastRenderedPageBreak/>
        <w:t>Supplementary Table 2. Univariable Cox regression for total remission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202"/>
        <w:gridCol w:w="2202"/>
        <w:gridCol w:w="2202"/>
      </w:tblGrid>
      <w:tr w:rsidR="00C47DB4" w:rsidRPr="00974BDD" w14:paraId="268BF41B" w14:textId="77777777" w:rsidTr="008B1B0D">
        <w:trPr>
          <w:trHeight w:val="5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FECC902" w14:textId="02BF2BDA" w:rsidR="00C47DB4" w:rsidRPr="00974BDD" w:rsidRDefault="003B2777" w:rsidP="008B1B0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Variable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29E8281F" w14:textId="1B152FBB" w:rsidR="00C47DB4" w:rsidRPr="00974BDD" w:rsidRDefault="008C225C" w:rsidP="008B1B0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HR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A57F14C" w14:textId="03C9864A" w:rsidR="00C47DB4" w:rsidRPr="00974BDD" w:rsidRDefault="00B64A7E" w:rsidP="008B1B0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95% CI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2AD0C7C1" w14:textId="77777777" w:rsidR="00C47DB4" w:rsidRPr="00974BDD" w:rsidRDefault="00C47DB4" w:rsidP="008B1B0D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i/>
                <w:sz w:val="24"/>
              </w:rPr>
              <w:t>P</w:t>
            </w:r>
            <w:r w:rsidRPr="00974BDD">
              <w:rPr>
                <w:sz w:val="24"/>
              </w:rPr>
              <w:t>-value</w:t>
            </w:r>
          </w:p>
        </w:tc>
      </w:tr>
      <w:tr w:rsidR="003B2777" w:rsidRPr="00974BDD" w14:paraId="6EE09902" w14:textId="77777777" w:rsidTr="008B1B0D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58849B5" w14:textId="3979FAF7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Age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18807A53" w14:textId="18D2554A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1.01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13E18644" w14:textId="6CECC2D0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1.00 – 1.0</w:t>
            </w:r>
            <w:r w:rsidR="009845BC">
              <w:rPr>
                <w:rFonts w:hint="eastAsia"/>
                <w:color w:val="000000" w:themeColor="text1"/>
                <w:kern w:val="24"/>
                <w:sz w:val="24"/>
              </w:rPr>
              <w:t>3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4DE89673" w14:textId="32127BCC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0.01</w:t>
            </w:r>
            <w:r w:rsidR="009845BC">
              <w:rPr>
                <w:rFonts w:hint="eastAsia"/>
                <w:color w:val="000000" w:themeColor="text1"/>
                <w:kern w:val="24"/>
                <w:sz w:val="24"/>
              </w:rPr>
              <w:t>7</w:t>
            </w:r>
            <w:r w:rsidR="006A4192" w:rsidRPr="00974BDD">
              <w:rPr>
                <w:color w:val="000000" w:themeColor="text1"/>
                <w:kern w:val="24"/>
                <w:sz w:val="24"/>
                <w:vertAlign w:val="superscript"/>
              </w:rPr>
              <w:t>*</w:t>
            </w:r>
          </w:p>
        </w:tc>
      </w:tr>
      <w:tr w:rsidR="003B2777" w:rsidRPr="00974BDD" w14:paraId="4671D7C3" w14:textId="77777777" w:rsidTr="008B1B0D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95ADCC2" w14:textId="5AD46B9D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  <w:lang w:val="it-IT"/>
              </w:rPr>
              <w:t>Hypertension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6DD3E234" w14:textId="60B6BE3B" w:rsidR="003B2777" w:rsidRPr="00974BDD" w:rsidRDefault="006F51E6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1.32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7499DC06" w14:textId="71ADEFC8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0.9</w:t>
            </w:r>
            <w:r w:rsidR="006F51E6">
              <w:rPr>
                <w:rFonts w:hint="eastAsia"/>
                <w:color w:val="000000" w:themeColor="text1"/>
                <w:kern w:val="24"/>
                <w:sz w:val="24"/>
              </w:rPr>
              <w:t>4</w:t>
            </w:r>
            <w:r w:rsidRPr="00974BDD">
              <w:rPr>
                <w:color w:val="000000" w:themeColor="text1"/>
                <w:kern w:val="24"/>
                <w:sz w:val="24"/>
              </w:rPr>
              <w:t xml:space="preserve"> – 1.8</w:t>
            </w:r>
            <w:r w:rsidR="006F51E6">
              <w:rPr>
                <w:rFonts w:hint="eastAsia"/>
                <w:color w:val="000000" w:themeColor="text1"/>
                <w:kern w:val="24"/>
                <w:sz w:val="24"/>
              </w:rPr>
              <w:t>7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4D9ACB30" w14:textId="56608675" w:rsidR="003B2777" w:rsidRPr="00974BDD" w:rsidRDefault="006F51E6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0.111</w:t>
            </w:r>
          </w:p>
        </w:tc>
      </w:tr>
      <w:tr w:rsidR="003B2777" w:rsidRPr="00974BDD" w14:paraId="106967F9" w14:textId="77777777" w:rsidTr="003B2777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86F4030" w14:textId="31974541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Tumor size (cm)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7EFE3DF0" w14:textId="548D2EB3" w:rsidR="003B2777" w:rsidRPr="00974BDD" w:rsidRDefault="006F51E6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kern w:val="24"/>
                <w:sz w:val="24"/>
              </w:rPr>
              <w:t>0.54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7A9B0B7B" w14:textId="3E1E67C3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0.4</w:t>
            </w:r>
            <w:r w:rsidR="006F51E6">
              <w:rPr>
                <w:rFonts w:hint="eastAsia"/>
                <w:color w:val="000000" w:themeColor="text1"/>
                <w:kern w:val="24"/>
                <w:sz w:val="24"/>
              </w:rPr>
              <w:t>4</w:t>
            </w:r>
            <w:r w:rsidRPr="00974BDD">
              <w:rPr>
                <w:color w:val="000000" w:themeColor="text1"/>
                <w:kern w:val="24"/>
                <w:sz w:val="24"/>
              </w:rPr>
              <w:t xml:space="preserve"> – 0.6</w:t>
            </w:r>
            <w:r w:rsidR="006F51E6">
              <w:rPr>
                <w:rFonts w:hint="eastAsia"/>
                <w:color w:val="000000" w:themeColor="text1"/>
                <w:kern w:val="24"/>
                <w:sz w:val="24"/>
              </w:rPr>
              <w:t>6</w:t>
            </w:r>
          </w:p>
        </w:tc>
        <w:tc>
          <w:tcPr>
            <w:tcW w:w="2202" w:type="dxa"/>
            <w:tcBorders>
              <w:top w:val="nil"/>
              <w:bottom w:val="nil"/>
            </w:tcBorders>
            <w:vAlign w:val="center"/>
          </w:tcPr>
          <w:p w14:paraId="29147215" w14:textId="7E40D6BB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p &lt; 0.001</w:t>
            </w:r>
            <w:r w:rsidR="006A4192" w:rsidRPr="00974BDD">
              <w:rPr>
                <w:color w:val="000000" w:themeColor="text1"/>
                <w:kern w:val="24"/>
                <w:sz w:val="24"/>
                <w:vertAlign w:val="superscript"/>
              </w:rPr>
              <w:t>*</w:t>
            </w:r>
          </w:p>
        </w:tc>
      </w:tr>
      <w:tr w:rsidR="00974BDD" w:rsidRPr="00974BDD" w14:paraId="77F97EF7" w14:textId="77777777" w:rsidTr="003B2777">
        <w:trPr>
          <w:trHeight w:val="572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36C674DA" w14:textId="4E33C1A2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  <w:lang w:val="it-IT"/>
              </w:rPr>
              <w:t>Cavernous sinus invasion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  <w:vAlign w:val="center"/>
          </w:tcPr>
          <w:p w14:paraId="767DAE47" w14:textId="5B481E5F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0.3</w:t>
            </w:r>
            <w:r w:rsidR="004F04FC">
              <w:rPr>
                <w:rFonts w:hint="eastAsia"/>
                <w:color w:val="000000" w:themeColor="text1"/>
                <w:kern w:val="24"/>
                <w:sz w:val="24"/>
              </w:rPr>
              <w:t>9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  <w:vAlign w:val="center"/>
          </w:tcPr>
          <w:p w14:paraId="4E93C6E3" w14:textId="66B05465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0.2</w:t>
            </w:r>
            <w:r w:rsidR="004F04FC">
              <w:rPr>
                <w:rFonts w:hint="eastAsia"/>
                <w:color w:val="000000" w:themeColor="text1"/>
                <w:kern w:val="24"/>
                <w:sz w:val="24"/>
              </w:rPr>
              <w:t>7</w:t>
            </w:r>
            <w:r w:rsidRPr="00974BDD">
              <w:rPr>
                <w:color w:val="000000" w:themeColor="text1"/>
                <w:kern w:val="24"/>
                <w:sz w:val="24"/>
              </w:rPr>
              <w:t xml:space="preserve"> – 0.5</w:t>
            </w:r>
            <w:r w:rsidR="004F04FC">
              <w:rPr>
                <w:rFonts w:hint="eastAsia"/>
                <w:color w:val="000000" w:themeColor="text1"/>
                <w:kern w:val="24"/>
                <w:sz w:val="24"/>
              </w:rPr>
              <w:t>5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  <w:vAlign w:val="center"/>
          </w:tcPr>
          <w:p w14:paraId="1641DE4A" w14:textId="187AB96D" w:rsidR="003B2777" w:rsidRPr="00974BDD" w:rsidRDefault="003B2777" w:rsidP="003B2777">
            <w:pPr>
              <w:pStyle w:val="a3"/>
              <w:spacing w:line="360" w:lineRule="auto"/>
              <w:jc w:val="center"/>
              <w:rPr>
                <w:color w:val="000000" w:themeColor="text1"/>
                <w:kern w:val="24"/>
                <w:sz w:val="24"/>
              </w:rPr>
            </w:pPr>
            <w:r w:rsidRPr="00974BDD">
              <w:rPr>
                <w:color w:val="000000" w:themeColor="text1"/>
                <w:kern w:val="24"/>
                <w:sz w:val="24"/>
              </w:rPr>
              <w:t>P &lt; 0.001</w:t>
            </w:r>
            <w:r w:rsidR="006A4192" w:rsidRPr="00974BDD">
              <w:rPr>
                <w:color w:val="000000" w:themeColor="text1"/>
                <w:kern w:val="24"/>
                <w:sz w:val="24"/>
                <w:vertAlign w:val="superscript"/>
              </w:rPr>
              <w:t>*</w:t>
            </w:r>
          </w:p>
        </w:tc>
      </w:tr>
    </w:tbl>
    <w:p w14:paraId="5B0AB559" w14:textId="77777777" w:rsidR="00C47DB4" w:rsidRDefault="00C47DB4" w:rsidP="00C47DB4">
      <w:pPr>
        <w:wordWrap/>
        <w:spacing w:line="360" w:lineRule="auto"/>
        <w:rPr>
          <w:sz w:val="24"/>
        </w:rPr>
      </w:pPr>
      <w:r w:rsidRPr="00974BDD">
        <w:rPr>
          <w:sz w:val="24"/>
        </w:rPr>
        <w:t xml:space="preserve">*, </w:t>
      </w:r>
      <w:r w:rsidRPr="00974BDD">
        <w:rPr>
          <w:i/>
          <w:sz w:val="24"/>
        </w:rPr>
        <w:t>P</w:t>
      </w:r>
      <w:r w:rsidRPr="00974BDD">
        <w:rPr>
          <w:sz w:val="24"/>
        </w:rPr>
        <w:t>-value &lt; 0.05</w:t>
      </w:r>
    </w:p>
    <w:p w14:paraId="343B611E" w14:textId="074FE9C3" w:rsidR="000F7284" w:rsidRPr="000F7284" w:rsidRDefault="00C90081" w:rsidP="00C47DB4">
      <w:pPr>
        <w:wordWrap/>
        <w:spacing w:line="360" w:lineRule="auto"/>
        <w:rPr>
          <w:sz w:val="24"/>
        </w:rPr>
      </w:pPr>
      <w:r>
        <w:rPr>
          <w:sz w:val="24"/>
        </w:rPr>
        <w:t>HR</w:t>
      </w:r>
      <w:r>
        <w:rPr>
          <w:rFonts w:hint="eastAsia"/>
          <w:sz w:val="24"/>
        </w:rPr>
        <w:t>, Hazard ratio; C</w:t>
      </w:r>
      <w:r>
        <w:rPr>
          <w:sz w:val="24"/>
        </w:rPr>
        <w:t>I</w:t>
      </w:r>
      <w:r>
        <w:rPr>
          <w:rFonts w:hint="eastAsia"/>
          <w:sz w:val="24"/>
        </w:rPr>
        <w:t xml:space="preserve">, </w:t>
      </w:r>
      <w:r w:rsidRPr="00F114EA">
        <w:rPr>
          <w:sz w:val="24"/>
        </w:rPr>
        <w:t>Confidence Interval</w:t>
      </w:r>
      <w:r>
        <w:rPr>
          <w:rFonts w:hint="eastAsia"/>
          <w:sz w:val="24"/>
        </w:rPr>
        <w:t>.</w:t>
      </w:r>
    </w:p>
    <w:sectPr w:rsidR="000F7284" w:rsidRPr="000F7284" w:rsidSect="00AD7A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78E8" w14:textId="77777777" w:rsidR="009F1C0E" w:rsidRDefault="009F1C0E" w:rsidP="00EA60BD">
      <w:pPr>
        <w:spacing w:line="240" w:lineRule="auto"/>
      </w:pPr>
      <w:r>
        <w:separator/>
      </w:r>
    </w:p>
  </w:endnote>
  <w:endnote w:type="continuationSeparator" w:id="0">
    <w:p w14:paraId="649BB69D" w14:textId="77777777" w:rsidR="009F1C0E" w:rsidRDefault="009F1C0E" w:rsidP="00EA6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057B" w14:textId="77777777" w:rsidR="009F1C0E" w:rsidRDefault="009F1C0E" w:rsidP="00EA60BD">
      <w:pPr>
        <w:spacing w:line="240" w:lineRule="auto"/>
      </w:pPr>
      <w:r>
        <w:separator/>
      </w:r>
    </w:p>
  </w:footnote>
  <w:footnote w:type="continuationSeparator" w:id="0">
    <w:p w14:paraId="330B675E" w14:textId="77777777" w:rsidR="009F1C0E" w:rsidRDefault="009F1C0E" w:rsidP="00EA60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F5290"/>
    <w:multiLevelType w:val="hybridMultilevel"/>
    <w:tmpl w:val="69984B5A"/>
    <w:lvl w:ilvl="0" w:tplc="A888D366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67"/>
    <w:rsid w:val="00003716"/>
    <w:rsid w:val="0001007B"/>
    <w:rsid w:val="000264BB"/>
    <w:rsid w:val="0004507A"/>
    <w:rsid w:val="00071330"/>
    <w:rsid w:val="000A1277"/>
    <w:rsid w:val="000F7284"/>
    <w:rsid w:val="001C50DC"/>
    <w:rsid w:val="00201B92"/>
    <w:rsid w:val="00211265"/>
    <w:rsid w:val="00224EA4"/>
    <w:rsid w:val="0024788B"/>
    <w:rsid w:val="0025777B"/>
    <w:rsid w:val="00263ED4"/>
    <w:rsid w:val="00276804"/>
    <w:rsid w:val="002828BA"/>
    <w:rsid w:val="00282EA5"/>
    <w:rsid w:val="002C0141"/>
    <w:rsid w:val="002F16AF"/>
    <w:rsid w:val="00315C67"/>
    <w:rsid w:val="00353A90"/>
    <w:rsid w:val="00353E0A"/>
    <w:rsid w:val="003848DD"/>
    <w:rsid w:val="00397091"/>
    <w:rsid w:val="00397E49"/>
    <w:rsid w:val="003B2777"/>
    <w:rsid w:val="003C6E42"/>
    <w:rsid w:val="00450786"/>
    <w:rsid w:val="00453F34"/>
    <w:rsid w:val="00467DC2"/>
    <w:rsid w:val="00477E38"/>
    <w:rsid w:val="00483B81"/>
    <w:rsid w:val="004923AD"/>
    <w:rsid w:val="004950A0"/>
    <w:rsid w:val="004A64CB"/>
    <w:rsid w:val="004D1379"/>
    <w:rsid w:val="004F04FC"/>
    <w:rsid w:val="005315CE"/>
    <w:rsid w:val="00541A60"/>
    <w:rsid w:val="005462F0"/>
    <w:rsid w:val="0056379C"/>
    <w:rsid w:val="00563CD5"/>
    <w:rsid w:val="0058090C"/>
    <w:rsid w:val="00581F6E"/>
    <w:rsid w:val="005829CC"/>
    <w:rsid w:val="005B0F8F"/>
    <w:rsid w:val="005D4BAF"/>
    <w:rsid w:val="0069030D"/>
    <w:rsid w:val="006A4192"/>
    <w:rsid w:val="006B67D1"/>
    <w:rsid w:val="006C60FB"/>
    <w:rsid w:val="006E6809"/>
    <w:rsid w:val="006F51E6"/>
    <w:rsid w:val="007116FD"/>
    <w:rsid w:val="007132BB"/>
    <w:rsid w:val="00730BFF"/>
    <w:rsid w:val="00741771"/>
    <w:rsid w:val="00757AF0"/>
    <w:rsid w:val="007956FD"/>
    <w:rsid w:val="007B5C21"/>
    <w:rsid w:val="008250AD"/>
    <w:rsid w:val="008419A5"/>
    <w:rsid w:val="008708CD"/>
    <w:rsid w:val="008738F0"/>
    <w:rsid w:val="008C225C"/>
    <w:rsid w:val="00965768"/>
    <w:rsid w:val="00970339"/>
    <w:rsid w:val="00974BDD"/>
    <w:rsid w:val="009845BC"/>
    <w:rsid w:val="009A1047"/>
    <w:rsid w:val="009E704B"/>
    <w:rsid w:val="009F1C0E"/>
    <w:rsid w:val="00A06745"/>
    <w:rsid w:val="00A442AA"/>
    <w:rsid w:val="00A453C6"/>
    <w:rsid w:val="00A531AC"/>
    <w:rsid w:val="00A64B97"/>
    <w:rsid w:val="00AD1B00"/>
    <w:rsid w:val="00AD7A41"/>
    <w:rsid w:val="00AE5DDF"/>
    <w:rsid w:val="00B157E0"/>
    <w:rsid w:val="00B30025"/>
    <w:rsid w:val="00B306E1"/>
    <w:rsid w:val="00B32F65"/>
    <w:rsid w:val="00B47327"/>
    <w:rsid w:val="00B55DF9"/>
    <w:rsid w:val="00B62407"/>
    <w:rsid w:val="00B64A7E"/>
    <w:rsid w:val="00BB5FC6"/>
    <w:rsid w:val="00BD3A77"/>
    <w:rsid w:val="00C27D21"/>
    <w:rsid w:val="00C47DB4"/>
    <w:rsid w:val="00C646F5"/>
    <w:rsid w:val="00C90081"/>
    <w:rsid w:val="00CE2A9D"/>
    <w:rsid w:val="00CE71B4"/>
    <w:rsid w:val="00D218F1"/>
    <w:rsid w:val="00D53810"/>
    <w:rsid w:val="00D61EB3"/>
    <w:rsid w:val="00D82317"/>
    <w:rsid w:val="00DD264C"/>
    <w:rsid w:val="00E01747"/>
    <w:rsid w:val="00E10531"/>
    <w:rsid w:val="00EA60BD"/>
    <w:rsid w:val="00EB3881"/>
    <w:rsid w:val="00EF2BFD"/>
    <w:rsid w:val="00F12A25"/>
    <w:rsid w:val="00F30866"/>
    <w:rsid w:val="00F40F55"/>
    <w:rsid w:val="00F70EF0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5C865"/>
  <w15:chartTrackingRefBased/>
  <w15:docId w15:val="{0AD64C88-CBAD-4AAC-B053-28CBBAC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C67"/>
    <w:pPr>
      <w:widowControl w:val="0"/>
      <w:wordWrap w:val="0"/>
      <w:autoSpaceDE w:val="0"/>
      <w:autoSpaceDN w:val="0"/>
      <w:spacing w:after="0" w:line="480" w:lineRule="auto"/>
    </w:pPr>
    <w:rPr>
      <w:rFonts w:ascii="Times New Roman" w:eastAsia="바탕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C67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sz w:val="22"/>
      <w:szCs w:val="24"/>
    </w:rPr>
  </w:style>
  <w:style w:type="paragraph" w:styleId="a4">
    <w:name w:val="header"/>
    <w:basedOn w:val="a"/>
    <w:link w:val="Char"/>
    <w:uiPriority w:val="99"/>
    <w:unhideWhenUsed/>
    <w:rsid w:val="00EA60BD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0"/>
    <w:link w:val="a4"/>
    <w:uiPriority w:val="99"/>
    <w:rsid w:val="00EA60BD"/>
    <w:rPr>
      <w:rFonts w:ascii="Times New Roman" w:eastAsia="바탕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EA60BD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0"/>
    <w:link w:val="a5"/>
    <w:uiPriority w:val="99"/>
    <w:rsid w:val="00EA60BD"/>
    <w:rPr>
      <w:rFonts w:ascii="Times New Roman" w:eastAsia="바탕" w:hAnsi="Times New Roman" w:cs="Times New Roman"/>
      <w:sz w:val="22"/>
      <w:szCs w:val="24"/>
    </w:rPr>
  </w:style>
  <w:style w:type="paragraph" w:styleId="a6">
    <w:name w:val="Normal (Web)"/>
    <w:basedOn w:val="a"/>
    <w:uiPriority w:val="99"/>
    <w:semiHidden/>
    <w:unhideWhenUsed/>
    <w:rsid w:val="00453F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List Paragraph"/>
    <w:basedOn w:val="a"/>
    <w:uiPriority w:val="34"/>
    <w:qFormat/>
    <w:rsid w:val="00C27D21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6B67D1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6B67D1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6B67D1"/>
    <w:rPr>
      <w:rFonts w:ascii="Times New Roman" w:eastAsia="바탕" w:hAnsi="Times New Roman" w:cs="Times New Roman"/>
      <w:sz w:val="22"/>
      <w:szCs w:val="24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B67D1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6B67D1"/>
    <w:rPr>
      <w:rFonts w:ascii="Times New Roman" w:eastAsia="바탕" w:hAnsi="Times New Roman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196B-C69B-4529-8503-A5BE64DF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김의현(신경외과학교실)</dc:creator>
  <cp:keywords/>
  <dc:description/>
  <cp:lastModifiedBy>김의현(신경외과)</cp:lastModifiedBy>
  <cp:revision>3</cp:revision>
  <dcterms:created xsi:type="dcterms:W3CDTF">2026-01-15T04:07:00Z</dcterms:created>
  <dcterms:modified xsi:type="dcterms:W3CDTF">2026-03-07T23:53:00Z</dcterms:modified>
</cp:coreProperties>
</file>